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7D762" w14:textId="35707F17" w:rsidR="00D8140E" w:rsidRDefault="00E626DF">
      <w:r>
        <w:rPr>
          <w:noProof/>
          <w:lang w:eastAsia="pt-BR"/>
        </w:rPr>
        <mc:AlternateContent>
          <mc:Choice Requires="wps">
            <w:drawing>
              <wp:anchor distT="0" distB="0" distL="114300" distR="114300" simplePos="0" relativeHeight="251660288" behindDoc="0" locked="0" layoutInCell="1" allowOverlap="1" wp14:anchorId="450893BB" wp14:editId="1C2E4791">
                <wp:simplePos x="0" y="0"/>
                <wp:positionH relativeFrom="column">
                  <wp:posOffset>1893461</wp:posOffset>
                </wp:positionH>
                <wp:positionV relativeFrom="paragraph">
                  <wp:posOffset>6208395</wp:posOffset>
                </wp:positionV>
                <wp:extent cx="3962400" cy="151447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3962400" cy="1514475"/>
                        </a:xfrm>
                        <a:prstGeom prst="rect">
                          <a:avLst/>
                        </a:prstGeom>
                        <a:noFill/>
                        <a:ln w="6350">
                          <a:noFill/>
                        </a:ln>
                      </wps:spPr>
                      <wps:txbx>
                        <w:txbxContent>
                          <w:p w14:paraId="47C7B5C3" w14:textId="346B5D74" w:rsidR="00D8140E" w:rsidRPr="00D8140E" w:rsidRDefault="00D8140E">
                            <w:pPr>
                              <w:rPr>
                                <w:rFonts w:ascii="Arial" w:hAnsi="Arial" w:cs="Arial"/>
                                <w:color w:val="FFFFFF" w:themeColor="background1"/>
                              </w:rPr>
                            </w:pPr>
                            <w:r w:rsidRPr="00D8140E">
                              <w:rPr>
                                <w:rFonts w:ascii="Arial" w:hAnsi="Arial" w:cs="Arial"/>
                                <w:b/>
                                <w:bCs/>
                                <w:color w:val="FFFFFF" w:themeColor="background1"/>
                                <w:sz w:val="52"/>
                                <w:szCs w:val="52"/>
                              </w:rPr>
                              <w:t>Pregão</w:t>
                            </w:r>
                            <w:r w:rsidRPr="00D8140E">
                              <w:rPr>
                                <w:rFonts w:ascii="Arial" w:hAnsi="Arial" w:cs="Arial"/>
                                <w:color w:val="FFFFFF" w:themeColor="background1"/>
                              </w:rPr>
                              <w:br/>
                            </w:r>
                            <w:r w:rsidRPr="00D8140E">
                              <w:rPr>
                                <w:rFonts w:ascii="Arial" w:hAnsi="Arial" w:cs="Arial"/>
                                <w:color w:val="FFFFFF" w:themeColor="background1"/>
                                <w:sz w:val="44"/>
                                <w:szCs w:val="44"/>
                              </w:rPr>
                              <w:t xml:space="preserve">Serviço de </w:t>
                            </w:r>
                            <w:r w:rsidR="00E626DF">
                              <w:rPr>
                                <w:rFonts w:ascii="Arial" w:hAnsi="Arial" w:cs="Arial"/>
                                <w:color w:val="FFFFFF" w:themeColor="background1"/>
                                <w:sz w:val="44"/>
                                <w:szCs w:val="44"/>
                              </w:rPr>
                              <w:t>E</w:t>
                            </w:r>
                            <w:r w:rsidRPr="00D8140E">
                              <w:rPr>
                                <w:rFonts w:ascii="Arial" w:hAnsi="Arial" w:cs="Arial"/>
                                <w:color w:val="FFFFFF" w:themeColor="background1"/>
                                <w:sz w:val="44"/>
                                <w:szCs w:val="44"/>
                              </w:rPr>
                              <w:t xml:space="preserve">ngenharia </w:t>
                            </w:r>
                            <w:r>
                              <w:rPr>
                                <w:rFonts w:ascii="Arial" w:hAnsi="Arial" w:cs="Arial"/>
                                <w:color w:val="FFFFFF" w:themeColor="background1"/>
                                <w:sz w:val="44"/>
                                <w:szCs w:val="44"/>
                              </w:rPr>
                              <w:br/>
                            </w:r>
                            <w:r w:rsidRPr="00D8140E">
                              <w:rPr>
                                <w:rFonts w:ascii="Arial" w:hAnsi="Arial" w:cs="Arial"/>
                                <w:color w:val="FFFFFF" w:themeColor="background1"/>
                                <w:sz w:val="44"/>
                                <w:szCs w:val="44"/>
                              </w:rPr>
                              <w:t>COM SRP</w:t>
                            </w:r>
                            <w:r w:rsidRPr="00D8140E">
                              <w:rPr>
                                <w:rFonts w:ascii="Arial" w:hAnsi="Arial" w:cs="Arial"/>
                                <w:color w:val="FFFFFF" w:themeColor="background1"/>
                                <w:sz w:val="44"/>
                                <w:szCs w:val="44"/>
                              </w:rPr>
                              <w:br/>
                              <w:t>Lei n° 14.133/2021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0893BB" id="_x0000_t202" coordsize="21600,21600" o:spt="202" path="m,l,21600r21600,l21600,xe">
                <v:stroke joinstyle="miter"/>
                <v:path gradientshapeok="t" o:connecttype="rect"/>
              </v:shapetype>
              <v:shape id="Caixa de Texto 3" o:spid="_x0000_s1026" type="#_x0000_t202" style="position:absolute;margin-left:149.1pt;margin-top:488.85pt;width:312pt;height:11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" filled="f" stroked="f" strokeweight=".5pt">
                <v:textbox>
                  <w:txbxContent>
                    <w:p w14:paraId="47C7B5C3" w14:textId="346B5D74" w:rsidR="00D8140E" w:rsidRPr="00D8140E" w:rsidRDefault="00D8140E">
                      <w:pPr>
                        <w:rPr>
                          <w:rFonts w:ascii="Arial" w:hAnsi="Arial" w:cs="Arial"/>
                          <w:color w:val="FFFFFF" w:themeColor="background1"/>
                        </w:rPr>
                      </w:pPr>
                      <w:r w:rsidRPr="00D8140E">
                        <w:rPr>
                          <w:rFonts w:ascii="Arial" w:hAnsi="Arial" w:cs="Arial"/>
                          <w:b/>
                          <w:bCs/>
                          <w:color w:val="FFFFFF" w:themeColor="background1"/>
                          <w:sz w:val="52"/>
                          <w:szCs w:val="52"/>
                        </w:rPr>
                        <w:t>Pregão</w:t>
                      </w:r>
                      <w:r w:rsidRPr="00D8140E">
                        <w:rPr>
                          <w:rFonts w:ascii="Arial" w:hAnsi="Arial" w:cs="Arial"/>
                          <w:color w:val="FFFFFF" w:themeColor="background1"/>
                        </w:rPr>
                        <w:br/>
                      </w:r>
                      <w:r w:rsidRPr="00D8140E">
                        <w:rPr>
                          <w:rFonts w:ascii="Arial" w:hAnsi="Arial" w:cs="Arial"/>
                          <w:color w:val="FFFFFF" w:themeColor="background1"/>
                          <w:sz w:val="44"/>
                          <w:szCs w:val="44"/>
                        </w:rPr>
                        <w:t xml:space="preserve">Serviço de </w:t>
                      </w:r>
                      <w:r w:rsidR="00E626DF">
                        <w:rPr>
                          <w:rFonts w:ascii="Arial" w:hAnsi="Arial" w:cs="Arial"/>
                          <w:color w:val="FFFFFF" w:themeColor="background1"/>
                          <w:sz w:val="44"/>
                          <w:szCs w:val="44"/>
                        </w:rPr>
                        <w:t>E</w:t>
                      </w:r>
                      <w:r w:rsidRPr="00D8140E">
                        <w:rPr>
                          <w:rFonts w:ascii="Arial" w:hAnsi="Arial" w:cs="Arial"/>
                          <w:color w:val="FFFFFF" w:themeColor="background1"/>
                          <w:sz w:val="44"/>
                          <w:szCs w:val="44"/>
                        </w:rPr>
                        <w:t xml:space="preserve">ngenharia </w:t>
                      </w:r>
                      <w:r>
                        <w:rPr>
                          <w:rFonts w:ascii="Arial" w:hAnsi="Arial" w:cs="Arial"/>
                          <w:color w:val="FFFFFF" w:themeColor="background1"/>
                          <w:sz w:val="44"/>
                          <w:szCs w:val="44"/>
                        </w:rPr>
                        <w:br/>
                      </w:r>
                      <w:r w:rsidRPr="00D8140E">
                        <w:rPr>
                          <w:rFonts w:ascii="Arial" w:hAnsi="Arial" w:cs="Arial"/>
                          <w:color w:val="FFFFFF" w:themeColor="background1"/>
                          <w:sz w:val="44"/>
                          <w:szCs w:val="44"/>
                        </w:rPr>
                        <w:t>COM SRP</w:t>
                      </w:r>
                      <w:r w:rsidRPr="00D8140E">
                        <w:rPr>
                          <w:rFonts w:ascii="Arial" w:hAnsi="Arial" w:cs="Arial"/>
                          <w:color w:val="FFFFFF" w:themeColor="background1"/>
                          <w:sz w:val="44"/>
                          <w:szCs w:val="44"/>
                        </w:rPr>
                        <w:br/>
                        <w:t>Lei n° 14.133/2021</w:t>
                      </w:r>
                    </w:p>
                  </w:txbxContent>
                </v:textbox>
              </v:shape>
            </w:pict>
          </mc:Fallback>
        </mc:AlternateContent>
      </w:r>
      <w:r>
        <w:rPr>
          <w:noProof/>
          <w:lang w:eastAsia="pt-BR"/>
        </w:rPr>
        <w:drawing>
          <wp:anchor distT="0" distB="0" distL="114300" distR="114300" simplePos="0" relativeHeight="251662336" behindDoc="1" locked="0" layoutInCell="1" allowOverlap="1" wp14:anchorId="5556022C" wp14:editId="042764FE">
            <wp:simplePos x="0" y="0"/>
            <wp:positionH relativeFrom="margin">
              <wp:posOffset>2442845</wp:posOffset>
            </wp:positionH>
            <wp:positionV relativeFrom="paragraph">
              <wp:posOffset>9034671</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1AF93C3D" wp14:editId="575207F9">
            <wp:simplePos x="0" y="0"/>
            <wp:positionH relativeFrom="column">
              <wp:posOffset>-899160</wp:posOffset>
            </wp:positionH>
            <wp:positionV relativeFrom="paragraph">
              <wp:posOffset>-1056114</wp:posOffset>
            </wp:positionV>
            <wp:extent cx="7560000" cy="10690038"/>
            <wp:effectExtent l="0" t="0" r="3175" b="0"/>
            <wp:wrapNone/>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m 1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0038"/>
                    </a:xfrm>
                    <a:prstGeom prst="rect">
                      <a:avLst/>
                    </a:prstGeom>
                  </pic:spPr>
                </pic:pic>
              </a:graphicData>
            </a:graphic>
            <wp14:sizeRelH relativeFrom="margin">
              <wp14:pctWidth>0</wp14:pctWidth>
            </wp14:sizeRelH>
            <wp14:sizeRelV relativeFrom="margin">
              <wp14:pctHeight>0</wp14:pctHeight>
            </wp14:sizeRelV>
          </wp:anchor>
        </w:drawing>
      </w:r>
      <w:r w:rsidR="00D8140E">
        <w:br w:type="page"/>
      </w:r>
    </w:p>
    <w:p w14:paraId="226AF1C2" w14:textId="5270FCFF" w:rsidR="00BC64A8" w:rsidRDefault="00890E85">
      <w:r w:rsidRPr="00BC64A8">
        <w:rPr>
          <w:noProof/>
          <w:lang w:eastAsia="pt-BR"/>
        </w:rPr>
        <w:lastRenderedPageBreak/>
        <mc:AlternateContent>
          <mc:Choice Requires="wps">
            <w:drawing>
              <wp:anchor distT="0" distB="0" distL="114300" distR="114300" simplePos="0" relativeHeight="251664384" behindDoc="0" locked="0" layoutInCell="1" allowOverlap="1" wp14:anchorId="5C60526E" wp14:editId="2BC74A68">
                <wp:simplePos x="0" y="0"/>
                <wp:positionH relativeFrom="column">
                  <wp:posOffset>-89535</wp:posOffset>
                </wp:positionH>
                <wp:positionV relativeFrom="paragraph">
                  <wp:posOffset>111760</wp:posOffset>
                </wp:positionV>
                <wp:extent cx="6299835" cy="3218180"/>
                <wp:effectExtent l="0" t="0" r="5715" b="1270"/>
                <wp:wrapNone/>
                <wp:docPr id="9" name="Retângulo: Cantos Arredondados 9"/>
                <wp:cNvGraphicFramePr/>
                <a:graphic xmlns:a="http://schemas.openxmlformats.org/drawingml/2006/main">
                  <a:graphicData uri="http://schemas.microsoft.com/office/word/2010/wordprocessingShape">
                    <wps:wsp>
                      <wps:cNvSpPr/>
                      <wps:spPr>
                        <a:xfrm>
                          <a:off x="0" y="0"/>
                          <a:ext cx="6299835" cy="3218180"/>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8583F04" w14:textId="77777777" w:rsidR="00BC64A8" w:rsidRPr="000F5532" w:rsidRDefault="00BC64A8" w:rsidP="00BC64A8">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0526E" id="Retângulo: Cantos Arredondados 9" o:spid="_x0000_s1027" style="position:absolute;margin-left:-7.05pt;margin-top:8.8pt;width:496.05pt;height:25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" fillcolor="#154b5d" stroked="f" strokeweight="1pt">
                <v:stroke joinstyle="miter"/>
                <v:textbox>
                  <w:txbxContent>
                    <w:p w14:paraId="08583F04" w14:textId="77777777" w:rsidR="00BC64A8" w:rsidRPr="000F5532" w:rsidRDefault="00BC64A8" w:rsidP="00BC64A8">
                      <w:pPr>
                        <w:ind w:left="2484"/>
                        <w:rPr>
                          <w:rFonts w:ascii="Ubuntu" w:hAnsi="Ubuntu"/>
                          <w:color w:val="FFFFFF" w:themeColor="background1"/>
                          <w:sz w:val="20"/>
                          <w:szCs w:val="20"/>
                        </w:rPr>
                      </w:pPr>
                    </w:p>
                  </w:txbxContent>
                </v:textbox>
              </v:roundrect>
            </w:pict>
          </mc:Fallback>
        </mc:AlternateContent>
      </w:r>
      <w:r w:rsidRPr="00BC64A8">
        <w:rPr>
          <w:noProof/>
          <w:lang w:eastAsia="pt-BR"/>
        </w:rPr>
        <mc:AlternateContent>
          <mc:Choice Requires="wps">
            <w:drawing>
              <wp:anchor distT="0" distB="0" distL="114300" distR="114300" simplePos="0" relativeHeight="251665408" behindDoc="0" locked="0" layoutInCell="1" allowOverlap="1" wp14:anchorId="216DCF37" wp14:editId="6259D82E">
                <wp:simplePos x="0" y="0"/>
                <wp:positionH relativeFrom="column">
                  <wp:posOffset>17780</wp:posOffset>
                </wp:positionH>
                <wp:positionV relativeFrom="paragraph">
                  <wp:posOffset>226060</wp:posOffset>
                </wp:positionV>
                <wp:extent cx="6299835" cy="3241675"/>
                <wp:effectExtent l="19050" t="19050" r="24765" b="15875"/>
                <wp:wrapNone/>
                <wp:docPr id="11" name="Retângulo: Cantos Arredondados 11"/>
                <wp:cNvGraphicFramePr/>
                <a:graphic xmlns:a="http://schemas.openxmlformats.org/drawingml/2006/main">
                  <a:graphicData uri="http://schemas.microsoft.com/office/word/2010/wordprocessingShape">
                    <wps:wsp>
                      <wps:cNvSpPr/>
                      <wps:spPr>
                        <a:xfrm>
                          <a:off x="0" y="0"/>
                          <a:ext cx="6299835" cy="3241675"/>
                        </a:xfrm>
                        <a:prstGeom prst="roundRect">
                          <a:avLst>
                            <a:gd name="adj" fmla="val 2955"/>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4DA54560" w14:textId="301E0C38" w:rsidR="00BC64A8" w:rsidRPr="00BC64A8" w:rsidRDefault="00BC64A8" w:rsidP="00BC64A8">
                            <w:pPr>
                              <w:numPr>
                                <w:ilvl w:val="0"/>
                                <w:numId w:val="5"/>
                              </w:numPr>
                              <w:ind w:left="2410" w:hanging="283"/>
                              <w:rPr>
                                <w:rFonts w:ascii="Arial" w:eastAsia="Times New Roman" w:hAnsi="Arial" w:cs="Arial"/>
                                <w:color w:val="FFFFFF" w:themeColor="background1"/>
                                <w:sz w:val="20"/>
                                <w:szCs w:val="20"/>
                              </w:rPr>
                            </w:pPr>
                            <w:r w:rsidRPr="00BC64A8">
                              <w:rPr>
                                <w:rFonts w:ascii="Arial" w:eastAsia="Times New Roman" w:hAnsi="Arial" w:cs="Arial"/>
                                <w:color w:val="FFFFFF" w:themeColor="background1"/>
                                <w:sz w:val="20"/>
                                <w:szCs w:val="20"/>
                              </w:rPr>
                              <w:t xml:space="preserve">O modelo pretende uniformizar a atuação consultiva </w:t>
                            </w:r>
                            <w:r w:rsidRPr="00BC64A8">
                              <w:rPr>
                                <w:rFonts w:ascii="Arial" w:eastAsia="Times New Roman" w:hAnsi="Arial" w:cs="Arial"/>
                                <w:color w:val="FFFFFF" w:themeColor="background1"/>
                                <w:sz w:val="20"/>
                                <w:szCs w:val="20"/>
                              </w:rPr>
                              <w:br/>
                              <w:t>no âmbito da Procuradoria-Geral Federal.</w:t>
                            </w:r>
                          </w:p>
                          <w:p w14:paraId="72CC0C9E" w14:textId="1E57CD94" w:rsidR="00BC64A8" w:rsidRPr="00BC64A8" w:rsidRDefault="00BC64A8" w:rsidP="00BC64A8">
                            <w:pPr>
                              <w:numPr>
                                <w:ilvl w:val="0"/>
                                <w:numId w:val="5"/>
                              </w:numPr>
                              <w:ind w:left="2410" w:hanging="283"/>
                              <w:rPr>
                                <w:rFonts w:ascii="Arial" w:eastAsia="Times New Roman" w:hAnsi="Arial" w:cs="Arial"/>
                                <w:color w:val="FFFFFF" w:themeColor="background1"/>
                                <w:sz w:val="20"/>
                                <w:szCs w:val="20"/>
                              </w:rPr>
                            </w:pPr>
                            <w:r w:rsidRPr="00BC64A8">
                              <w:rPr>
                                <w:rFonts w:ascii="Arial" w:eastAsia="Calibri" w:hAnsi="Arial" w:cs="Arial"/>
                                <w:color w:val="FFFFFF" w:themeColor="background1"/>
                                <w:sz w:val="20"/>
                                <w:szCs w:val="20"/>
                              </w:rPr>
                              <w:t xml:space="preserve">Os pareceres estão em permanente aperfeiçoamento pela Câmara </w:t>
                            </w:r>
                            <w:r w:rsidRPr="00BC64A8">
                              <w:rPr>
                                <w:rFonts w:ascii="Arial" w:eastAsia="Calibri" w:hAnsi="Arial" w:cs="Arial"/>
                                <w:color w:val="FFFFFF" w:themeColor="background1"/>
                                <w:sz w:val="20"/>
                                <w:szCs w:val="20"/>
                              </w:rPr>
                              <w:br/>
                              <w:t>Permanente de Uniformização de Entendimentos Consultivos da PGF.</w:t>
                            </w:r>
                          </w:p>
                          <w:p w14:paraId="232DB698" w14:textId="1DF0DF80" w:rsidR="00BC64A8" w:rsidRPr="00BC64A8" w:rsidRDefault="00BC64A8" w:rsidP="00BC64A8">
                            <w:pPr>
                              <w:numPr>
                                <w:ilvl w:val="0"/>
                                <w:numId w:val="5"/>
                              </w:numPr>
                              <w:ind w:left="2410" w:hanging="283"/>
                              <w:rPr>
                                <w:rFonts w:ascii="Arial" w:eastAsia="Times New Roman" w:hAnsi="Arial" w:cs="Arial"/>
                                <w:color w:val="FFFFFF" w:themeColor="background1"/>
                                <w:sz w:val="20"/>
                                <w:szCs w:val="20"/>
                              </w:rPr>
                            </w:pPr>
                            <w:r w:rsidRPr="00BC64A8">
                              <w:rPr>
                                <w:rFonts w:ascii="Arial" w:eastAsia="Calibri" w:hAnsi="Arial" w:cs="Arial"/>
                                <w:color w:val="FFFFFF" w:themeColor="background1"/>
                                <w:sz w:val="20"/>
                                <w:szCs w:val="20"/>
                              </w:rPr>
                              <w:t xml:space="preserve">O modelo foi elaborado pensando-se razoavelmente em tudo que pode </w:t>
                            </w:r>
                            <w:r w:rsidRPr="00BC64A8">
                              <w:rPr>
                                <w:rFonts w:ascii="Arial" w:eastAsia="Calibri" w:hAnsi="Arial" w:cs="Arial"/>
                                <w:color w:val="FFFFFF" w:themeColor="background1"/>
                                <w:sz w:val="20"/>
                                <w:szCs w:val="20"/>
                              </w:rPr>
                              <w:br/>
                              <w:t xml:space="preserve">ser objeto de recomendação em um processo, de modo que nem sempre </w:t>
                            </w:r>
                            <w:r w:rsidRPr="00BC64A8">
                              <w:rPr>
                                <w:rFonts w:ascii="Arial" w:eastAsia="Calibri" w:hAnsi="Arial" w:cs="Arial"/>
                                <w:color w:val="FFFFFF" w:themeColor="background1"/>
                                <w:sz w:val="20"/>
                                <w:szCs w:val="20"/>
                              </w:rPr>
                              <w:br/>
                              <w:t xml:space="preserve">precisará ser adotado de maneira integral. Recomenda-se que seja objeto </w:t>
                            </w:r>
                            <w:r w:rsidRPr="00BC64A8">
                              <w:rPr>
                                <w:rFonts w:ascii="Arial" w:eastAsia="Calibri" w:hAnsi="Arial" w:cs="Arial"/>
                                <w:color w:val="FFFFFF" w:themeColor="background1"/>
                                <w:sz w:val="20"/>
                                <w:szCs w:val="20"/>
                              </w:rPr>
                              <w:br/>
                              <w:t xml:space="preserve">de avaliação crítica, pela Procuradoria Federal junto à Autarquia ou </w:t>
                            </w:r>
                            <w:r w:rsidRPr="00BC64A8">
                              <w:rPr>
                                <w:rFonts w:ascii="Arial" w:eastAsia="Calibri" w:hAnsi="Arial" w:cs="Arial"/>
                                <w:color w:val="FFFFFF" w:themeColor="background1"/>
                                <w:sz w:val="20"/>
                                <w:szCs w:val="20"/>
                              </w:rPr>
                              <w:br/>
                              <w:t xml:space="preserve">Fundação Pública Federal, de acordo com as peculiaridades da entidade, </w:t>
                            </w:r>
                            <w:r w:rsidRPr="00BC64A8">
                              <w:rPr>
                                <w:rFonts w:ascii="Arial" w:eastAsia="Calibri" w:hAnsi="Arial" w:cs="Arial"/>
                                <w:color w:val="FFFFFF" w:themeColor="background1"/>
                                <w:sz w:val="20"/>
                                <w:szCs w:val="20"/>
                              </w:rPr>
                              <w:br/>
                              <w:t xml:space="preserve">para excluir ou adaptar os trechos que abordam temas sobre os quais o </w:t>
                            </w:r>
                            <w:r w:rsidRPr="00BC64A8">
                              <w:rPr>
                                <w:rFonts w:ascii="Arial" w:eastAsia="Calibri" w:hAnsi="Arial" w:cs="Arial"/>
                                <w:color w:val="FFFFFF" w:themeColor="background1"/>
                                <w:sz w:val="20"/>
                                <w:szCs w:val="20"/>
                              </w:rPr>
                              <w:br/>
                              <w:t>órgão consulente já tenha maturidade.</w:t>
                            </w:r>
                          </w:p>
                          <w:p w14:paraId="2BC29AB8" w14:textId="6AF40571" w:rsidR="00BC64A8" w:rsidRPr="00BC64A8" w:rsidRDefault="00BC64A8" w:rsidP="00BC64A8">
                            <w:pPr>
                              <w:numPr>
                                <w:ilvl w:val="0"/>
                                <w:numId w:val="5"/>
                              </w:numPr>
                              <w:ind w:left="2410" w:hanging="283"/>
                              <w:rPr>
                                <w:rFonts w:ascii="Arial" w:eastAsia="Times New Roman" w:hAnsi="Arial" w:cs="Arial"/>
                                <w:color w:val="FFFFFF" w:themeColor="background1"/>
                                <w:sz w:val="20"/>
                                <w:szCs w:val="20"/>
                              </w:rPr>
                            </w:pPr>
                            <w:r w:rsidRPr="00BC64A8">
                              <w:rPr>
                                <w:rFonts w:ascii="Arial" w:eastAsia="Calibri" w:hAnsi="Arial" w:cs="Arial"/>
                                <w:color w:val="FFFFFF" w:themeColor="background1"/>
                                <w:sz w:val="20"/>
                                <w:szCs w:val="20"/>
                              </w:rPr>
                              <w:t xml:space="preserve">Destaca-se, no entanto, que somente o Procurador Federal oficiante, </w:t>
                            </w:r>
                            <w:r w:rsidRPr="00BC64A8">
                              <w:rPr>
                                <w:rFonts w:ascii="Arial" w:eastAsia="Calibri" w:hAnsi="Arial" w:cs="Arial"/>
                                <w:color w:val="FFFFFF" w:themeColor="background1"/>
                                <w:sz w:val="20"/>
                                <w:szCs w:val="20"/>
                              </w:rPr>
                              <w:br/>
                              <w:t xml:space="preserve">no exercício de sua autonomia funcional, poderá avaliar a pertinência </w:t>
                            </w:r>
                            <w:r w:rsidRPr="00BC64A8">
                              <w:rPr>
                                <w:rFonts w:ascii="Arial" w:eastAsia="Calibri" w:hAnsi="Arial" w:cs="Arial"/>
                                <w:color w:val="FFFFFF" w:themeColor="background1"/>
                                <w:sz w:val="20"/>
                                <w:szCs w:val="20"/>
                              </w:rPr>
                              <w:br/>
                              <w:t xml:space="preserve">de manter os textos integralmente ou a necessidade de inclusão de </w:t>
                            </w:r>
                            <w:r w:rsidRPr="00BC64A8">
                              <w:rPr>
                                <w:rFonts w:ascii="Arial" w:eastAsia="Calibri" w:hAnsi="Arial" w:cs="Arial"/>
                                <w:color w:val="FFFFFF" w:themeColor="background1"/>
                                <w:sz w:val="20"/>
                                <w:szCs w:val="20"/>
                              </w:rPr>
                              <w:br/>
                              <w:t>um ou de diversos tópicos para adequar ao caso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DCF37" id="Retângulo: Cantos Arredondados 11" o:spid="_x0000_s1028" style="position:absolute;margin-left:1.4pt;margin-top:17.8pt;width:496.05pt;height:25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" filled="f" strokecolor="#b886b3" strokeweight="2.25pt">
                <v:stroke joinstyle="miter"/>
                <v:textbox>
                  <w:txbxContent>
                    <w:p w14:paraId="4DA54560" w14:textId="301E0C38" w:rsidR="00BC64A8" w:rsidRPr="00BC64A8" w:rsidRDefault="00BC64A8" w:rsidP="00BC64A8">
                      <w:pPr>
                        <w:numPr>
                          <w:ilvl w:val="0"/>
                          <w:numId w:val="5"/>
                        </w:numPr>
                        <w:ind w:left="2410" w:hanging="283"/>
                        <w:rPr>
                          <w:rFonts w:ascii="Arial" w:eastAsia="Times New Roman" w:hAnsi="Arial" w:cs="Arial"/>
                          <w:color w:val="FFFFFF" w:themeColor="background1"/>
                          <w:sz w:val="20"/>
                          <w:szCs w:val="20"/>
                        </w:rPr>
                      </w:pPr>
                      <w:r w:rsidRPr="00BC64A8">
                        <w:rPr>
                          <w:rFonts w:ascii="Arial" w:eastAsia="Times New Roman" w:hAnsi="Arial" w:cs="Arial"/>
                          <w:color w:val="FFFFFF" w:themeColor="background1"/>
                          <w:sz w:val="20"/>
                          <w:szCs w:val="20"/>
                        </w:rPr>
                        <w:t xml:space="preserve">O modelo pretende uniformizar a atuação consultiva </w:t>
                      </w:r>
                      <w:r w:rsidRPr="00BC64A8">
                        <w:rPr>
                          <w:rFonts w:ascii="Arial" w:eastAsia="Times New Roman" w:hAnsi="Arial" w:cs="Arial"/>
                          <w:color w:val="FFFFFF" w:themeColor="background1"/>
                          <w:sz w:val="20"/>
                          <w:szCs w:val="20"/>
                        </w:rPr>
                        <w:br/>
                        <w:t>no âmbito da Procuradoria-Geral Federal.</w:t>
                      </w:r>
                    </w:p>
                    <w:p w14:paraId="72CC0C9E" w14:textId="1E57CD94" w:rsidR="00BC64A8" w:rsidRPr="00BC64A8" w:rsidRDefault="00BC64A8" w:rsidP="00BC64A8">
                      <w:pPr>
                        <w:numPr>
                          <w:ilvl w:val="0"/>
                          <w:numId w:val="5"/>
                        </w:numPr>
                        <w:ind w:left="2410" w:hanging="283"/>
                        <w:rPr>
                          <w:rFonts w:ascii="Arial" w:eastAsia="Times New Roman" w:hAnsi="Arial" w:cs="Arial"/>
                          <w:color w:val="FFFFFF" w:themeColor="background1"/>
                          <w:sz w:val="20"/>
                          <w:szCs w:val="20"/>
                        </w:rPr>
                      </w:pPr>
                      <w:r w:rsidRPr="00BC64A8">
                        <w:rPr>
                          <w:rFonts w:ascii="Arial" w:eastAsia="Calibri" w:hAnsi="Arial" w:cs="Arial"/>
                          <w:color w:val="FFFFFF" w:themeColor="background1"/>
                          <w:sz w:val="20"/>
                          <w:szCs w:val="20"/>
                        </w:rPr>
                        <w:t xml:space="preserve">Os pareceres estão em permanente aperfeiçoamento pela Câmara </w:t>
                      </w:r>
                      <w:r w:rsidRPr="00BC64A8">
                        <w:rPr>
                          <w:rFonts w:ascii="Arial" w:eastAsia="Calibri" w:hAnsi="Arial" w:cs="Arial"/>
                          <w:color w:val="FFFFFF" w:themeColor="background1"/>
                          <w:sz w:val="20"/>
                          <w:szCs w:val="20"/>
                        </w:rPr>
                        <w:br/>
                        <w:t>Permanente de Uniformização de Entendimentos Consultivos da PGF.</w:t>
                      </w:r>
                    </w:p>
                    <w:p w14:paraId="232DB698" w14:textId="1DF0DF80" w:rsidR="00BC64A8" w:rsidRPr="00BC64A8" w:rsidRDefault="00BC64A8" w:rsidP="00BC64A8">
                      <w:pPr>
                        <w:numPr>
                          <w:ilvl w:val="0"/>
                          <w:numId w:val="5"/>
                        </w:numPr>
                        <w:ind w:left="2410" w:hanging="283"/>
                        <w:rPr>
                          <w:rFonts w:ascii="Arial" w:eastAsia="Times New Roman" w:hAnsi="Arial" w:cs="Arial"/>
                          <w:color w:val="FFFFFF" w:themeColor="background1"/>
                          <w:sz w:val="20"/>
                          <w:szCs w:val="20"/>
                        </w:rPr>
                      </w:pPr>
                      <w:r w:rsidRPr="00BC64A8">
                        <w:rPr>
                          <w:rFonts w:ascii="Arial" w:eastAsia="Calibri" w:hAnsi="Arial" w:cs="Arial"/>
                          <w:color w:val="FFFFFF" w:themeColor="background1"/>
                          <w:sz w:val="20"/>
                          <w:szCs w:val="20"/>
                        </w:rPr>
                        <w:t xml:space="preserve">O modelo foi elaborado pensando-se razoavelmente em tudo que pode </w:t>
                      </w:r>
                      <w:r w:rsidRPr="00BC64A8">
                        <w:rPr>
                          <w:rFonts w:ascii="Arial" w:eastAsia="Calibri" w:hAnsi="Arial" w:cs="Arial"/>
                          <w:color w:val="FFFFFF" w:themeColor="background1"/>
                          <w:sz w:val="20"/>
                          <w:szCs w:val="20"/>
                        </w:rPr>
                        <w:br/>
                        <w:t xml:space="preserve">ser objeto de recomendação em um processo, de modo que nem sempre </w:t>
                      </w:r>
                      <w:r w:rsidRPr="00BC64A8">
                        <w:rPr>
                          <w:rFonts w:ascii="Arial" w:eastAsia="Calibri" w:hAnsi="Arial" w:cs="Arial"/>
                          <w:color w:val="FFFFFF" w:themeColor="background1"/>
                          <w:sz w:val="20"/>
                          <w:szCs w:val="20"/>
                        </w:rPr>
                        <w:br/>
                        <w:t xml:space="preserve">precisará ser adotado de maneira integral. Recomenda-se que seja objeto </w:t>
                      </w:r>
                      <w:r w:rsidRPr="00BC64A8">
                        <w:rPr>
                          <w:rFonts w:ascii="Arial" w:eastAsia="Calibri" w:hAnsi="Arial" w:cs="Arial"/>
                          <w:color w:val="FFFFFF" w:themeColor="background1"/>
                          <w:sz w:val="20"/>
                          <w:szCs w:val="20"/>
                        </w:rPr>
                        <w:br/>
                        <w:t xml:space="preserve">de avaliação crítica, pela Procuradoria Federal junto à Autarquia ou </w:t>
                      </w:r>
                      <w:r w:rsidRPr="00BC64A8">
                        <w:rPr>
                          <w:rFonts w:ascii="Arial" w:eastAsia="Calibri" w:hAnsi="Arial" w:cs="Arial"/>
                          <w:color w:val="FFFFFF" w:themeColor="background1"/>
                          <w:sz w:val="20"/>
                          <w:szCs w:val="20"/>
                        </w:rPr>
                        <w:br/>
                        <w:t xml:space="preserve">Fundação Pública Federal, de acordo com as peculiaridades da entidade, </w:t>
                      </w:r>
                      <w:r w:rsidRPr="00BC64A8">
                        <w:rPr>
                          <w:rFonts w:ascii="Arial" w:eastAsia="Calibri" w:hAnsi="Arial" w:cs="Arial"/>
                          <w:color w:val="FFFFFF" w:themeColor="background1"/>
                          <w:sz w:val="20"/>
                          <w:szCs w:val="20"/>
                        </w:rPr>
                        <w:br/>
                        <w:t xml:space="preserve">para excluir ou adaptar os trechos que abordam temas sobre os quais o </w:t>
                      </w:r>
                      <w:r w:rsidRPr="00BC64A8">
                        <w:rPr>
                          <w:rFonts w:ascii="Arial" w:eastAsia="Calibri" w:hAnsi="Arial" w:cs="Arial"/>
                          <w:color w:val="FFFFFF" w:themeColor="background1"/>
                          <w:sz w:val="20"/>
                          <w:szCs w:val="20"/>
                        </w:rPr>
                        <w:br/>
                        <w:t>órgão consulente já tenha maturidade.</w:t>
                      </w:r>
                    </w:p>
                    <w:p w14:paraId="2BC29AB8" w14:textId="6AF40571" w:rsidR="00BC64A8" w:rsidRPr="00BC64A8" w:rsidRDefault="00BC64A8" w:rsidP="00BC64A8">
                      <w:pPr>
                        <w:numPr>
                          <w:ilvl w:val="0"/>
                          <w:numId w:val="5"/>
                        </w:numPr>
                        <w:ind w:left="2410" w:hanging="283"/>
                        <w:rPr>
                          <w:rFonts w:ascii="Arial" w:eastAsia="Times New Roman" w:hAnsi="Arial" w:cs="Arial"/>
                          <w:color w:val="FFFFFF" w:themeColor="background1"/>
                          <w:sz w:val="20"/>
                          <w:szCs w:val="20"/>
                        </w:rPr>
                      </w:pPr>
                      <w:r w:rsidRPr="00BC64A8">
                        <w:rPr>
                          <w:rFonts w:ascii="Arial" w:eastAsia="Calibri" w:hAnsi="Arial" w:cs="Arial"/>
                          <w:color w:val="FFFFFF" w:themeColor="background1"/>
                          <w:sz w:val="20"/>
                          <w:szCs w:val="20"/>
                        </w:rPr>
                        <w:t xml:space="preserve">Destaca-se, no entanto, que somente o Procurador Federal oficiante, </w:t>
                      </w:r>
                      <w:r w:rsidRPr="00BC64A8">
                        <w:rPr>
                          <w:rFonts w:ascii="Arial" w:eastAsia="Calibri" w:hAnsi="Arial" w:cs="Arial"/>
                          <w:color w:val="FFFFFF" w:themeColor="background1"/>
                          <w:sz w:val="20"/>
                          <w:szCs w:val="20"/>
                        </w:rPr>
                        <w:br/>
                        <w:t xml:space="preserve">no exercício de sua autonomia funcional, poderá avaliar a pertinência </w:t>
                      </w:r>
                      <w:r w:rsidRPr="00BC64A8">
                        <w:rPr>
                          <w:rFonts w:ascii="Arial" w:eastAsia="Calibri" w:hAnsi="Arial" w:cs="Arial"/>
                          <w:color w:val="FFFFFF" w:themeColor="background1"/>
                          <w:sz w:val="20"/>
                          <w:szCs w:val="20"/>
                        </w:rPr>
                        <w:br/>
                        <w:t xml:space="preserve">de manter os textos integralmente ou a necessidade de inclusão de </w:t>
                      </w:r>
                      <w:r w:rsidRPr="00BC64A8">
                        <w:rPr>
                          <w:rFonts w:ascii="Arial" w:eastAsia="Calibri" w:hAnsi="Arial" w:cs="Arial"/>
                          <w:color w:val="FFFFFF" w:themeColor="background1"/>
                          <w:sz w:val="20"/>
                          <w:szCs w:val="20"/>
                        </w:rPr>
                        <w:br/>
                        <w:t>um ou de diversos tópicos para adequar ao caso concreto.</w:t>
                      </w:r>
                    </w:p>
                  </w:txbxContent>
                </v:textbox>
              </v:roundrect>
            </w:pict>
          </mc:Fallback>
        </mc:AlternateContent>
      </w:r>
      <w:r w:rsidRPr="00BC64A8">
        <w:rPr>
          <w:noProof/>
          <w:lang w:eastAsia="pt-BR"/>
        </w:rPr>
        <mc:AlternateContent>
          <mc:Choice Requires="wps">
            <w:drawing>
              <wp:anchor distT="0" distB="0" distL="114300" distR="114300" simplePos="0" relativeHeight="251666432" behindDoc="0" locked="0" layoutInCell="1" allowOverlap="1" wp14:anchorId="53A0BF1A" wp14:editId="52FD8165">
                <wp:simplePos x="0" y="0"/>
                <wp:positionH relativeFrom="column">
                  <wp:posOffset>-278765</wp:posOffset>
                </wp:positionH>
                <wp:positionV relativeFrom="paragraph">
                  <wp:posOffset>0</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505AD" w14:textId="77777777" w:rsidR="00BC64A8" w:rsidRPr="00BC64A8" w:rsidRDefault="00BC64A8" w:rsidP="00BC64A8">
                            <w:pPr>
                              <w:jc w:val="center"/>
                              <w:rPr>
                                <w:rFonts w:ascii="Arial" w:hAnsi="Arial" w:cs="Arial"/>
                                <w:b/>
                                <w:bCs/>
                              </w:rPr>
                            </w:pPr>
                            <w:r w:rsidRPr="00BC64A8">
                              <w:rPr>
                                <w:rFonts w:ascii="Arial" w:hAnsi="Arial" w:cs="Arial"/>
                                <w:b/>
                                <w:bCs/>
                              </w:rPr>
                              <w:t xml:space="preserve">POR QUE UTILIZAR </w:t>
                            </w:r>
                            <w:r w:rsidRPr="00BC64A8">
                              <w:rPr>
                                <w:rFonts w:ascii="Arial" w:hAnsi="Arial" w:cs="Arial"/>
                                <w:b/>
                                <w:bCs/>
                              </w:rPr>
                              <w:br/>
                              <w:t>ESTE MODELO?</w:t>
                            </w:r>
                            <w:r w:rsidRPr="00BC64A8">
                              <w:rPr>
                                <w:rFonts w:ascii="Arial" w:hAnsi="Arial" w:cs="Arial"/>
                                <w:b/>
                                <w:bCs/>
                                <w:noProof/>
                                <w:lang w:eastAsia="pt-BR"/>
                              </w:rPr>
                              <w:drawing>
                                <wp:inline distT="0" distB="0" distL="0" distR="0" wp14:anchorId="77D94CFA" wp14:editId="666B1844">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0BF1A" id="Retângulo: Cantos Arredondados 1" o:spid="_x0000_s1029" style="position:absolute;margin-left:-21.95pt;margin-top:0;width:11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" fillcolor="#b886b3" stroked="f" strokeweight="1pt">
                <v:stroke joinstyle="miter"/>
                <v:textbox>
                  <w:txbxContent>
                    <w:p w14:paraId="649505AD" w14:textId="77777777" w:rsidR="00BC64A8" w:rsidRPr="00BC64A8" w:rsidRDefault="00BC64A8" w:rsidP="00BC64A8">
                      <w:pPr>
                        <w:jc w:val="center"/>
                        <w:rPr>
                          <w:rFonts w:ascii="Arial" w:hAnsi="Arial" w:cs="Arial"/>
                          <w:b/>
                          <w:bCs/>
                        </w:rPr>
                      </w:pPr>
                      <w:r w:rsidRPr="00BC64A8">
                        <w:rPr>
                          <w:rFonts w:ascii="Arial" w:hAnsi="Arial" w:cs="Arial"/>
                          <w:b/>
                          <w:bCs/>
                        </w:rPr>
                        <w:t xml:space="preserve">POR QUE UTILIZAR </w:t>
                      </w:r>
                      <w:r w:rsidRPr="00BC64A8">
                        <w:rPr>
                          <w:rFonts w:ascii="Arial" w:hAnsi="Arial" w:cs="Arial"/>
                          <w:b/>
                          <w:bCs/>
                        </w:rPr>
                        <w:br/>
                        <w:t>ESTE MODELO?</w:t>
                      </w:r>
                      <w:r w:rsidRPr="00BC64A8">
                        <w:rPr>
                          <w:rFonts w:ascii="Arial" w:hAnsi="Arial" w:cs="Arial"/>
                          <w:b/>
                          <w:bCs/>
                          <w:noProof/>
                          <w:lang w:eastAsia="pt-BR"/>
                        </w:rPr>
                        <w:drawing>
                          <wp:inline distT="0" distB="0" distL="0" distR="0" wp14:anchorId="77D94CFA" wp14:editId="666B1844">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7614AA63" w14:textId="261A7913" w:rsidR="00E626DF" w:rsidRDefault="00890E85">
      <w:r w:rsidRPr="00BC64A8">
        <w:rPr>
          <w:noProof/>
          <w:lang w:eastAsia="pt-BR"/>
        </w:rPr>
        <mc:AlternateContent>
          <mc:Choice Requires="wps">
            <w:drawing>
              <wp:anchor distT="0" distB="0" distL="114300" distR="114300" simplePos="0" relativeHeight="251674624" behindDoc="0" locked="0" layoutInCell="1" allowOverlap="1" wp14:anchorId="3940737C" wp14:editId="54926E5D">
                <wp:simplePos x="0" y="0"/>
                <wp:positionH relativeFrom="column">
                  <wp:posOffset>-86360</wp:posOffset>
                </wp:positionH>
                <wp:positionV relativeFrom="paragraph">
                  <wp:posOffset>3399155</wp:posOffset>
                </wp:positionV>
                <wp:extent cx="6299835" cy="2980690"/>
                <wp:effectExtent l="0" t="0" r="5715" b="0"/>
                <wp:wrapNone/>
                <wp:docPr id="150" name="Retângulo: Cantos Arredondados 150"/>
                <wp:cNvGraphicFramePr/>
                <a:graphic xmlns:a="http://schemas.openxmlformats.org/drawingml/2006/main">
                  <a:graphicData uri="http://schemas.microsoft.com/office/word/2010/wordprocessingShape">
                    <wps:wsp>
                      <wps:cNvSpPr/>
                      <wps:spPr>
                        <a:xfrm>
                          <a:off x="0" y="0"/>
                          <a:ext cx="6299835" cy="2980690"/>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98B6071" w14:textId="77777777" w:rsidR="007C5E1C" w:rsidRPr="000F5532" w:rsidRDefault="007C5E1C" w:rsidP="007C5E1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0737C" id="Retângulo: Cantos Arredondados 150" o:spid="_x0000_s1030" style="position:absolute;margin-left:-6.8pt;margin-top:267.65pt;width:496.05pt;height:23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" fillcolor="#154b5d" stroked="f" strokeweight="1pt">
                <v:stroke joinstyle="miter"/>
                <v:textbox>
                  <w:txbxContent>
                    <w:p w14:paraId="598B6071" w14:textId="77777777" w:rsidR="007C5E1C" w:rsidRPr="000F5532" w:rsidRDefault="007C5E1C" w:rsidP="007C5E1C">
                      <w:pPr>
                        <w:ind w:left="2484"/>
                        <w:rPr>
                          <w:rFonts w:ascii="Ubuntu" w:hAnsi="Ubuntu"/>
                          <w:color w:val="FFFFFF" w:themeColor="background1"/>
                          <w:sz w:val="20"/>
                          <w:szCs w:val="20"/>
                        </w:rPr>
                      </w:pPr>
                    </w:p>
                  </w:txbxContent>
                </v:textbox>
              </v:roundrect>
            </w:pict>
          </mc:Fallback>
        </mc:AlternateContent>
      </w:r>
      <w:r w:rsidRPr="00BC64A8">
        <w:rPr>
          <w:noProof/>
          <w:lang w:eastAsia="pt-BR"/>
        </w:rPr>
        <mc:AlternateContent>
          <mc:Choice Requires="wps">
            <w:drawing>
              <wp:anchor distT="0" distB="0" distL="114300" distR="114300" simplePos="0" relativeHeight="251676672" behindDoc="0" locked="0" layoutInCell="1" allowOverlap="1" wp14:anchorId="5EAC2603" wp14:editId="272637FE">
                <wp:simplePos x="0" y="0"/>
                <wp:positionH relativeFrom="column">
                  <wp:posOffset>-273050</wp:posOffset>
                </wp:positionH>
                <wp:positionV relativeFrom="paragraph">
                  <wp:posOffset>3284855</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D7030" w14:textId="77777777" w:rsidR="00BC64A8" w:rsidRPr="00A06A28" w:rsidRDefault="00BC64A8" w:rsidP="00BC64A8">
                            <w:pPr>
                              <w:jc w:val="center"/>
                              <w:rPr>
                                <w:rFonts w:ascii="Ubuntu" w:hAnsi="Ubuntu"/>
                                <w:b/>
                                <w:bCs/>
                              </w:rPr>
                            </w:pPr>
                            <w:r w:rsidRPr="00BC64A8">
                              <w:rPr>
                                <w:rFonts w:ascii="Arial" w:hAnsi="Arial" w:cs="Arial"/>
                                <w:b/>
                                <w:bCs/>
                              </w:rPr>
                              <w:t>HIPÓTESES DE APLICAÇÃO</w:t>
                            </w:r>
                            <w:r>
                              <w:rPr>
                                <w:rFonts w:ascii="Ubuntu" w:hAnsi="Ubuntu"/>
                                <w:b/>
                                <w:bCs/>
                                <w:noProof/>
                                <w:lang w:eastAsia="pt-BR"/>
                              </w:rPr>
                              <w:drawing>
                                <wp:inline distT="0" distB="0" distL="0" distR="0" wp14:anchorId="2DB916B4" wp14:editId="30A8B00A">
                                  <wp:extent cx="856788" cy="106235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C2603" id="Retângulo: Cantos Arredondados 20" o:spid="_x0000_s1031" style="position:absolute;margin-left:-21.5pt;margin-top:258.65pt;width:114pt;height:1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" fillcolor="#b886b3" stroked="f" strokeweight="1pt">
                <v:stroke joinstyle="miter"/>
                <v:textbox>
                  <w:txbxContent>
                    <w:p w14:paraId="159D7030" w14:textId="77777777" w:rsidR="00BC64A8" w:rsidRPr="00A06A28" w:rsidRDefault="00BC64A8" w:rsidP="00BC64A8">
                      <w:pPr>
                        <w:jc w:val="center"/>
                        <w:rPr>
                          <w:rFonts w:ascii="Ubuntu" w:hAnsi="Ubuntu"/>
                          <w:b/>
                          <w:bCs/>
                        </w:rPr>
                      </w:pPr>
                      <w:r w:rsidRPr="00BC64A8">
                        <w:rPr>
                          <w:rFonts w:ascii="Arial" w:hAnsi="Arial" w:cs="Arial"/>
                          <w:b/>
                          <w:bCs/>
                        </w:rPr>
                        <w:t>HIPÓTESES DE APLICAÇÃO</w:t>
                      </w:r>
                      <w:r>
                        <w:rPr>
                          <w:rFonts w:ascii="Ubuntu" w:hAnsi="Ubuntu"/>
                          <w:b/>
                          <w:bCs/>
                          <w:noProof/>
                          <w:lang w:eastAsia="pt-BR"/>
                        </w:rPr>
                        <w:drawing>
                          <wp:inline distT="0" distB="0" distL="0" distR="0" wp14:anchorId="2DB916B4" wp14:editId="30A8B00A">
                            <wp:extent cx="856788" cy="106235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BC64A8">
        <w:rPr>
          <w:noProof/>
          <w:lang w:eastAsia="pt-BR"/>
        </w:rPr>
        <mc:AlternateContent>
          <mc:Choice Requires="wps">
            <w:drawing>
              <wp:anchor distT="0" distB="0" distL="114300" distR="114300" simplePos="0" relativeHeight="251675648" behindDoc="0" locked="0" layoutInCell="1" allowOverlap="1" wp14:anchorId="1BE7C345" wp14:editId="3E1E300D">
                <wp:simplePos x="0" y="0"/>
                <wp:positionH relativeFrom="column">
                  <wp:posOffset>19685</wp:posOffset>
                </wp:positionH>
                <wp:positionV relativeFrom="paragraph">
                  <wp:posOffset>3502356</wp:posOffset>
                </wp:positionV>
                <wp:extent cx="6299835" cy="2980055"/>
                <wp:effectExtent l="19050" t="19050" r="24765" b="10795"/>
                <wp:wrapNone/>
                <wp:docPr id="24" name="Retângulo: Cantos Arredondados 24"/>
                <wp:cNvGraphicFramePr/>
                <a:graphic xmlns:a="http://schemas.openxmlformats.org/drawingml/2006/main">
                  <a:graphicData uri="http://schemas.microsoft.com/office/word/2010/wordprocessingShape">
                    <wps:wsp>
                      <wps:cNvSpPr/>
                      <wps:spPr>
                        <a:xfrm>
                          <a:off x="0" y="0"/>
                          <a:ext cx="6299835" cy="2980055"/>
                        </a:xfrm>
                        <a:prstGeom prst="roundRect">
                          <a:avLst>
                            <a:gd name="adj" fmla="val 3660"/>
                          </a:avLst>
                        </a:prstGeom>
                        <a:noFill/>
                        <a:ln w="28575" cap="rnd">
                          <a:solidFill>
                            <a:srgbClr val="B886B3"/>
                          </a:solidFill>
                          <a:round/>
                        </a:ln>
                      </wps:spPr>
                      <wps:style>
                        <a:lnRef idx="2">
                          <a:schemeClr val="dk1">
                            <a:shade val="50000"/>
                          </a:schemeClr>
                        </a:lnRef>
                        <a:fillRef idx="1">
                          <a:schemeClr val="dk1"/>
                        </a:fillRef>
                        <a:effectRef idx="0">
                          <a:schemeClr val="dk1"/>
                        </a:effectRef>
                        <a:fontRef idx="minor">
                          <a:schemeClr val="lt1"/>
                        </a:fontRef>
                      </wps:style>
                      <wps:txbx>
                        <w:txbxContent>
                          <w:p w14:paraId="6E40FAC1" w14:textId="72E19D71" w:rsidR="00BC64A8" w:rsidRDefault="00BC64A8" w:rsidP="00BC64A8">
                            <w:pPr>
                              <w:numPr>
                                <w:ilvl w:val="0"/>
                                <w:numId w:val="29"/>
                              </w:numPr>
                              <w:spacing w:line="240" w:lineRule="auto"/>
                              <w:ind w:left="2410" w:hanging="286"/>
                              <w:rPr>
                                <w:rFonts w:ascii="Arial" w:eastAsia="Times New Roman" w:hAnsi="Arial" w:cs="Arial"/>
                                <w:color w:val="FFFFFF" w:themeColor="background1"/>
                                <w:sz w:val="20"/>
                                <w:szCs w:val="20"/>
                              </w:rPr>
                            </w:pPr>
                            <w:r w:rsidRPr="00BC64A8">
                              <w:rPr>
                                <w:rFonts w:ascii="Arial" w:eastAsia="Calibri" w:hAnsi="Arial" w:cs="Arial"/>
                                <w:color w:val="FFFFFF" w:themeColor="background1"/>
                                <w:sz w:val="20"/>
                                <w:szCs w:val="20"/>
                              </w:rPr>
                              <w:t xml:space="preserve">Licitações na modalidade de pregão, na forma eletrônica, sob o </w:t>
                            </w:r>
                            <w:r>
                              <w:rPr>
                                <w:rFonts w:ascii="Arial" w:eastAsia="Calibri" w:hAnsi="Arial" w:cs="Arial"/>
                                <w:color w:val="FFFFFF" w:themeColor="background1"/>
                                <w:sz w:val="20"/>
                                <w:szCs w:val="20"/>
                              </w:rPr>
                              <w:br/>
                            </w:r>
                            <w:r w:rsidRPr="00BC64A8">
                              <w:rPr>
                                <w:rFonts w:ascii="Arial" w:eastAsia="Calibri" w:hAnsi="Arial" w:cs="Arial"/>
                                <w:color w:val="FFFFFF" w:themeColor="background1"/>
                                <w:sz w:val="20"/>
                                <w:szCs w:val="20"/>
                              </w:rPr>
                              <w:t xml:space="preserve">regramento da Lei n.º 14.133, de 2021, para contratação de serviços </w:t>
                            </w:r>
                            <w:r>
                              <w:rPr>
                                <w:rFonts w:ascii="Arial" w:eastAsia="Calibri" w:hAnsi="Arial" w:cs="Arial"/>
                                <w:color w:val="FFFFFF" w:themeColor="background1"/>
                                <w:sz w:val="20"/>
                                <w:szCs w:val="20"/>
                              </w:rPr>
                              <w:br/>
                            </w:r>
                            <w:r w:rsidRPr="00BC64A8">
                              <w:rPr>
                                <w:rFonts w:ascii="Arial" w:eastAsia="Calibri" w:hAnsi="Arial" w:cs="Arial"/>
                                <w:color w:val="FFFFFF" w:themeColor="background1"/>
                                <w:sz w:val="20"/>
                                <w:szCs w:val="20"/>
                              </w:rPr>
                              <w:t xml:space="preserve">de engenharia classificáveis como comuns, nos termos da definição </w:t>
                            </w:r>
                            <w:r>
                              <w:rPr>
                                <w:rFonts w:ascii="Arial" w:eastAsia="Calibri" w:hAnsi="Arial" w:cs="Arial"/>
                                <w:color w:val="FFFFFF" w:themeColor="background1"/>
                                <w:sz w:val="20"/>
                                <w:szCs w:val="20"/>
                              </w:rPr>
                              <w:br/>
                            </w:r>
                            <w:r w:rsidRPr="00BC64A8">
                              <w:rPr>
                                <w:rFonts w:ascii="Arial" w:eastAsia="Calibri" w:hAnsi="Arial" w:cs="Arial"/>
                                <w:color w:val="FFFFFF" w:themeColor="background1"/>
                                <w:sz w:val="20"/>
                                <w:szCs w:val="20"/>
                              </w:rPr>
                              <w:t xml:space="preserve">constante da alínea “a” do inciso XXI do art. 6º da referida Lei. Deve </w:t>
                            </w:r>
                            <w:r>
                              <w:rPr>
                                <w:rFonts w:ascii="Arial" w:eastAsia="Calibri" w:hAnsi="Arial" w:cs="Arial"/>
                                <w:color w:val="FFFFFF" w:themeColor="background1"/>
                                <w:sz w:val="20"/>
                                <w:szCs w:val="20"/>
                              </w:rPr>
                              <w:br/>
                            </w:r>
                            <w:r w:rsidRPr="00BC64A8">
                              <w:rPr>
                                <w:rFonts w:ascii="Arial" w:eastAsia="Calibri" w:hAnsi="Arial" w:cs="Arial"/>
                                <w:color w:val="FFFFFF" w:themeColor="background1"/>
                                <w:sz w:val="20"/>
                                <w:szCs w:val="20"/>
                              </w:rPr>
                              <w:t xml:space="preserve">ser utilizado para serviços continuados de engenharia sem dedicação </w:t>
                            </w:r>
                            <w:r w:rsidR="00890E85">
                              <w:rPr>
                                <w:rFonts w:ascii="Arial" w:eastAsia="Calibri" w:hAnsi="Arial" w:cs="Arial"/>
                                <w:color w:val="FFFFFF" w:themeColor="background1"/>
                                <w:sz w:val="20"/>
                                <w:szCs w:val="20"/>
                              </w:rPr>
                              <w:br/>
                            </w:r>
                            <w:r w:rsidRPr="00BC64A8">
                              <w:rPr>
                                <w:rFonts w:ascii="Arial" w:eastAsia="Calibri" w:hAnsi="Arial" w:cs="Arial"/>
                                <w:color w:val="FFFFFF" w:themeColor="background1"/>
                                <w:sz w:val="20"/>
                                <w:szCs w:val="20"/>
                              </w:rPr>
                              <w:t xml:space="preserve">exclusiva de mão de obra ou para serviços de engenharia não </w:t>
                            </w:r>
                            <w:r>
                              <w:rPr>
                                <w:rFonts w:ascii="Arial" w:eastAsia="Calibri" w:hAnsi="Arial" w:cs="Arial"/>
                                <w:color w:val="FFFFFF" w:themeColor="background1"/>
                                <w:sz w:val="20"/>
                                <w:szCs w:val="20"/>
                              </w:rPr>
                              <w:br/>
                            </w:r>
                            <w:r w:rsidRPr="00BC64A8">
                              <w:rPr>
                                <w:rFonts w:ascii="Arial" w:eastAsia="Calibri" w:hAnsi="Arial" w:cs="Arial"/>
                                <w:color w:val="FFFFFF" w:themeColor="background1"/>
                                <w:sz w:val="20"/>
                                <w:szCs w:val="20"/>
                              </w:rPr>
                              <w:t xml:space="preserve">continuados, mediante o regime de empreitada por preço unitário ou empreitada por preço global. </w:t>
                            </w:r>
                          </w:p>
                          <w:p w14:paraId="15DF1C15" w14:textId="77777777" w:rsidR="00BC64A8" w:rsidRDefault="00BC64A8" w:rsidP="00BC64A8">
                            <w:pPr>
                              <w:numPr>
                                <w:ilvl w:val="0"/>
                                <w:numId w:val="29"/>
                              </w:numPr>
                              <w:spacing w:line="240" w:lineRule="auto"/>
                              <w:ind w:left="2410" w:hanging="286"/>
                              <w:rPr>
                                <w:rFonts w:ascii="Arial" w:eastAsia="Times New Roman" w:hAnsi="Arial" w:cs="Arial"/>
                                <w:color w:val="FFFFFF" w:themeColor="background1"/>
                                <w:sz w:val="20"/>
                                <w:szCs w:val="20"/>
                              </w:rPr>
                            </w:pPr>
                            <w:r w:rsidRPr="00BC64A8">
                              <w:rPr>
                                <w:rFonts w:ascii="Arial" w:eastAsia="Calibri" w:hAnsi="Arial" w:cs="Arial"/>
                                <w:color w:val="FFFFFF" w:themeColor="background1"/>
                                <w:sz w:val="20"/>
                                <w:szCs w:val="20"/>
                              </w:rPr>
                              <w:t xml:space="preserve">Se a contratação de serviço comum de engenharia for realizada com </w:t>
                            </w:r>
                            <w:r w:rsidRPr="00BC64A8">
                              <w:rPr>
                                <w:rFonts w:ascii="Arial" w:eastAsia="Calibri" w:hAnsi="Arial" w:cs="Arial"/>
                                <w:color w:val="FFFFFF" w:themeColor="background1"/>
                                <w:sz w:val="20"/>
                                <w:szCs w:val="20"/>
                              </w:rPr>
                              <w:br/>
                              <w:t xml:space="preserve">dedicação exclusiva de mão-de-obra, este modelo deverá ser combinado </w:t>
                            </w:r>
                            <w:r w:rsidRPr="00BC64A8">
                              <w:rPr>
                                <w:rFonts w:ascii="Arial" w:eastAsia="Calibri" w:hAnsi="Arial" w:cs="Arial"/>
                                <w:color w:val="FFFFFF" w:themeColor="background1"/>
                                <w:sz w:val="20"/>
                                <w:szCs w:val="20"/>
                              </w:rPr>
                              <w:br/>
                              <w:t>com o de serviços continuados com dedicação exclusiva de mão-de-obra, transportando as matérias ali pertinentes para o presente modelo.</w:t>
                            </w:r>
                          </w:p>
                          <w:p w14:paraId="4009E72D" w14:textId="5E771ECE" w:rsidR="00BC64A8" w:rsidRPr="00890E85" w:rsidRDefault="00BC64A8" w:rsidP="00BC64A8">
                            <w:pPr>
                              <w:numPr>
                                <w:ilvl w:val="0"/>
                                <w:numId w:val="29"/>
                              </w:numPr>
                              <w:spacing w:line="240" w:lineRule="auto"/>
                              <w:ind w:left="2410" w:hanging="286"/>
                              <w:rPr>
                                <w:rFonts w:ascii="Arial" w:eastAsia="Times New Roman" w:hAnsi="Arial" w:cs="Arial"/>
                                <w:color w:val="FFFFFF" w:themeColor="background1"/>
                                <w:sz w:val="20"/>
                                <w:szCs w:val="20"/>
                              </w:rPr>
                            </w:pPr>
                            <w:r w:rsidRPr="00BC64A8">
                              <w:rPr>
                                <w:rFonts w:ascii="Arial" w:eastAsia="Calibri" w:hAnsi="Arial" w:cs="Arial"/>
                                <w:color w:val="FFFFFF" w:themeColor="background1"/>
                                <w:sz w:val="20"/>
                                <w:szCs w:val="20"/>
                              </w:rPr>
                              <w:t>Pressupõe-se a ado</w:t>
                            </w:r>
                            <w:r w:rsidRPr="00BC64A8">
                              <w:rPr>
                                <w:rFonts w:ascii="Arial" w:eastAsia="Times New Roman" w:hAnsi="Arial" w:cs="Arial"/>
                                <w:color w:val="FFFFFF" w:themeColor="background1"/>
                                <w:sz w:val="20"/>
                                <w:szCs w:val="20"/>
                                <w:lang w:eastAsia="pt-BR"/>
                              </w:rPr>
                              <w:t xml:space="preserve">ção pela Administração Pública dos modelos de </w:t>
                            </w:r>
                            <w:r w:rsidR="007C5E1C">
                              <w:rPr>
                                <w:rFonts w:ascii="Arial" w:eastAsia="Times New Roman" w:hAnsi="Arial" w:cs="Arial"/>
                                <w:color w:val="FFFFFF" w:themeColor="background1"/>
                                <w:sz w:val="20"/>
                                <w:szCs w:val="20"/>
                                <w:lang w:eastAsia="pt-BR"/>
                              </w:rPr>
                              <w:br/>
                            </w:r>
                            <w:r w:rsidRPr="00BC64A8">
                              <w:rPr>
                                <w:rFonts w:ascii="Arial" w:eastAsia="Times New Roman" w:hAnsi="Arial" w:cs="Arial"/>
                                <w:color w:val="FFFFFF" w:themeColor="background1"/>
                                <w:sz w:val="20"/>
                                <w:szCs w:val="20"/>
                                <w:lang w:eastAsia="pt-BR"/>
                              </w:rPr>
                              <w:t xml:space="preserve">editais, termos de referência, contratos e atas de registro de preços </w:t>
                            </w:r>
                            <w:r w:rsidR="007C5E1C">
                              <w:rPr>
                                <w:rFonts w:ascii="Arial" w:eastAsia="Times New Roman" w:hAnsi="Arial" w:cs="Arial"/>
                                <w:color w:val="FFFFFF" w:themeColor="background1"/>
                                <w:sz w:val="20"/>
                                <w:szCs w:val="20"/>
                                <w:lang w:eastAsia="pt-BR"/>
                              </w:rPr>
                              <w:br/>
                            </w:r>
                            <w:r w:rsidRPr="00BC64A8">
                              <w:rPr>
                                <w:rFonts w:ascii="Arial" w:eastAsia="Times New Roman" w:hAnsi="Arial" w:cs="Arial"/>
                                <w:color w:val="FFFFFF" w:themeColor="background1"/>
                                <w:sz w:val="20"/>
                                <w:szCs w:val="20"/>
                                <w:lang w:eastAsia="pt-BR"/>
                              </w:rPr>
                              <w:t xml:space="preserve">(se for o caso)  aprovados pela </w:t>
                            </w:r>
                            <w:hyperlink r:id="rId16" w:history="1">
                              <w:r w:rsidRPr="00BC64A8">
                                <w:rPr>
                                  <w:rStyle w:val="Ttulo2Char"/>
                                  <w:rFonts w:ascii="Arial" w:eastAsiaTheme="minorHAnsi" w:hAnsi="Arial" w:cs="Arial"/>
                                  <w:b w:val="0"/>
                                  <w:bCs w:val="0"/>
                                  <w:color w:val="FFFFFF" w:themeColor="background1"/>
                                  <w:sz w:val="20"/>
                                  <w:szCs w:val="20"/>
                                </w:rPr>
                                <w:t xml:space="preserve">Câmara Nacional de Modelos de </w:t>
                              </w:r>
                              <w:r w:rsidR="007C5E1C">
                                <w:rPr>
                                  <w:rStyle w:val="Ttulo2Char"/>
                                  <w:rFonts w:ascii="Arial" w:eastAsiaTheme="minorHAnsi" w:hAnsi="Arial" w:cs="Arial"/>
                                  <w:b w:val="0"/>
                                  <w:bCs w:val="0"/>
                                  <w:color w:val="FFFFFF" w:themeColor="background1"/>
                                  <w:sz w:val="20"/>
                                  <w:szCs w:val="20"/>
                                </w:rPr>
                                <w:br/>
                              </w:r>
                              <w:r w:rsidRPr="00BC64A8">
                                <w:rPr>
                                  <w:rStyle w:val="Ttulo2Char"/>
                                  <w:rFonts w:ascii="Arial" w:eastAsiaTheme="minorHAnsi" w:hAnsi="Arial" w:cs="Arial"/>
                                  <w:b w:val="0"/>
                                  <w:bCs w:val="0"/>
                                  <w:color w:val="FFFFFF" w:themeColor="background1"/>
                                  <w:sz w:val="20"/>
                                  <w:szCs w:val="20"/>
                                </w:rPr>
                                <w:t>Licitações e Contratos da Advocacia-Geral da União (CNMLC)</w:t>
                              </w:r>
                            </w:hyperlink>
                            <w:r w:rsidRPr="00BC64A8">
                              <w:rPr>
                                <w:rFonts w:ascii="Arial" w:eastAsia="Times New Roman" w:hAnsi="Arial" w:cs="Arial"/>
                                <w:b/>
                                <w:bCs/>
                                <w:color w:val="FFFFFF" w:themeColor="background1"/>
                                <w:sz w:val="20"/>
                                <w:szCs w:val="20"/>
                                <w:lang w:eastAsia="pt-BR"/>
                              </w:rPr>
                              <w:t>.</w:t>
                            </w: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7C345" id="Retângulo: Cantos Arredondados 24" o:spid="_x0000_s1032" style="position:absolute;margin-left:1.55pt;margin-top:275.8pt;width:496.05pt;height:23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" filled="f" strokecolor="#b886b3" strokeweight="2.25pt">
                <v:stroke endcap="round"/>
                <v:textbox inset="2mm">
                  <w:txbxContent>
                    <w:p w14:paraId="6E40FAC1" w14:textId="72E19D71" w:rsidR="00BC64A8" w:rsidRDefault="00BC64A8" w:rsidP="00BC64A8">
                      <w:pPr>
                        <w:numPr>
                          <w:ilvl w:val="0"/>
                          <w:numId w:val="29"/>
                        </w:numPr>
                        <w:spacing w:line="240" w:lineRule="auto"/>
                        <w:ind w:left="2410" w:hanging="286"/>
                        <w:rPr>
                          <w:rFonts w:ascii="Arial" w:eastAsia="Times New Roman" w:hAnsi="Arial" w:cs="Arial"/>
                          <w:color w:val="FFFFFF" w:themeColor="background1"/>
                          <w:sz w:val="20"/>
                          <w:szCs w:val="20"/>
                        </w:rPr>
                      </w:pPr>
                      <w:r w:rsidRPr="00BC64A8">
                        <w:rPr>
                          <w:rFonts w:ascii="Arial" w:eastAsia="Calibri" w:hAnsi="Arial" w:cs="Arial"/>
                          <w:color w:val="FFFFFF" w:themeColor="background1"/>
                          <w:sz w:val="20"/>
                          <w:szCs w:val="20"/>
                        </w:rPr>
                        <w:t xml:space="preserve">Licitações na modalidade de pregão, na forma eletrônica, sob o </w:t>
                      </w:r>
                      <w:r>
                        <w:rPr>
                          <w:rFonts w:ascii="Arial" w:eastAsia="Calibri" w:hAnsi="Arial" w:cs="Arial"/>
                          <w:color w:val="FFFFFF" w:themeColor="background1"/>
                          <w:sz w:val="20"/>
                          <w:szCs w:val="20"/>
                        </w:rPr>
                        <w:br/>
                      </w:r>
                      <w:r w:rsidRPr="00BC64A8">
                        <w:rPr>
                          <w:rFonts w:ascii="Arial" w:eastAsia="Calibri" w:hAnsi="Arial" w:cs="Arial"/>
                          <w:color w:val="FFFFFF" w:themeColor="background1"/>
                          <w:sz w:val="20"/>
                          <w:szCs w:val="20"/>
                        </w:rPr>
                        <w:t xml:space="preserve">regramento da Lei n.º 14.133, de 2021, para contratação de serviços </w:t>
                      </w:r>
                      <w:r>
                        <w:rPr>
                          <w:rFonts w:ascii="Arial" w:eastAsia="Calibri" w:hAnsi="Arial" w:cs="Arial"/>
                          <w:color w:val="FFFFFF" w:themeColor="background1"/>
                          <w:sz w:val="20"/>
                          <w:szCs w:val="20"/>
                        </w:rPr>
                        <w:br/>
                      </w:r>
                      <w:r w:rsidRPr="00BC64A8">
                        <w:rPr>
                          <w:rFonts w:ascii="Arial" w:eastAsia="Calibri" w:hAnsi="Arial" w:cs="Arial"/>
                          <w:color w:val="FFFFFF" w:themeColor="background1"/>
                          <w:sz w:val="20"/>
                          <w:szCs w:val="20"/>
                        </w:rPr>
                        <w:t xml:space="preserve">de engenharia classificáveis como comuns, nos termos da definição </w:t>
                      </w:r>
                      <w:r>
                        <w:rPr>
                          <w:rFonts w:ascii="Arial" w:eastAsia="Calibri" w:hAnsi="Arial" w:cs="Arial"/>
                          <w:color w:val="FFFFFF" w:themeColor="background1"/>
                          <w:sz w:val="20"/>
                          <w:szCs w:val="20"/>
                        </w:rPr>
                        <w:br/>
                      </w:r>
                      <w:r w:rsidRPr="00BC64A8">
                        <w:rPr>
                          <w:rFonts w:ascii="Arial" w:eastAsia="Calibri" w:hAnsi="Arial" w:cs="Arial"/>
                          <w:color w:val="FFFFFF" w:themeColor="background1"/>
                          <w:sz w:val="20"/>
                          <w:szCs w:val="20"/>
                        </w:rPr>
                        <w:t xml:space="preserve">constante da alínea “a” do inciso XXI do art. 6º da referida Lei. Deve </w:t>
                      </w:r>
                      <w:r>
                        <w:rPr>
                          <w:rFonts w:ascii="Arial" w:eastAsia="Calibri" w:hAnsi="Arial" w:cs="Arial"/>
                          <w:color w:val="FFFFFF" w:themeColor="background1"/>
                          <w:sz w:val="20"/>
                          <w:szCs w:val="20"/>
                        </w:rPr>
                        <w:br/>
                      </w:r>
                      <w:r w:rsidRPr="00BC64A8">
                        <w:rPr>
                          <w:rFonts w:ascii="Arial" w:eastAsia="Calibri" w:hAnsi="Arial" w:cs="Arial"/>
                          <w:color w:val="FFFFFF" w:themeColor="background1"/>
                          <w:sz w:val="20"/>
                          <w:szCs w:val="20"/>
                        </w:rPr>
                        <w:t xml:space="preserve">ser utilizado para serviços continuados de engenharia sem dedicação </w:t>
                      </w:r>
                      <w:r w:rsidR="00890E85">
                        <w:rPr>
                          <w:rFonts w:ascii="Arial" w:eastAsia="Calibri" w:hAnsi="Arial" w:cs="Arial"/>
                          <w:color w:val="FFFFFF" w:themeColor="background1"/>
                          <w:sz w:val="20"/>
                          <w:szCs w:val="20"/>
                        </w:rPr>
                        <w:br/>
                      </w:r>
                      <w:r w:rsidRPr="00BC64A8">
                        <w:rPr>
                          <w:rFonts w:ascii="Arial" w:eastAsia="Calibri" w:hAnsi="Arial" w:cs="Arial"/>
                          <w:color w:val="FFFFFF" w:themeColor="background1"/>
                          <w:sz w:val="20"/>
                          <w:szCs w:val="20"/>
                        </w:rPr>
                        <w:t xml:space="preserve">exclusiva de mão de obra ou para serviços de engenharia não </w:t>
                      </w:r>
                      <w:r>
                        <w:rPr>
                          <w:rFonts w:ascii="Arial" w:eastAsia="Calibri" w:hAnsi="Arial" w:cs="Arial"/>
                          <w:color w:val="FFFFFF" w:themeColor="background1"/>
                          <w:sz w:val="20"/>
                          <w:szCs w:val="20"/>
                        </w:rPr>
                        <w:br/>
                      </w:r>
                      <w:r w:rsidRPr="00BC64A8">
                        <w:rPr>
                          <w:rFonts w:ascii="Arial" w:eastAsia="Calibri" w:hAnsi="Arial" w:cs="Arial"/>
                          <w:color w:val="FFFFFF" w:themeColor="background1"/>
                          <w:sz w:val="20"/>
                          <w:szCs w:val="20"/>
                        </w:rPr>
                        <w:t xml:space="preserve">continuados, mediante o regime de empreitada por preço unitário ou empreitada por preço global. </w:t>
                      </w:r>
                    </w:p>
                    <w:p w14:paraId="15DF1C15" w14:textId="77777777" w:rsidR="00BC64A8" w:rsidRDefault="00BC64A8" w:rsidP="00BC64A8">
                      <w:pPr>
                        <w:numPr>
                          <w:ilvl w:val="0"/>
                          <w:numId w:val="29"/>
                        </w:numPr>
                        <w:spacing w:line="240" w:lineRule="auto"/>
                        <w:ind w:left="2410" w:hanging="286"/>
                        <w:rPr>
                          <w:rFonts w:ascii="Arial" w:eastAsia="Times New Roman" w:hAnsi="Arial" w:cs="Arial"/>
                          <w:color w:val="FFFFFF" w:themeColor="background1"/>
                          <w:sz w:val="20"/>
                          <w:szCs w:val="20"/>
                        </w:rPr>
                      </w:pPr>
                      <w:r w:rsidRPr="00BC64A8">
                        <w:rPr>
                          <w:rFonts w:ascii="Arial" w:eastAsia="Calibri" w:hAnsi="Arial" w:cs="Arial"/>
                          <w:color w:val="FFFFFF" w:themeColor="background1"/>
                          <w:sz w:val="20"/>
                          <w:szCs w:val="20"/>
                        </w:rPr>
                        <w:t xml:space="preserve">Se a contratação de serviço comum de engenharia for realizada com </w:t>
                      </w:r>
                      <w:r w:rsidRPr="00BC64A8">
                        <w:rPr>
                          <w:rFonts w:ascii="Arial" w:eastAsia="Calibri" w:hAnsi="Arial" w:cs="Arial"/>
                          <w:color w:val="FFFFFF" w:themeColor="background1"/>
                          <w:sz w:val="20"/>
                          <w:szCs w:val="20"/>
                        </w:rPr>
                        <w:br/>
                        <w:t xml:space="preserve">dedicação exclusiva de mão-de-obra, este modelo deverá ser combinado </w:t>
                      </w:r>
                      <w:r w:rsidRPr="00BC64A8">
                        <w:rPr>
                          <w:rFonts w:ascii="Arial" w:eastAsia="Calibri" w:hAnsi="Arial" w:cs="Arial"/>
                          <w:color w:val="FFFFFF" w:themeColor="background1"/>
                          <w:sz w:val="20"/>
                          <w:szCs w:val="20"/>
                        </w:rPr>
                        <w:br/>
                        <w:t>com o de serviços continuados com dedicação exclusiva de mão-de-obra, transportando as matérias ali pertinentes para o presente modelo.</w:t>
                      </w:r>
                    </w:p>
                    <w:p w14:paraId="4009E72D" w14:textId="5E771ECE" w:rsidR="00BC64A8" w:rsidRPr="00890E85" w:rsidRDefault="00BC64A8" w:rsidP="00BC64A8">
                      <w:pPr>
                        <w:numPr>
                          <w:ilvl w:val="0"/>
                          <w:numId w:val="29"/>
                        </w:numPr>
                        <w:spacing w:line="240" w:lineRule="auto"/>
                        <w:ind w:left="2410" w:hanging="286"/>
                        <w:rPr>
                          <w:rFonts w:ascii="Arial" w:eastAsia="Times New Roman" w:hAnsi="Arial" w:cs="Arial"/>
                          <w:color w:val="FFFFFF" w:themeColor="background1"/>
                          <w:sz w:val="20"/>
                          <w:szCs w:val="20"/>
                        </w:rPr>
                      </w:pPr>
                      <w:r w:rsidRPr="00BC64A8">
                        <w:rPr>
                          <w:rFonts w:ascii="Arial" w:eastAsia="Calibri" w:hAnsi="Arial" w:cs="Arial"/>
                          <w:color w:val="FFFFFF" w:themeColor="background1"/>
                          <w:sz w:val="20"/>
                          <w:szCs w:val="20"/>
                        </w:rPr>
                        <w:t>Pressupõe-se a ado</w:t>
                      </w:r>
                      <w:r w:rsidRPr="00BC64A8">
                        <w:rPr>
                          <w:rFonts w:ascii="Arial" w:eastAsia="Times New Roman" w:hAnsi="Arial" w:cs="Arial"/>
                          <w:color w:val="FFFFFF" w:themeColor="background1"/>
                          <w:sz w:val="20"/>
                          <w:szCs w:val="20"/>
                          <w:lang w:eastAsia="pt-BR"/>
                        </w:rPr>
                        <w:t xml:space="preserve">ção pela Administração Pública dos modelos de </w:t>
                      </w:r>
                      <w:r w:rsidR="007C5E1C">
                        <w:rPr>
                          <w:rFonts w:ascii="Arial" w:eastAsia="Times New Roman" w:hAnsi="Arial" w:cs="Arial"/>
                          <w:color w:val="FFFFFF" w:themeColor="background1"/>
                          <w:sz w:val="20"/>
                          <w:szCs w:val="20"/>
                          <w:lang w:eastAsia="pt-BR"/>
                        </w:rPr>
                        <w:br/>
                      </w:r>
                      <w:r w:rsidRPr="00BC64A8">
                        <w:rPr>
                          <w:rFonts w:ascii="Arial" w:eastAsia="Times New Roman" w:hAnsi="Arial" w:cs="Arial"/>
                          <w:color w:val="FFFFFF" w:themeColor="background1"/>
                          <w:sz w:val="20"/>
                          <w:szCs w:val="20"/>
                          <w:lang w:eastAsia="pt-BR"/>
                        </w:rPr>
                        <w:t xml:space="preserve">editais, termos de referência, contratos e atas de registro de preços </w:t>
                      </w:r>
                      <w:r w:rsidR="007C5E1C">
                        <w:rPr>
                          <w:rFonts w:ascii="Arial" w:eastAsia="Times New Roman" w:hAnsi="Arial" w:cs="Arial"/>
                          <w:color w:val="FFFFFF" w:themeColor="background1"/>
                          <w:sz w:val="20"/>
                          <w:szCs w:val="20"/>
                          <w:lang w:eastAsia="pt-BR"/>
                        </w:rPr>
                        <w:br/>
                      </w:r>
                      <w:r w:rsidRPr="00BC64A8">
                        <w:rPr>
                          <w:rFonts w:ascii="Arial" w:eastAsia="Times New Roman" w:hAnsi="Arial" w:cs="Arial"/>
                          <w:color w:val="FFFFFF" w:themeColor="background1"/>
                          <w:sz w:val="20"/>
                          <w:szCs w:val="20"/>
                          <w:lang w:eastAsia="pt-BR"/>
                        </w:rPr>
                        <w:t xml:space="preserve">(se for o caso)  aprovados pela </w:t>
                      </w:r>
                      <w:hyperlink r:id="rId17" w:history="1">
                        <w:r w:rsidRPr="00BC64A8">
                          <w:rPr>
                            <w:rStyle w:val="Ttulo2Char"/>
                            <w:rFonts w:ascii="Arial" w:eastAsiaTheme="minorHAnsi" w:hAnsi="Arial" w:cs="Arial"/>
                            <w:b w:val="0"/>
                            <w:bCs w:val="0"/>
                            <w:color w:val="FFFFFF" w:themeColor="background1"/>
                            <w:sz w:val="20"/>
                            <w:szCs w:val="20"/>
                          </w:rPr>
                          <w:t xml:space="preserve">Câmara Nacional de Modelos de </w:t>
                        </w:r>
                        <w:r w:rsidR="007C5E1C">
                          <w:rPr>
                            <w:rStyle w:val="Ttulo2Char"/>
                            <w:rFonts w:ascii="Arial" w:eastAsiaTheme="minorHAnsi" w:hAnsi="Arial" w:cs="Arial"/>
                            <w:b w:val="0"/>
                            <w:bCs w:val="0"/>
                            <w:color w:val="FFFFFF" w:themeColor="background1"/>
                            <w:sz w:val="20"/>
                            <w:szCs w:val="20"/>
                          </w:rPr>
                          <w:br/>
                        </w:r>
                        <w:r w:rsidRPr="00BC64A8">
                          <w:rPr>
                            <w:rStyle w:val="Ttulo2Char"/>
                            <w:rFonts w:ascii="Arial" w:eastAsiaTheme="minorHAnsi" w:hAnsi="Arial" w:cs="Arial"/>
                            <w:b w:val="0"/>
                            <w:bCs w:val="0"/>
                            <w:color w:val="FFFFFF" w:themeColor="background1"/>
                            <w:sz w:val="20"/>
                            <w:szCs w:val="20"/>
                          </w:rPr>
                          <w:t>Licitações e Contratos da Advocacia-Geral da União (CNMLC)</w:t>
                        </w:r>
                      </w:hyperlink>
                      <w:r w:rsidRPr="00BC64A8">
                        <w:rPr>
                          <w:rFonts w:ascii="Arial" w:eastAsia="Times New Roman" w:hAnsi="Arial" w:cs="Arial"/>
                          <w:b/>
                          <w:bCs/>
                          <w:color w:val="FFFFFF" w:themeColor="background1"/>
                          <w:sz w:val="20"/>
                          <w:szCs w:val="20"/>
                          <w:lang w:eastAsia="pt-BR"/>
                        </w:rPr>
                        <w:t>.</w:t>
                      </w:r>
                    </w:p>
                  </w:txbxContent>
                </v:textbox>
              </v:roundrect>
            </w:pict>
          </mc:Fallback>
        </mc:AlternateContent>
      </w:r>
      <w:r w:rsidRPr="00BC64A8">
        <w:rPr>
          <w:noProof/>
          <w:lang w:eastAsia="pt-BR"/>
        </w:rPr>
        <mc:AlternateContent>
          <mc:Choice Requires="wps">
            <w:drawing>
              <wp:anchor distT="0" distB="0" distL="114300" distR="114300" simplePos="0" relativeHeight="251670528" behindDoc="0" locked="0" layoutInCell="1" allowOverlap="1" wp14:anchorId="318A56DB" wp14:editId="734F1CDC">
                <wp:simplePos x="0" y="0"/>
                <wp:positionH relativeFrom="column">
                  <wp:posOffset>-97155</wp:posOffset>
                </wp:positionH>
                <wp:positionV relativeFrom="paragraph">
                  <wp:posOffset>6699250</wp:posOffset>
                </wp:positionV>
                <wp:extent cx="6299835" cy="1573530"/>
                <wp:effectExtent l="0" t="0" r="5715" b="7620"/>
                <wp:wrapNone/>
                <wp:docPr id="31" name="Retângulo: Cantos Arredondados 31"/>
                <wp:cNvGraphicFramePr/>
                <a:graphic xmlns:a="http://schemas.openxmlformats.org/drawingml/2006/main">
                  <a:graphicData uri="http://schemas.microsoft.com/office/word/2010/wordprocessingShape">
                    <wps:wsp>
                      <wps:cNvSpPr/>
                      <wps:spPr>
                        <a:xfrm>
                          <a:off x="0" y="0"/>
                          <a:ext cx="6299835" cy="1573530"/>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2762F65" w14:textId="77777777" w:rsidR="00BC64A8" w:rsidRPr="000F5532" w:rsidRDefault="00BC64A8" w:rsidP="00BC64A8">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A56DB" id="Retângulo: Cantos Arredondados 31" o:spid="_x0000_s1033" style="position:absolute;margin-left:-7.65pt;margin-top:527.5pt;width:496.05pt;height:12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" fillcolor="#154b5d" stroked="f" strokeweight="1pt">
                <v:stroke joinstyle="miter"/>
                <v:textbox>
                  <w:txbxContent>
                    <w:p w14:paraId="52762F65" w14:textId="77777777" w:rsidR="00BC64A8" w:rsidRPr="000F5532" w:rsidRDefault="00BC64A8" w:rsidP="00BC64A8">
                      <w:pPr>
                        <w:ind w:left="2484"/>
                        <w:rPr>
                          <w:rFonts w:ascii="Ubuntu" w:hAnsi="Ubuntu"/>
                          <w:color w:val="FFFFFF" w:themeColor="background1"/>
                          <w:sz w:val="20"/>
                          <w:szCs w:val="20"/>
                        </w:rPr>
                      </w:pPr>
                    </w:p>
                  </w:txbxContent>
                </v:textbox>
              </v:roundrect>
            </w:pict>
          </mc:Fallback>
        </mc:AlternateContent>
      </w:r>
      <w:r w:rsidRPr="00BC64A8">
        <w:rPr>
          <w:noProof/>
          <w:lang w:eastAsia="pt-BR"/>
        </w:rPr>
        <mc:AlternateContent>
          <mc:Choice Requires="wps">
            <w:drawing>
              <wp:anchor distT="0" distB="0" distL="114300" distR="114300" simplePos="0" relativeHeight="251671552" behindDoc="0" locked="0" layoutInCell="1" allowOverlap="1" wp14:anchorId="713116BE" wp14:editId="3D1315F7">
                <wp:simplePos x="0" y="0"/>
                <wp:positionH relativeFrom="column">
                  <wp:posOffset>17780</wp:posOffset>
                </wp:positionH>
                <wp:positionV relativeFrom="paragraph">
                  <wp:posOffset>6797675</wp:posOffset>
                </wp:positionV>
                <wp:extent cx="6299835" cy="1588770"/>
                <wp:effectExtent l="19050" t="19050" r="24765" b="11430"/>
                <wp:wrapNone/>
                <wp:docPr id="32" name="Retângulo: Cantos Arredondados 32"/>
                <wp:cNvGraphicFramePr/>
                <a:graphic xmlns:a="http://schemas.openxmlformats.org/drawingml/2006/main">
                  <a:graphicData uri="http://schemas.microsoft.com/office/word/2010/wordprocessingShape">
                    <wps:wsp>
                      <wps:cNvSpPr/>
                      <wps:spPr>
                        <a:xfrm>
                          <a:off x="0" y="0"/>
                          <a:ext cx="6299835" cy="1588770"/>
                        </a:xfrm>
                        <a:prstGeom prst="roundRect">
                          <a:avLst>
                            <a:gd name="adj" fmla="val 606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1AE12C67" w14:textId="3532535D" w:rsidR="00BC64A8" w:rsidRPr="00890E85" w:rsidRDefault="00BC64A8" w:rsidP="00BC64A8">
                            <w:pPr>
                              <w:numPr>
                                <w:ilvl w:val="0"/>
                                <w:numId w:val="30"/>
                              </w:numPr>
                              <w:tabs>
                                <w:tab w:val="left" w:pos="2552"/>
                              </w:tabs>
                              <w:rPr>
                                <w:rFonts w:ascii="Arial" w:eastAsia="Times New Roman" w:hAnsi="Arial" w:cs="Arial"/>
                                <w:color w:val="FFFFFF" w:themeColor="background1"/>
                                <w:sz w:val="20"/>
                                <w:szCs w:val="20"/>
                              </w:rPr>
                            </w:pPr>
                            <w:r w:rsidRPr="00890E85">
                              <w:rPr>
                                <w:rFonts w:ascii="Arial" w:eastAsia="Calibri" w:hAnsi="Arial" w:cs="Arial"/>
                                <w:color w:val="FFFFFF" w:themeColor="background1"/>
                                <w:sz w:val="20"/>
                                <w:szCs w:val="20"/>
                              </w:rPr>
                              <w:t xml:space="preserve">Este modelo não é aplicável aos regimes de execução de empreitada </w:t>
                            </w:r>
                            <w:r w:rsidRPr="00890E85">
                              <w:rPr>
                                <w:rFonts w:ascii="Arial" w:eastAsia="Calibri" w:hAnsi="Arial" w:cs="Arial"/>
                                <w:color w:val="FFFFFF" w:themeColor="background1"/>
                                <w:sz w:val="20"/>
                                <w:szCs w:val="20"/>
                              </w:rPr>
                              <w:br/>
                              <w:t xml:space="preserve">integral, contratação por tarefa, contratação integrada, contratação </w:t>
                            </w:r>
                            <w:r w:rsidRPr="00890E85">
                              <w:rPr>
                                <w:rFonts w:ascii="Arial" w:eastAsia="Calibri" w:hAnsi="Arial" w:cs="Arial"/>
                                <w:color w:val="FFFFFF" w:themeColor="background1"/>
                                <w:sz w:val="20"/>
                                <w:szCs w:val="20"/>
                              </w:rPr>
                              <w:br/>
                            </w:r>
                            <w:proofErr w:type="spellStart"/>
                            <w:r w:rsidRPr="00890E85">
                              <w:rPr>
                                <w:rFonts w:ascii="Arial" w:eastAsia="Calibri" w:hAnsi="Arial" w:cs="Arial"/>
                                <w:color w:val="FFFFFF" w:themeColor="background1"/>
                                <w:sz w:val="20"/>
                                <w:szCs w:val="20"/>
                              </w:rPr>
                              <w:t>semi-integrada</w:t>
                            </w:r>
                            <w:proofErr w:type="spellEnd"/>
                            <w:r w:rsidRPr="00890E85">
                              <w:rPr>
                                <w:rFonts w:ascii="Arial" w:eastAsia="Calibri" w:hAnsi="Arial" w:cs="Arial"/>
                                <w:color w:val="FFFFFF" w:themeColor="background1"/>
                                <w:sz w:val="20"/>
                                <w:szCs w:val="20"/>
                              </w:rPr>
                              <w:t xml:space="preserve"> ou fornecimento e prestação de serviço associado </w:t>
                            </w:r>
                            <w:r w:rsidRPr="00890E85">
                              <w:rPr>
                                <w:rFonts w:ascii="Arial" w:eastAsia="Calibri" w:hAnsi="Arial" w:cs="Arial"/>
                                <w:color w:val="FFFFFF" w:themeColor="background1"/>
                                <w:sz w:val="20"/>
                                <w:szCs w:val="20"/>
                              </w:rPr>
                              <w:br/>
                              <w:t>(art. 46, da Lei n.º 14.133, de 2021).</w:t>
                            </w:r>
                          </w:p>
                          <w:p w14:paraId="4B713512" w14:textId="2AC4FD5A" w:rsidR="00BC64A8" w:rsidRPr="00890E85" w:rsidRDefault="00BC64A8" w:rsidP="00BC64A8">
                            <w:pPr>
                              <w:numPr>
                                <w:ilvl w:val="0"/>
                                <w:numId w:val="30"/>
                              </w:numPr>
                              <w:tabs>
                                <w:tab w:val="left" w:pos="2552"/>
                              </w:tabs>
                              <w:rPr>
                                <w:rFonts w:ascii="Arial" w:eastAsia="Times New Roman" w:hAnsi="Arial" w:cs="Arial"/>
                                <w:color w:val="FFFFFF" w:themeColor="background1"/>
                                <w:sz w:val="20"/>
                                <w:szCs w:val="20"/>
                              </w:rPr>
                            </w:pPr>
                            <w:r w:rsidRPr="00890E85">
                              <w:rPr>
                                <w:rFonts w:ascii="Arial" w:eastAsia="Calibri" w:hAnsi="Arial" w:cs="Arial"/>
                                <w:color w:val="FFFFFF" w:themeColor="background1"/>
                                <w:sz w:val="20"/>
                                <w:szCs w:val="20"/>
                              </w:rPr>
                              <w:t xml:space="preserve">Processos instruídos com fundamento na Lei n.º 8.666, de 1993, </w:t>
                            </w:r>
                            <w:r w:rsidRPr="00890E85">
                              <w:rPr>
                                <w:rFonts w:ascii="Arial" w:eastAsia="Calibri" w:hAnsi="Arial" w:cs="Arial"/>
                                <w:color w:val="FFFFFF" w:themeColor="background1"/>
                                <w:sz w:val="20"/>
                                <w:szCs w:val="20"/>
                              </w:rPr>
                              <w:br/>
                              <w:t xml:space="preserve">Lei n.º 10.520, de 2002 e Lei n.º 12.462, de 2011, nos termos do </w:t>
                            </w:r>
                            <w:r w:rsidRPr="00890E85">
                              <w:rPr>
                                <w:rFonts w:ascii="Arial" w:eastAsia="Calibri" w:hAnsi="Arial" w:cs="Arial"/>
                                <w:color w:val="FFFFFF" w:themeColor="background1"/>
                                <w:sz w:val="20"/>
                                <w:szCs w:val="20"/>
                              </w:rPr>
                              <w:br/>
                              <w:t>art.191 da Lei n.º 14.133/21.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116BE" id="Retângulo: Cantos Arredondados 32" o:spid="_x0000_s1034" style="position:absolute;margin-left:1.4pt;margin-top:535.25pt;width:496.05pt;height:1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" filled="f" strokecolor="#b886b3" strokeweight="2.25pt">
                <v:stroke joinstyle="miter"/>
                <v:textbox>
                  <w:txbxContent>
                    <w:p w14:paraId="1AE12C67" w14:textId="3532535D" w:rsidR="00BC64A8" w:rsidRPr="00890E85" w:rsidRDefault="00BC64A8" w:rsidP="00BC64A8">
                      <w:pPr>
                        <w:numPr>
                          <w:ilvl w:val="0"/>
                          <w:numId w:val="30"/>
                        </w:numPr>
                        <w:tabs>
                          <w:tab w:val="left" w:pos="2552"/>
                        </w:tabs>
                        <w:rPr>
                          <w:rFonts w:ascii="Arial" w:eastAsia="Times New Roman" w:hAnsi="Arial" w:cs="Arial"/>
                          <w:color w:val="FFFFFF" w:themeColor="background1"/>
                          <w:sz w:val="20"/>
                          <w:szCs w:val="20"/>
                        </w:rPr>
                      </w:pPr>
                      <w:r w:rsidRPr="00890E85">
                        <w:rPr>
                          <w:rFonts w:ascii="Arial" w:eastAsia="Calibri" w:hAnsi="Arial" w:cs="Arial"/>
                          <w:color w:val="FFFFFF" w:themeColor="background1"/>
                          <w:sz w:val="20"/>
                          <w:szCs w:val="20"/>
                        </w:rPr>
                        <w:t xml:space="preserve">Este modelo não é aplicável aos regimes de execução de empreitada </w:t>
                      </w:r>
                      <w:r w:rsidRPr="00890E85">
                        <w:rPr>
                          <w:rFonts w:ascii="Arial" w:eastAsia="Calibri" w:hAnsi="Arial" w:cs="Arial"/>
                          <w:color w:val="FFFFFF" w:themeColor="background1"/>
                          <w:sz w:val="20"/>
                          <w:szCs w:val="20"/>
                        </w:rPr>
                        <w:br/>
                        <w:t xml:space="preserve">integral, contratação por tarefa, contratação integrada, contratação </w:t>
                      </w:r>
                      <w:r w:rsidRPr="00890E85">
                        <w:rPr>
                          <w:rFonts w:ascii="Arial" w:eastAsia="Calibri" w:hAnsi="Arial" w:cs="Arial"/>
                          <w:color w:val="FFFFFF" w:themeColor="background1"/>
                          <w:sz w:val="20"/>
                          <w:szCs w:val="20"/>
                        </w:rPr>
                        <w:br/>
                      </w:r>
                      <w:proofErr w:type="spellStart"/>
                      <w:r w:rsidRPr="00890E85">
                        <w:rPr>
                          <w:rFonts w:ascii="Arial" w:eastAsia="Calibri" w:hAnsi="Arial" w:cs="Arial"/>
                          <w:color w:val="FFFFFF" w:themeColor="background1"/>
                          <w:sz w:val="20"/>
                          <w:szCs w:val="20"/>
                        </w:rPr>
                        <w:t>semi-integrada</w:t>
                      </w:r>
                      <w:proofErr w:type="spellEnd"/>
                      <w:r w:rsidRPr="00890E85">
                        <w:rPr>
                          <w:rFonts w:ascii="Arial" w:eastAsia="Calibri" w:hAnsi="Arial" w:cs="Arial"/>
                          <w:color w:val="FFFFFF" w:themeColor="background1"/>
                          <w:sz w:val="20"/>
                          <w:szCs w:val="20"/>
                        </w:rPr>
                        <w:t xml:space="preserve"> ou fornecimento e prestação de serviço associado </w:t>
                      </w:r>
                      <w:r w:rsidRPr="00890E85">
                        <w:rPr>
                          <w:rFonts w:ascii="Arial" w:eastAsia="Calibri" w:hAnsi="Arial" w:cs="Arial"/>
                          <w:color w:val="FFFFFF" w:themeColor="background1"/>
                          <w:sz w:val="20"/>
                          <w:szCs w:val="20"/>
                        </w:rPr>
                        <w:br/>
                        <w:t>(art. 46, da Lei n.º 14.133, de 2021).</w:t>
                      </w:r>
                    </w:p>
                    <w:p w14:paraId="4B713512" w14:textId="2AC4FD5A" w:rsidR="00BC64A8" w:rsidRPr="00890E85" w:rsidRDefault="00BC64A8" w:rsidP="00BC64A8">
                      <w:pPr>
                        <w:numPr>
                          <w:ilvl w:val="0"/>
                          <w:numId w:val="30"/>
                        </w:numPr>
                        <w:tabs>
                          <w:tab w:val="left" w:pos="2552"/>
                        </w:tabs>
                        <w:rPr>
                          <w:rFonts w:ascii="Arial" w:eastAsia="Times New Roman" w:hAnsi="Arial" w:cs="Arial"/>
                          <w:color w:val="FFFFFF" w:themeColor="background1"/>
                          <w:sz w:val="20"/>
                          <w:szCs w:val="20"/>
                        </w:rPr>
                      </w:pPr>
                      <w:r w:rsidRPr="00890E85">
                        <w:rPr>
                          <w:rFonts w:ascii="Arial" w:eastAsia="Calibri" w:hAnsi="Arial" w:cs="Arial"/>
                          <w:color w:val="FFFFFF" w:themeColor="background1"/>
                          <w:sz w:val="20"/>
                          <w:szCs w:val="20"/>
                        </w:rPr>
                        <w:t xml:space="preserve">Processos instruídos com fundamento na Lei n.º 8.666, de 1993, </w:t>
                      </w:r>
                      <w:r w:rsidRPr="00890E85">
                        <w:rPr>
                          <w:rFonts w:ascii="Arial" w:eastAsia="Calibri" w:hAnsi="Arial" w:cs="Arial"/>
                          <w:color w:val="FFFFFF" w:themeColor="background1"/>
                          <w:sz w:val="20"/>
                          <w:szCs w:val="20"/>
                        </w:rPr>
                        <w:br/>
                        <w:t xml:space="preserve">Lei n.º 10.520, de 2002 e Lei n.º 12.462, de 2011, nos termos do </w:t>
                      </w:r>
                      <w:r w:rsidRPr="00890E85">
                        <w:rPr>
                          <w:rFonts w:ascii="Arial" w:eastAsia="Calibri" w:hAnsi="Arial" w:cs="Arial"/>
                          <w:color w:val="FFFFFF" w:themeColor="background1"/>
                          <w:sz w:val="20"/>
                          <w:szCs w:val="20"/>
                        </w:rPr>
                        <w:br/>
                        <w:t>art.191 da Lei n.º 14.133/21.</w:t>
                      </w:r>
                    </w:p>
                  </w:txbxContent>
                </v:textbox>
              </v:roundrect>
            </w:pict>
          </mc:Fallback>
        </mc:AlternateContent>
      </w:r>
      <w:r w:rsidRPr="00BC64A8">
        <w:rPr>
          <w:noProof/>
          <w:lang w:eastAsia="pt-BR"/>
        </w:rPr>
        <mc:AlternateContent>
          <mc:Choice Requires="wps">
            <w:drawing>
              <wp:anchor distT="0" distB="0" distL="114300" distR="114300" simplePos="0" relativeHeight="251672576" behindDoc="0" locked="0" layoutInCell="1" allowOverlap="1" wp14:anchorId="2885B694" wp14:editId="203E69E4">
                <wp:simplePos x="0" y="0"/>
                <wp:positionH relativeFrom="column">
                  <wp:posOffset>-269240</wp:posOffset>
                </wp:positionH>
                <wp:positionV relativeFrom="paragraph">
                  <wp:posOffset>6570345</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A4F50" w14:textId="77777777" w:rsidR="00BC64A8" w:rsidRPr="00A06A28" w:rsidRDefault="00BC64A8" w:rsidP="00BC64A8">
                            <w:pPr>
                              <w:jc w:val="center"/>
                              <w:rPr>
                                <w:rFonts w:ascii="Ubuntu" w:hAnsi="Ubuntu"/>
                                <w:b/>
                                <w:bCs/>
                              </w:rPr>
                            </w:pPr>
                            <w:r w:rsidRPr="00890E85">
                              <w:rPr>
                                <w:rFonts w:ascii="Arial" w:hAnsi="Arial" w:cs="Arial"/>
                                <w:b/>
                                <w:bCs/>
                              </w:rPr>
                              <w:t>NÃO APLICÁVEL</w:t>
                            </w:r>
                            <w:r>
                              <w:rPr>
                                <w:rFonts w:ascii="Ubuntu" w:hAnsi="Ubuntu"/>
                                <w:b/>
                                <w:bCs/>
                                <w:noProof/>
                                <w:lang w:eastAsia="pt-BR"/>
                              </w:rPr>
                              <w:drawing>
                                <wp:inline distT="0" distB="0" distL="0" distR="0" wp14:anchorId="2C35AFE1" wp14:editId="22A91751">
                                  <wp:extent cx="866140" cy="1131285"/>
                                  <wp:effectExtent l="0" t="0" r="0" b="0"/>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5B694" id="Retângulo: Cantos Arredondados 27" o:spid="_x0000_s1035" style="position:absolute;margin-left:-21.2pt;margin-top:517.35pt;width:114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" fillcolor="#b886b3" stroked="f" strokeweight="1pt">
                <v:stroke joinstyle="miter"/>
                <v:textbox>
                  <w:txbxContent>
                    <w:p w14:paraId="1CBA4F50" w14:textId="77777777" w:rsidR="00BC64A8" w:rsidRPr="00A06A28" w:rsidRDefault="00BC64A8" w:rsidP="00BC64A8">
                      <w:pPr>
                        <w:jc w:val="center"/>
                        <w:rPr>
                          <w:rFonts w:ascii="Ubuntu" w:hAnsi="Ubuntu"/>
                          <w:b/>
                          <w:bCs/>
                        </w:rPr>
                      </w:pPr>
                      <w:r w:rsidRPr="00890E85">
                        <w:rPr>
                          <w:rFonts w:ascii="Arial" w:hAnsi="Arial" w:cs="Arial"/>
                          <w:b/>
                          <w:bCs/>
                        </w:rPr>
                        <w:t>NÃO APLICÁVEL</w:t>
                      </w:r>
                      <w:r>
                        <w:rPr>
                          <w:rFonts w:ascii="Ubuntu" w:hAnsi="Ubuntu"/>
                          <w:b/>
                          <w:bCs/>
                          <w:noProof/>
                          <w:lang w:eastAsia="pt-BR"/>
                        </w:rPr>
                        <w:drawing>
                          <wp:inline distT="0" distB="0" distL="0" distR="0" wp14:anchorId="2C35AFE1" wp14:editId="22A91751">
                            <wp:extent cx="866140" cy="1131285"/>
                            <wp:effectExtent l="0" t="0" r="0" b="0"/>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E626DF" w:rsidRPr="00BC64A8">
        <w:br w:type="page"/>
      </w:r>
      <w:r w:rsidR="002179E3" w:rsidRPr="005F33CC">
        <w:rPr>
          <w:noProof/>
          <w:lang w:eastAsia="pt-BR"/>
        </w:rPr>
        <w:lastRenderedPageBreak/>
        <mc:AlternateContent>
          <mc:Choice Requires="wps">
            <w:drawing>
              <wp:anchor distT="0" distB="0" distL="114300" distR="114300" simplePos="0" relativeHeight="251702272" behindDoc="0" locked="0" layoutInCell="1" allowOverlap="1" wp14:anchorId="493615C1" wp14:editId="534814C2">
                <wp:simplePos x="0" y="0"/>
                <wp:positionH relativeFrom="margin">
                  <wp:posOffset>1047750</wp:posOffset>
                </wp:positionH>
                <wp:positionV relativeFrom="paragraph">
                  <wp:posOffset>2196465</wp:posOffset>
                </wp:positionV>
                <wp:extent cx="5038725" cy="581025"/>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5038725" cy="581025"/>
                        </a:xfrm>
                        <a:prstGeom prst="rect">
                          <a:avLst/>
                        </a:prstGeom>
                        <a:noFill/>
                        <a:ln w="6350">
                          <a:noFill/>
                        </a:ln>
                      </wps:spPr>
                      <wps:txbx>
                        <w:txbxContent>
                          <w:p w14:paraId="1886655A" w14:textId="3104A4AF" w:rsidR="000213FB" w:rsidRPr="004E5997" w:rsidRDefault="000213FB" w:rsidP="004E5997">
                            <w:pPr>
                              <w:pStyle w:val="PargrafodaLista"/>
                              <w:numPr>
                                <w:ilvl w:val="0"/>
                                <w:numId w:val="31"/>
                              </w:numPr>
                              <w:spacing w:line="240" w:lineRule="auto"/>
                              <w:rPr>
                                <w:rFonts w:ascii="Arial" w:hAnsi="Arial" w:cs="Arial"/>
                                <w:color w:val="FFFFFF" w:themeColor="background1"/>
                              </w:rPr>
                            </w:pPr>
                            <w:r w:rsidRPr="004E5997">
                              <w:rPr>
                                <w:rFonts w:ascii="Arial" w:hAnsi="Arial" w:cs="Arial"/>
                                <w:color w:val="FFFFFF" w:themeColor="background1"/>
                                <w:sz w:val="18"/>
                                <w:szCs w:val="18"/>
                              </w:rPr>
                              <w:t>Todas as marcações de cores e sugestões de reação não utilizadas devem ser excluídas do texto final do parecer, inclusive esse quadro explicativo</w:t>
                            </w:r>
                            <w:r w:rsidR="002179E3" w:rsidRPr="004E5997">
                              <w:rPr>
                                <w:rFonts w:ascii="Arial" w:hAnsi="Arial" w:cs="Arial"/>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615C1" id="Caixa de Texto 5" o:spid="_x0000_s1036" type="#_x0000_t202" style="position:absolute;margin-left:82.5pt;margin-top:172.95pt;width:396.75pt;height:45.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" filled="f" stroked="f" strokeweight=".5pt">
                <v:textbox>
                  <w:txbxContent>
                    <w:p w14:paraId="1886655A" w14:textId="3104A4AF" w:rsidR="000213FB" w:rsidRPr="004E5997" w:rsidRDefault="000213FB" w:rsidP="004E5997">
                      <w:pPr>
                        <w:pStyle w:val="PargrafodaLista"/>
                        <w:numPr>
                          <w:ilvl w:val="0"/>
                          <w:numId w:val="31"/>
                        </w:numPr>
                        <w:spacing w:line="240" w:lineRule="auto"/>
                        <w:rPr>
                          <w:rFonts w:ascii="Arial" w:hAnsi="Arial" w:cs="Arial"/>
                          <w:color w:val="FFFFFF" w:themeColor="background1"/>
                        </w:rPr>
                      </w:pPr>
                      <w:r w:rsidRPr="004E5997">
                        <w:rPr>
                          <w:rFonts w:ascii="Arial" w:hAnsi="Arial" w:cs="Arial"/>
                          <w:color w:val="FFFFFF" w:themeColor="background1"/>
                          <w:sz w:val="18"/>
                          <w:szCs w:val="18"/>
                        </w:rPr>
                        <w:t>Todas as marcações de cores e sugestões de reação não utilizadas devem ser excluídas do texto final do parecer, inclusive esse quadro explicativo</w:t>
                      </w:r>
                      <w:r w:rsidR="002179E3" w:rsidRPr="004E5997">
                        <w:rPr>
                          <w:rFonts w:ascii="Arial" w:hAnsi="Arial" w:cs="Arial"/>
                          <w:color w:val="FFFFFF" w:themeColor="background1"/>
                          <w:sz w:val="18"/>
                          <w:szCs w:val="18"/>
                        </w:rPr>
                        <w:t>.</w:t>
                      </w:r>
                    </w:p>
                  </w:txbxContent>
                </v:textbox>
                <w10:wrap anchorx="margin"/>
              </v:shape>
            </w:pict>
          </mc:Fallback>
        </mc:AlternateContent>
      </w:r>
      <w:r w:rsidR="002179E3" w:rsidRPr="005F33CC">
        <w:rPr>
          <w:noProof/>
          <w:lang w:eastAsia="pt-BR"/>
        </w:rPr>
        <mc:AlternateContent>
          <mc:Choice Requires="wps">
            <w:drawing>
              <wp:anchor distT="0" distB="0" distL="114300" distR="114300" simplePos="0" relativeHeight="251679744" behindDoc="0" locked="0" layoutInCell="1" allowOverlap="1" wp14:anchorId="482BC2A6" wp14:editId="46E3E440">
                <wp:simplePos x="0" y="0"/>
                <wp:positionH relativeFrom="margin">
                  <wp:align>left</wp:align>
                </wp:positionH>
                <wp:positionV relativeFrom="paragraph">
                  <wp:posOffset>253364</wp:posOffset>
                </wp:positionV>
                <wp:extent cx="6299835" cy="2571750"/>
                <wp:effectExtent l="19050" t="19050" r="24765" b="19050"/>
                <wp:wrapNone/>
                <wp:docPr id="54" name="Retângulo: Cantos Arredondados 54"/>
                <wp:cNvGraphicFramePr/>
                <a:graphic xmlns:a="http://schemas.openxmlformats.org/drawingml/2006/main">
                  <a:graphicData uri="http://schemas.microsoft.com/office/word/2010/wordprocessingShape">
                    <wps:wsp>
                      <wps:cNvSpPr/>
                      <wps:spPr>
                        <a:xfrm>
                          <a:off x="0" y="0"/>
                          <a:ext cx="6299835" cy="2571750"/>
                        </a:xfrm>
                        <a:prstGeom prst="roundRect">
                          <a:avLst>
                            <a:gd name="adj" fmla="val 3454"/>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625893B4" w14:textId="77777777" w:rsidR="005F33CC" w:rsidRDefault="005F33CC" w:rsidP="005F33CC">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7B2747F0" w14:textId="77777777" w:rsidR="005F33CC" w:rsidRDefault="005F33CC" w:rsidP="005F33CC">
                            <w:pPr>
                              <w:ind w:left="2136"/>
                              <w:jc w:val="both"/>
                              <w:rPr>
                                <w:rFonts w:ascii="Ubuntu" w:eastAsia="Times New Roman" w:hAnsi="Ubuntu" w:cs="Times New Roman"/>
                                <w:color w:val="FFFFFF" w:themeColor="background1"/>
                                <w:sz w:val="20"/>
                                <w:szCs w:val="20"/>
                              </w:rPr>
                            </w:pPr>
                          </w:p>
                          <w:p w14:paraId="2CFFC371" w14:textId="77777777" w:rsidR="005F33CC" w:rsidRDefault="005F33CC" w:rsidP="005F33CC">
                            <w:pPr>
                              <w:ind w:left="2136"/>
                              <w:jc w:val="both"/>
                              <w:rPr>
                                <w:rFonts w:ascii="Ubuntu" w:eastAsia="Times New Roman" w:hAnsi="Ubuntu" w:cs="Times New Roman"/>
                                <w:color w:val="FFFFFF" w:themeColor="background1"/>
                                <w:sz w:val="20"/>
                                <w:szCs w:val="20"/>
                              </w:rPr>
                            </w:pPr>
                          </w:p>
                          <w:p w14:paraId="6AF98643" w14:textId="77777777" w:rsidR="005F33CC" w:rsidRDefault="005F33CC" w:rsidP="005F33CC">
                            <w:pPr>
                              <w:ind w:left="2136"/>
                              <w:jc w:val="both"/>
                              <w:rPr>
                                <w:rFonts w:ascii="Ubuntu" w:eastAsia="Times New Roman" w:hAnsi="Ubuntu" w:cs="Times New Roman"/>
                                <w:color w:val="FFFFFF" w:themeColor="background1"/>
                                <w:sz w:val="20"/>
                                <w:szCs w:val="20"/>
                              </w:rPr>
                            </w:pPr>
                          </w:p>
                          <w:p w14:paraId="01A0ABBC" w14:textId="77777777" w:rsidR="005F33CC" w:rsidRDefault="005F33CC" w:rsidP="005F33CC">
                            <w:pPr>
                              <w:ind w:left="2136"/>
                              <w:jc w:val="both"/>
                              <w:rPr>
                                <w:rFonts w:ascii="Ubuntu" w:eastAsia="Times New Roman" w:hAnsi="Ubuntu" w:cs="Times New Roman"/>
                                <w:color w:val="FFFFFF" w:themeColor="background1"/>
                                <w:sz w:val="20"/>
                                <w:szCs w:val="20"/>
                              </w:rPr>
                            </w:pPr>
                          </w:p>
                          <w:p w14:paraId="5914E724" w14:textId="266BCB29" w:rsidR="005F33CC" w:rsidRPr="005F240B" w:rsidRDefault="005F33CC" w:rsidP="005F33CC">
                            <w:pPr>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BC2A6" id="Retângulo: Cantos Arredondados 54" o:spid="_x0000_s1037" style="position:absolute;margin-left:0;margin-top:19.95pt;width:496.05pt;height:20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" filled="f" strokecolor="#b886b3" strokeweight="2.25pt">
                <v:stroke joinstyle="miter"/>
                <v:textbox>
                  <w:txbxContent>
                    <w:p w14:paraId="625893B4" w14:textId="77777777" w:rsidR="005F33CC" w:rsidRDefault="005F33CC" w:rsidP="005F33CC">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7B2747F0" w14:textId="77777777" w:rsidR="005F33CC" w:rsidRDefault="005F33CC" w:rsidP="005F33CC">
                      <w:pPr>
                        <w:ind w:left="2136"/>
                        <w:jc w:val="both"/>
                        <w:rPr>
                          <w:rFonts w:ascii="Ubuntu" w:eastAsia="Times New Roman" w:hAnsi="Ubuntu" w:cs="Times New Roman"/>
                          <w:color w:val="FFFFFF" w:themeColor="background1"/>
                          <w:sz w:val="20"/>
                          <w:szCs w:val="20"/>
                        </w:rPr>
                      </w:pPr>
                    </w:p>
                    <w:p w14:paraId="2CFFC371" w14:textId="77777777" w:rsidR="005F33CC" w:rsidRDefault="005F33CC" w:rsidP="005F33CC">
                      <w:pPr>
                        <w:ind w:left="2136"/>
                        <w:jc w:val="both"/>
                        <w:rPr>
                          <w:rFonts w:ascii="Ubuntu" w:eastAsia="Times New Roman" w:hAnsi="Ubuntu" w:cs="Times New Roman"/>
                          <w:color w:val="FFFFFF" w:themeColor="background1"/>
                          <w:sz w:val="20"/>
                          <w:szCs w:val="20"/>
                        </w:rPr>
                      </w:pPr>
                    </w:p>
                    <w:p w14:paraId="6AF98643" w14:textId="77777777" w:rsidR="005F33CC" w:rsidRDefault="005F33CC" w:rsidP="005F33CC">
                      <w:pPr>
                        <w:ind w:left="2136"/>
                        <w:jc w:val="both"/>
                        <w:rPr>
                          <w:rFonts w:ascii="Ubuntu" w:eastAsia="Times New Roman" w:hAnsi="Ubuntu" w:cs="Times New Roman"/>
                          <w:color w:val="FFFFFF" w:themeColor="background1"/>
                          <w:sz w:val="20"/>
                          <w:szCs w:val="20"/>
                        </w:rPr>
                      </w:pPr>
                    </w:p>
                    <w:p w14:paraId="01A0ABBC" w14:textId="77777777" w:rsidR="005F33CC" w:rsidRDefault="005F33CC" w:rsidP="005F33CC">
                      <w:pPr>
                        <w:ind w:left="2136"/>
                        <w:jc w:val="both"/>
                        <w:rPr>
                          <w:rFonts w:ascii="Ubuntu" w:eastAsia="Times New Roman" w:hAnsi="Ubuntu" w:cs="Times New Roman"/>
                          <w:color w:val="FFFFFF" w:themeColor="background1"/>
                          <w:sz w:val="20"/>
                          <w:szCs w:val="20"/>
                        </w:rPr>
                      </w:pPr>
                    </w:p>
                    <w:p w14:paraId="5914E724" w14:textId="266BCB29" w:rsidR="005F33CC" w:rsidRPr="005F240B" w:rsidRDefault="005F33CC" w:rsidP="005F33CC">
                      <w:pPr>
                        <w:rPr>
                          <w:rFonts w:ascii="Arial" w:hAnsi="Arial" w:cs="Arial"/>
                          <w:color w:val="FFFFFF" w:themeColor="background1"/>
                          <w:sz w:val="20"/>
                          <w:szCs w:val="20"/>
                        </w:rPr>
                      </w:pPr>
                    </w:p>
                  </w:txbxContent>
                </v:textbox>
                <w10:wrap anchorx="margin"/>
              </v:roundrect>
            </w:pict>
          </mc:Fallback>
        </mc:AlternateContent>
      </w:r>
      <w:r w:rsidR="002179E3" w:rsidRPr="005F33CC">
        <w:rPr>
          <w:noProof/>
          <w:lang w:eastAsia="pt-BR"/>
        </w:rPr>
        <mc:AlternateContent>
          <mc:Choice Requires="wps">
            <w:drawing>
              <wp:anchor distT="0" distB="0" distL="114300" distR="114300" simplePos="0" relativeHeight="251678720" behindDoc="0" locked="0" layoutInCell="1" allowOverlap="1" wp14:anchorId="2DBBC156" wp14:editId="1C67FFCD">
                <wp:simplePos x="0" y="0"/>
                <wp:positionH relativeFrom="column">
                  <wp:posOffset>-76200</wp:posOffset>
                </wp:positionH>
                <wp:positionV relativeFrom="paragraph">
                  <wp:posOffset>110490</wp:posOffset>
                </wp:positionV>
                <wp:extent cx="6299835" cy="2571750"/>
                <wp:effectExtent l="0" t="0" r="5715" b="0"/>
                <wp:wrapNone/>
                <wp:docPr id="53" name="Retângulo: Cantos Arredondados 53"/>
                <wp:cNvGraphicFramePr/>
                <a:graphic xmlns:a="http://schemas.openxmlformats.org/drawingml/2006/main">
                  <a:graphicData uri="http://schemas.microsoft.com/office/word/2010/wordprocessingShape">
                    <wps:wsp>
                      <wps:cNvSpPr/>
                      <wps:spPr>
                        <a:xfrm>
                          <a:off x="0" y="0"/>
                          <a:ext cx="6299835" cy="257175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9007A17"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BC156" id="Retângulo: Cantos Arredondados 53" o:spid="_x0000_s1038" style="position:absolute;margin-left:-6pt;margin-top:8.7pt;width:496.0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" fillcolor="#154b5d" stroked="f" strokeweight="1pt">
                <v:stroke joinstyle="miter"/>
                <v:textbox>
                  <w:txbxContent>
                    <w:p w14:paraId="39007A17"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005476D5">
        <w:rPr>
          <w:rFonts w:ascii="Times New Roman" w:eastAsia="Times New Roman" w:hAnsi="Times New Roman" w:cs="Times New Roman"/>
          <w:noProof/>
          <w:color w:val="000000" w:themeColor="text1"/>
          <w:sz w:val="24"/>
          <w:szCs w:val="24"/>
          <w:lang w:eastAsia="pt-BR"/>
        </w:rPr>
        <w:drawing>
          <wp:anchor distT="0" distB="0" distL="114300" distR="114300" simplePos="0" relativeHeight="251700224" behindDoc="0" locked="0" layoutInCell="1" allowOverlap="1" wp14:anchorId="173538A6" wp14:editId="4419C964">
            <wp:simplePos x="0" y="0"/>
            <wp:positionH relativeFrom="column">
              <wp:posOffset>5327374</wp:posOffset>
            </wp:positionH>
            <wp:positionV relativeFrom="paragraph">
              <wp:posOffset>7777618</wp:posOffset>
            </wp:positionV>
            <wp:extent cx="885825" cy="885825"/>
            <wp:effectExtent l="0" t="0" r="9525" b="9525"/>
            <wp:wrapNone/>
            <wp:docPr id="4" name="Imagem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1C1C94" w:rsidRPr="005F33CC">
        <w:rPr>
          <w:noProof/>
          <w:lang w:eastAsia="pt-BR"/>
        </w:rPr>
        <mc:AlternateContent>
          <mc:Choice Requires="wps">
            <w:drawing>
              <wp:anchor distT="0" distB="0" distL="114300" distR="114300" simplePos="0" relativeHeight="251686912" behindDoc="1" locked="0" layoutInCell="1" allowOverlap="1" wp14:anchorId="3B68F535" wp14:editId="2CD08843">
                <wp:simplePos x="0" y="0"/>
                <wp:positionH relativeFrom="column">
                  <wp:posOffset>-114300</wp:posOffset>
                </wp:positionH>
                <wp:positionV relativeFrom="paragraph">
                  <wp:posOffset>7625715</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6407"/>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2906494"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8F535" id="Retângulo: Cantos Arredondados 83" o:spid="_x0000_s1039" style="position:absolute;margin-left:-9pt;margin-top:600.45pt;width:258pt;height:7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" fillcolor="#b886b3" stroked="f" strokeweight="1pt">
                <v:stroke joinstyle="miter"/>
                <v:textbox>
                  <w:txbxContent>
                    <w:p w14:paraId="02906494"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001C1C94" w:rsidRPr="00CB1EE4">
        <w:rPr>
          <w:noProof/>
          <w:lang w:eastAsia="pt-BR"/>
        </w:rPr>
        <mc:AlternateContent>
          <mc:Choice Requires="wps">
            <w:drawing>
              <wp:anchor distT="0" distB="0" distL="114300" distR="114300" simplePos="0" relativeHeight="251698176" behindDoc="0" locked="0" layoutInCell="1" allowOverlap="1" wp14:anchorId="620E2E3A" wp14:editId="0442F045">
                <wp:simplePos x="0" y="0"/>
                <wp:positionH relativeFrom="column">
                  <wp:posOffset>3600450</wp:posOffset>
                </wp:positionH>
                <wp:positionV relativeFrom="paragraph">
                  <wp:posOffset>7856551</wp:posOffset>
                </wp:positionV>
                <wp:extent cx="1429385" cy="55245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450"/>
                        </a:xfrm>
                        <a:prstGeom prst="rect">
                          <a:avLst/>
                        </a:prstGeom>
                        <a:noFill/>
                        <a:ln w="6350">
                          <a:noFill/>
                        </a:ln>
                      </wps:spPr>
                      <wps:txbx>
                        <w:txbxContent>
                          <w:p w14:paraId="7467A743" w14:textId="77777777" w:rsidR="001C1C94" w:rsidRPr="00106C29" w:rsidRDefault="001C1C94" w:rsidP="001C1C94">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2E3A" id="Caixa de Texto 97" o:spid="_x0000_s1040" type="#_x0000_t202" style="position:absolute;margin-left:283.5pt;margin-top:618.65pt;width:112.55pt;height: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" filled="f" stroked="f" strokeweight=".5pt">
                <v:textbox>
                  <w:txbxContent>
                    <w:p w14:paraId="7467A743" w14:textId="77777777" w:rsidR="001C1C94" w:rsidRPr="00106C29" w:rsidRDefault="001C1C94" w:rsidP="001C1C94">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001C1C94" w:rsidRPr="005F33CC">
        <w:rPr>
          <w:noProof/>
          <w:lang w:eastAsia="pt-BR"/>
        </w:rPr>
        <mc:AlternateContent>
          <mc:Choice Requires="wps">
            <w:drawing>
              <wp:anchor distT="0" distB="0" distL="114300" distR="114300" simplePos="0" relativeHeight="251694080" behindDoc="0" locked="0" layoutInCell="1" allowOverlap="1" wp14:anchorId="4B02DFE6" wp14:editId="19EC851F">
                <wp:simplePos x="0" y="0"/>
                <wp:positionH relativeFrom="column">
                  <wp:posOffset>-87630</wp:posOffset>
                </wp:positionH>
                <wp:positionV relativeFrom="paragraph">
                  <wp:posOffset>3082290</wp:posOffset>
                </wp:positionV>
                <wp:extent cx="6299835" cy="3975100"/>
                <wp:effectExtent l="0" t="0" r="5715" b="6350"/>
                <wp:wrapNone/>
                <wp:docPr id="73" name="Retângulo: Cantos Arredondados 73"/>
                <wp:cNvGraphicFramePr/>
                <a:graphic xmlns:a="http://schemas.openxmlformats.org/drawingml/2006/main">
                  <a:graphicData uri="http://schemas.microsoft.com/office/word/2010/wordprocessingShape">
                    <wps:wsp>
                      <wps:cNvSpPr/>
                      <wps:spPr>
                        <a:xfrm>
                          <a:off x="0" y="0"/>
                          <a:ext cx="6299835" cy="3975100"/>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AC50F4C"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2DFE6" id="Retângulo: Cantos Arredondados 73" o:spid="_x0000_s1041" style="position:absolute;margin-left:-6.9pt;margin-top:242.7pt;width:496.05pt;height:3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" fillcolor="#154b5d" stroked="f" strokeweight="1pt">
                <v:stroke joinstyle="miter"/>
                <v:textbox>
                  <w:txbxContent>
                    <w:p w14:paraId="5AC50F4C"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001C1C94" w:rsidRPr="005F33CC">
        <w:rPr>
          <w:noProof/>
          <w:lang w:eastAsia="pt-BR"/>
        </w:rPr>
        <mc:AlternateContent>
          <mc:Choice Requires="wps">
            <w:drawing>
              <wp:anchor distT="0" distB="0" distL="114300" distR="114300" simplePos="0" relativeHeight="251695104" behindDoc="0" locked="0" layoutInCell="1" allowOverlap="1" wp14:anchorId="67C32684" wp14:editId="2ECA174C">
                <wp:simplePos x="0" y="0"/>
                <wp:positionH relativeFrom="column">
                  <wp:posOffset>25400</wp:posOffset>
                </wp:positionH>
                <wp:positionV relativeFrom="paragraph">
                  <wp:posOffset>3220720</wp:posOffset>
                </wp:positionV>
                <wp:extent cx="6299835" cy="3982085"/>
                <wp:effectExtent l="19050" t="19050" r="24765" b="18415"/>
                <wp:wrapNone/>
                <wp:docPr id="74" name="Retângulo: Cantos Arredondados 74"/>
                <wp:cNvGraphicFramePr/>
                <a:graphic xmlns:a="http://schemas.openxmlformats.org/drawingml/2006/main">
                  <a:graphicData uri="http://schemas.microsoft.com/office/word/2010/wordprocessingShape">
                    <wps:wsp>
                      <wps:cNvSpPr/>
                      <wps:spPr>
                        <a:xfrm>
                          <a:off x="0" y="0"/>
                          <a:ext cx="6299835" cy="3982085"/>
                        </a:xfrm>
                        <a:prstGeom prst="roundRect">
                          <a:avLst>
                            <a:gd name="adj" fmla="val 240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13A2451A" w14:textId="1104FE69" w:rsidR="005F33CC" w:rsidRPr="005F33CC" w:rsidRDefault="005F33CC" w:rsidP="005F33CC">
                            <w:pPr>
                              <w:numPr>
                                <w:ilvl w:val="0"/>
                                <w:numId w:val="5"/>
                              </w:numPr>
                              <w:spacing w:line="240" w:lineRule="auto"/>
                              <w:ind w:left="2268" w:right="449" w:hanging="283"/>
                              <w:rPr>
                                <w:rFonts w:ascii="Arial" w:hAnsi="Arial" w:cs="Arial"/>
                                <w:color w:val="FFFFFF" w:themeColor="background1"/>
                                <w:sz w:val="20"/>
                                <w:szCs w:val="20"/>
                              </w:rPr>
                            </w:pPr>
                            <w:r w:rsidRPr="005F33CC">
                              <w:rPr>
                                <w:rFonts w:ascii="Arial" w:eastAsia="Calibri" w:hAnsi="Arial" w:cs="Arial"/>
                                <w:color w:val="FFFFFF" w:themeColor="background1"/>
                                <w:sz w:val="20"/>
                                <w:szCs w:val="20"/>
                              </w:rPr>
                              <w:t xml:space="preserve">Quando o processo não estiver instruído com documento ou informação </w:t>
                            </w:r>
                            <w:r w:rsidRPr="005F33CC">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w:t>
                            </w:r>
                            <w:r>
                              <w:rPr>
                                <w:rFonts w:ascii="Arial" w:eastAsia="Calibri" w:hAnsi="Arial" w:cs="Arial"/>
                                <w:color w:val="FFFFFF" w:themeColor="background1"/>
                                <w:sz w:val="20"/>
                                <w:szCs w:val="20"/>
                              </w:rPr>
                              <w:t xml:space="preserve"> </w:t>
                            </w:r>
                            <w:r w:rsidRPr="005F33CC">
                              <w:rPr>
                                <w:rFonts w:ascii="Arial" w:eastAsia="Calibri" w:hAnsi="Arial" w:cs="Arial"/>
                                <w:color w:val="FFFFFF" w:themeColor="background1"/>
                                <w:sz w:val="20"/>
                                <w:szCs w:val="20"/>
                              </w:rPr>
                              <w:t xml:space="preserve">termo aditivo. </w:t>
                            </w:r>
                          </w:p>
                          <w:p w14:paraId="17BC32D0" w14:textId="38D0B9ED" w:rsidR="005F33CC" w:rsidRPr="005F33CC" w:rsidRDefault="005F33CC" w:rsidP="005F33CC">
                            <w:pPr>
                              <w:numPr>
                                <w:ilvl w:val="0"/>
                                <w:numId w:val="5"/>
                              </w:numPr>
                              <w:spacing w:line="240" w:lineRule="auto"/>
                              <w:ind w:left="2268" w:right="449" w:hanging="283"/>
                              <w:rPr>
                                <w:rFonts w:ascii="Arial" w:hAnsi="Arial" w:cs="Arial"/>
                                <w:color w:val="FFFFFF" w:themeColor="background1"/>
                                <w:sz w:val="20"/>
                                <w:szCs w:val="20"/>
                              </w:rPr>
                            </w:pPr>
                            <w:r w:rsidRPr="005F33CC">
                              <w:rPr>
                                <w:rFonts w:ascii="Arial" w:eastAsia="Calibri" w:hAnsi="Arial" w:cs="Arial"/>
                                <w:color w:val="FFFFFF" w:themeColor="background1"/>
                                <w:sz w:val="20"/>
                                <w:szCs w:val="20"/>
                              </w:rPr>
                              <w:t xml:space="preserve">É medida de boa prática destacar as orientações já atendidas pelo órgão.  </w:t>
                            </w:r>
                          </w:p>
                          <w:p w14:paraId="61019C91" w14:textId="4F49BCBE" w:rsidR="005F33CC" w:rsidRPr="005F33CC" w:rsidRDefault="005F33CC" w:rsidP="005F33CC">
                            <w:pPr>
                              <w:numPr>
                                <w:ilvl w:val="0"/>
                                <w:numId w:val="5"/>
                              </w:numPr>
                              <w:spacing w:line="240" w:lineRule="auto"/>
                              <w:ind w:left="2268" w:right="449" w:hanging="283"/>
                              <w:rPr>
                                <w:rFonts w:ascii="Arial" w:hAnsi="Arial" w:cs="Arial"/>
                                <w:color w:val="FFFFFF" w:themeColor="background1"/>
                                <w:sz w:val="20"/>
                                <w:szCs w:val="20"/>
                              </w:rPr>
                            </w:pPr>
                            <w:r w:rsidRPr="005F33CC">
                              <w:rPr>
                                <w:rFonts w:ascii="Arial" w:eastAsia="Calibri" w:hAnsi="Arial" w:cs="Arial"/>
                                <w:color w:val="FFFFFF" w:themeColor="background1"/>
                                <w:sz w:val="20"/>
                                <w:szCs w:val="20"/>
                              </w:rPr>
                              <w:t xml:space="preserve">As recomendações realizadas ao longo do parecer que demandem atuação </w:t>
                            </w:r>
                            <w:r w:rsidRPr="005F33CC">
                              <w:rPr>
                                <w:rFonts w:ascii="Arial" w:eastAsia="Calibri" w:hAnsi="Arial" w:cs="Arial"/>
                                <w:color w:val="FFFFFF" w:themeColor="background1"/>
                                <w:sz w:val="20"/>
                                <w:szCs w:val="20"/>
                              </w:rPr>
                              <w:br/>
                              <w:t xml:space="preserve">da autoridade devem ser destacadas no texto e expressamente indicadas </w:t>
                            </w:r>
                            <w:r w:rsidRPr="005F33CC">
                              <w:rPr>
                                <w:rFonts w:ascii="Arial" w:eastAsia="Calibri" w:hAnsi="Arial" w:cs="Arial"/>
                                <w:color w:val="FFFFFF" w:themeColor="background1"/>
                                <w:sz w:val="20"/>
                                <w:szCs w:val="20"/>
                              </w:rPr>
                              <w:br/>
                              <w:t>no tópico da conclusão.</w:t>
                            </w:r>
                          </w:p>
                          <w:p w14:paraId="5A9B9125" w14:textId="07A0AB6F" w:rsidR="005F33CC" w:rsidRPr="005F33CC" w:rsidRDefault="005F33CC" w:rsidP="005F33CC">
                            <w:pPr>
                              <w:numPr>
                                <w:ilvl w:val="0"/>
                                <w:numId w:val="5"/>
                              </w:numPr>
                              <w:spacing w:line="240" w:lineRule="auto"/>
                              <w:ind w:left="2268" w:right="449" w:hanging="283"/>
                              <w:rPr>
                                <w:rFonts w:ascii="Arial" w:hAnsi="Arial" w:cs="Arial"/>
                                <w:color w:val="FFFFFF" w:themeColor="background1"/>
                                <w:sz w:val="20"/>
                                <w:szCs w:val="20"/>
                              </w:rPr>
                            </w:pPr>
                            <w:r w:rsidRPr="005F33CC">
                              <w:rPr>
                                <w:rFonts w:ascii="Arial" w:eastAsia="Calibri" w:hAnsi="Arial" w:cs="Arial"/>
                                <w:color w:val="FFFFFF" w:themeColor="background1"/>
                                <w:sz w:val="20"/>
                                <w:szCs w:val="20"/>
                              </w:rPr>
                              <w:t xml:space="preserve"> Para facilitar a utilização do modelo, os parágrafos desse parecer parametrizado não foram numerados. No entanto, recomenda-se a numeração para viabilizar a indicação dos itens a serem observados </w:t>
                            </w:r>
                            <w:r>
                              <w:rPr>
                                <w:rFonts w:ascii="Arial" w:eastAsia="Calibri" w:hAnsi="Arial" w:cs="Arial"/>
                                <w:color w:val="FFFFFF" w:themeColor="background1"/>
                                <w:sz w:val="20"/>
                                <w:szCs w:val="20"/>
                              </w:rPr>
                              <w:br/>
                            </w:r>
                            <w:r w:rsidRPr="005F33CC">
                              <w:rPr>
                                <w:rFonts w:ascii="Arial" w:eastAsia="Calibri" w:hAnsi="Arial" w:cs="Arial"/>
                                <w:color w:val="FFFFFF" w:themeColor="background1"/>
                                <w:sz w:val="20"/>
                                <w:szCs w:val="20"/>
                              </w:rPr>
                              <w:t>no tópico da conclusão.</w:t>
                            </w:r>
                          </w:p>
                          <w:p w14:paraId="056A92DF" w14:textId="435AE8BB" w:rsidR="005F33CC" w:rsidRPr="005F33CC" w:rsidRDefault="005F33CC" w:rsidP="005F33CC">
                            <w:pPr>
                              <w:numPr>
                                <w:ilvl w:val="0"/>
                                <w:numId w:val="5"/>
                              </w:numPr>
                              <w:spacing w:line="240" w:lineRule="auto"/>
                              <w:ind w:left="2268" w:right="449" w:hanging="283"/>
                              <w:rPr>
                                <w:rFonts w:ascii="Arial" w:hAnsi="Arial" w:cs="Arial"/>
                                <w:color w:val="FFFFFF" w:themeColor="background1"/>
                                <w:sz w:val="20"/>
                                <w:szCs w:val="20"/>
                              </w:rPr>
                            </w:pPr>
                            <w:r w:rsidRPr="005F33CC">
                              <w:rPr>
                                <w:rFonts w:ascii="Arial" w:eastAsia="Calibri" w:hAnsi="Arial" w:cs="Arial"/>
                                <w:color w:val="FFFFFF" w:themeColor="background1"/>
                                <w:sz w:val="20"/>
                                <w:szCs w:val="20"/>
                              </w:rPr>
                              <w:t xml:space="preserve">O modelo está configurado de acordo com as normas da Portaria nº 1.399, </w:t>
                            </w:r>
                            <w:r w:rsidRPr="005F33CC">
                              <w:rPr>
                                <w:rFonts w:ascii="Arial" w:eastAsia="Calibri" w:hAnsi="Arial" w:cs="Arial"/>
                                <w:color w:val="FFFFFF" w:themeColor="background1"/>
                                <w:sz w:val="20"/>
                                <w:szCs w:val="20"/>
                              </w:rPr>
                              <w:br/>
                              <w:t xml:space="preserve">de 2009, e seu anexo, do Advogado-Geral da União. O Procurador Federal </w:t>
                            </w:r>
                            <w:r w:rsidRPr="005F33CC">
                              <w:rPr>
                                <w:rFonts w:ascii="Arial" w:eastAsia="Calibri" w:hAnsi="Arial" w:cs="Arial"/>
                                <w:color w:val="FFFFFF" w:themeColor="background1"/>
                                <w:sz w:val="20"/>
                                <w:szCs w:val="20"/>
                              </w:rPr>
                              <w:br/>
                              <w:t xml:space="preserve">deve atentar, no desenvolvimento do parecer, para o cumprimento integral </w:t>
                            </w:r>
                            <w:r w:rsidRPr="005F33CC">
                              <w:rPr>
                                <w:rFonts w:ascii="Arial" w:eastAsia="Calibri" w:hAnsi="Arial" w:cs="Arial"/>
                                <w:color w:val="FFFFFF" w:themeColor="background1"/>
                                <w:sz w:val="20"/>
                                <w:szCs w:val="20"/>
                              </w:rPr>
                              <w:br/>
                              <w:t>das orientações da Procuradoria-Geral Federal e da Advocacia-Geral da União pertinentes à matéria.</w:t>
                            </w:r>
                          </w:p>
                          <w:p w14:paraId="119F36B0" w14:textId="77777777" w:rsidR="005F33CC" w:rsidRPr="005F33CC" w:rsidRDefault="005F33CC" w:rsidP="005F33CC">
                            <w:pPr>
                              <w:spacing w:line="240" w:lineRule="auto"/>
                              <w:ind w:left="1985" w:right="449"/>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32684" id="Retângulo: Cantos Arredondados 74" o:spid="_x0000_s1042" style="position:absolute;margin-left:2pt;margin-top:253.6pt;width:496.05pt;height:3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" filled="f" strokecolor="#b886b3" strokeweight="2.25pt">
                <v:stroke joinstyle="miter"/>
                <v:textbox>
                  <w:txbxContent>
                    <w:p w14:paraId="13A2451A" w14:textId="1104FE69" w:rsidR="005F33CC" w:rsidRPr="005F33CC" w:rsidRDefault="005F33CC" w:rsidP="005F33CC">
                      <w:pPr>
                        <w:numPr>
                          <w:ilvl w:val="0"/>
                          <w:numId w:val="5"/>
                        </w:numPr>
                        <w:spacing w:line="240" w:lineRule="auto"/>
                        <w:ind w:left="2268" w:right="449" w:hanging="283"/>
                        <w:rPr>
                          <w:rFonts w:ascii="Arial" w:hAnsi="Arial" w:cs="Arial"/>
                          <w:color w:val="FFFFFF" w:themeColor="background1"/>
                          <w:sz w:val="20"/>
                          <w:szCs w:val="20"/>
                        </w:rPr>
                      </w:pPr>
                      <w:r w:rsidRPr="005F33CC">
                        <w:rPr>
                          <w:rFonts w:ascii="Arial" w:eastAsia="Calibri" w:hAnsi="Arial" w:cs="Arial"/>
                          <w:color w:val="FFFFFF" w:themeColor="background1"/>
                          <w:sz w:val="20"/>
                          <w:szCs w:val="20"/>
                        </w:rPr>
                        <w:t xml:space="preserve">Quando o processo não estiver instruído com documento ou informação </w:t>
                      </w:r>
                      <w:r w:rsidRPr="005F33CC">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w:t>
                      </w:r>
                      <w:r>
                        <w:rPr>
                          <w:rFonts w:ascii="Arial" w:eastAsia="Calibri" w:hAnsi="Arial" w:cs="Arial"/>
                          <w:color w:val="FFFFFF" w:themeColor="background1"/>
                          <w:sz w:val="20"/>
                          <w:szCs w:val="20"/>
                        </w:rPr>
                        <w:t xml:space="preserve"> </w:t>
                      </w:r>
                      <w:r w:rsidRPr="005F33CC">
                        <w:rPr>
                          <w:rFonts w:ascii="Arial" w:eastAsia="Calibri" w:hAnsi="Arial" w:cs="Arial"/>
                          <w:color w:val="FFFFFF" w:themeColor="background1"/>
                          <w:sz w:val="20"/>
                          <w:szCs w:val="20"/>
                        </w:rPr>
                        <w:t xml:space="preserve">termo aditivo. </w:t>
                      </w:r>
                    </w:p>
                    <w:p w14:paraId="17BC32D0" w14:textId="38D0B9ED" w:rsidR="005F33CC" w:rsidRPr="005F33CC" w:rsidRDefault="005F33CC" w:rsidP="005F33CC">
                      <w:pPr>
                        <w:numPr>
                          <w:ilvl w:val="0"/>
                          <w:numId w:val="5"/>
                        </w:numPr>
                        <w:spacing w:line="240" w:lineRule="auto"/>
                        <w:ind w:left="2268" w:right="449" w:hanging="283"/>
                        <w:rPr>
                          <w:rFonts w:ascii="Arial" w:hAnsi="Arial" w:cs="Arial"/>
                          <w:color w:val="FFFFFF" w:themeColor="background1"/>
                          <w:sz w:val="20"/>
                          <w:szCs w:val="20"/>
                        </w:rPr>
                      </w:pPr>
                      <w:r w:rsidRPr="005F33CC">
                        <w:rPr>
                          <w:rFonts w:ascii="Arial" w:eastAsia="Calibri" w:hAnsi="Arial" w:cs="Arial"/>
                          <w:color w:val="FFFFFF" w:themeColor="background1"/>
                          <w:sz w:val="20"/>
                          <w:szCs w:val="20"/>
                        </w:rPr>
                        <w:t xml:space="preserve">É medida de boa prática destacar as orientações já atendidas pelo órgão.  </w:t>
                      </w:r>
                    </w:p>
                    <w:p w14:paraId="61019C91" w14:textId="4F49BCBE" w:rsidR="005F33CC" w:rsidRPr="005F33CC" w:rsidRDefault="005F33CC" w:rsidP="005F33CC">
                      <w:pPr>
                        <w:numPr>
                          <w:ilvl w:val="0"/>
                          <w:numId w:val="5"/>
                        </w:numPr>
                        <w:spacing w:line="240" w:lineRule="auto"/>
                        <w:ind w:left="2268" w:right="449" w:hanging="283"/>
                        <w:rPr>
                          <w:rFonts w:ascii="Arial" w:hAnsi="Arial" w:cs="Arial"/>
                          <w:color w:val="FFFFFF" w:themeColor="background1"/>
                          <w:sz w:val="20"/>
                          <w:szCs w:val="20"/>
                        </w:rPr>
                      </w:pPr>
                      <w:r w:rsidRPr="005F33CC">
                        <w:rPr>
                          <w:rFonts w:ascii="Arial" w:eastAsia="Calibri" w:hAnsi="Arial" w:cs="Arial"/>
                          <w:color w:val="FFFFFF" w:themeColor="background1"/>
                          <w:sz w:val="20"/>
                          <w:szCs w:val="20"/>
                        </w:rPr>
                        <w:t xml:space="preserve">As recomendações realizadas ao longo do parecer que demandem atuação </w:t>
                      </w:r>
                      <w:r w:rsidRPr="005F33CC">
                        <w:rPr>
                          <w:rFonts w:ascii="Arial" w:eastAsia="Calibri" w:hAnsi="Arial" w:cs="Arial"/>
                          <w:color w:val="FFFFFF" w:themeColor="background1"/>
                          <w:sz w:val="20"/>
                          <w:szCs w:val="20"/>
                        </w:rPr>
                        <w:br/>
                        <w:t xml:space="preserve">da autoridade devem ser destacadas no texto e expressamente indicadas </w:t>
                      </w:r>
                      <w:r w:rsidRPr="005F33CC">
                        <w:rPr>
                          <w:rFonts w:ascii="Arial" w:eastAsia="Calibri" w:hAnsi="Arial" w:cs="Arial"/>
                          <w:color w:val="FFFFFF" w:themeColor="background1"/>
                          <w:sz w:val="20"/>
                          <w:szCs w:val="20"/>
                        </w:rPr>
                        <w:br/>
                        <w:t>no tópico da conclusão.</w:t>
                      </w:r>
                    </w:p>
                    <w:p w14:paraId="5A9B9125" w14:textId="07A0AB6F" w:rsidR="005F33CC" w:rsidRPr="005F33CC" w:rsidRDefault="005F33CC" w:rsidP="005F33CC">
                      <w:pPr>
                        <w:numPr>
                          <w:ilvl w:val="0"/>
                          <w:numId w:val="5"/>
                        </w:numPr>
                        <w:spacing w:line="240" w:lineRule="auto"/>
                        <w:ind w:left="2268" w:right="449" w:hanging="283"/>
                        <w:rPr>
                          <w:rFonts w:ascii="Arial" w:hAnsi="Arial" w:cs="Arial"/>
                          <w:color w:val="FFFFFF" w:themeColor="background1"/>
                          <w:sz w:val="20"/>
                          <w:szCs w:val="20"/>
                        </w:rPr>
                      </w:pPr>
                      <w:r w:rsidRPr="005F33CC">
                        <w:rPr>
                          <w:rFonts w:ascii="Arial" w:eastAsia="Calibri" w:hAnsi="Arial" w:cs="Arial"/>
                          <w:color w:val="FFFFFF" w:themeColor="background1"/>
                          <w:sz w:val="20"/>
                          <w:szCs w:val="20"/>
                        </w:rPr>
                        <w:t xml:space="preserve"> Para facilitar a utilização do modelo, os parágrafos desse parecer parametrizado não foram numerados. No entanto, recomenda-se a numeração para viabilizar a indicação dos itens a serem observados </w:t>
                      </w:r>
                      <w:r>
                        <w:rPr>
                          <w:rFonts w:ascii="Arial" w:eastAsia="Calibri" w:hAnsi="Arial" w:cs="Arial"/>
                          <w:color w:val="FFFFFF" w:themeColor="background1"/>
                          <w:sz w:val="20"/>
                          <w:szCs w:val="20"/>
                        </w:rPr>
                        <w:br/>
                      </w:r>
                      <w:r w:rsidRPr="005F33CC">
                        <w:rPr>
                          <w:rFonts w:ascii="Arial" w:eastAsia="Calibri" w:hAnsi="Arial" w:cs="Arial"/>
                          <w:color w:val="FFFFFF" w:themeColor="background1"/>
                          <w:sz w:val="20"/>
                          <w:szCs w:val="20"/>
                        </w:rPr>
                        <w:t>no tópico da conclusão.</w:t>
                      </w:r>
                    </w:p>
                    <w:p w14:paraId="056A92DF" w14:textId="435AE8BB" w:rsidR="005F33CC" w:rsidRPr="005F33CC" w:rsidRDefault="005F33CC" w:rsidP="005F33CC">
                      <w:pPr>
                        <w:numPr>
                          <w:ilvl w:val="0"/>
                          <w:numId w:val="5"/>
                        </w:numPr>
                        <w:spacing w:line="240" w:lineRule="auto"/>
                        <w:ind w:left="2268" w:right="449" w:hanging="283"/>
                        <w:rPr>
                          <w:rFonts w:ascii="Arial" w:hAnsi="Arial" w:cs="Arial"/>
                          <w:color w:val="FFFFFF" w:themeColor="background1"/>
                          <w:sz w:val="20"/>
                          <w:szCs w:val="20"/>
                        </w:rPr>
                      </w:pPr>
                      <w:r w:rsidRPr="005F33CC">
                        <w:rPr>
                          <w:rFonts w:ascii="Arial" w:eastAsia="Calibri" w:hAnsi="Arial" w:cs="Arial"/>
                          <w:color w:val="FFFFFF" w:themeColor="background1"/>
                          <w:sz w:val="20"/>
                          <w:szCs w:val="20"/>
                        </w:rPr>
                        <w:t xml:space="preserve">O modelo está configurado de acordo com as normas da Portaria nº 1.399, </w:t>
                      </w:r>
                      <w:r w:rsidRPr="005F33CC">
                        <w:rPr>
                          <w:rFonts w:ascii="Arial" w:eastAsia="Calibri" w:hAnsi="Arial" w:cs="Arial"/>
                          <w:color w:val="FFFFFF" w:themeColor="background1"/>
                          <w:sz w:val="20"/>
                          <w:szCs w:val="20"/>
                        </w:rPr>
                        <w:br/>
                        <w:t xml:space="preserve">de 2009, e seu anexo, do Advogado-Geral da União. O Procurador Federal </w:t>
                      </w:r>
                      <w:r w:rsidRPr="005F33CC">
                        <w:rPr>
                          <w:rFonts w:ascii="Arial" w:eastAsia="Calibri" w:hAnsi="Arial" w:cs="Arial"/>
                          <w:color w:val="FFFFFF" w:themeColor="background1"/>
                          <w:sz w:val="20"/>
                          <w:szCs w:val="20"/>
                        </w:rPr>
                        <w:br/>
                        <w:t xml:space="preserve">deve atentar, no desenvolvimento do parecer, para o cumprimento integral </w:t>
                      </w:r>
                      <w:r w:rsidRPr="005F33CC">
                        <w:rPr>
                          <w:rFonts w:ascii="Arial" w:eastAsia="Calibri" w:hAnsi="Arial" w:cs="Arial"/>
                          <w:color w:val="FFFFFF" w:themeColor="background1"/>
                          <w:sz w:val="20"/>
                          <w:szCs w:val="20"/>
                        </w:rPr>
                        <w:br/>
                        <w:t>das orientações da Procuradoria-Geral Federal e da Advocacia-Geral da União pertinentes à matéria.</w:t>
                      </w:r>
                    </w:p>
                    <w:p w14:paraId="119F36B0" w14:textId="77777777" w:rsidR="005F33CC" w:rsidRPr="005F33CC" w:rsidRDefault="005F33CC" w:rsidP="005F33CC">
                      <w:pPr>
                        <w:spacing w:line="240" w:lineRule="auto"/>
                        <w:ind w:left="1985" w:right="449"/>
                        <w:rPr>
                          <w:rFonts w:ascii="Arial" w:hAnsi="Arial" w:cs="Arial"/>
                          <w:color w:val="FFFFFF" w:themeColor="background1"/>
                          <w:sz w:val="20"/>
                          <w:szCs w:val="20"/>
                        </w:rPr>
                      </w:pPr>
                    </w:p>
                  </w:txbxContent>
                </v:textbox>
              </v:roundrect>
            </w:pict>
          </mc:Fallback>
        </mc:AlternateContent>
      </w:r>
      <w:r w:rsidR="001C1C94" w:rsidRPr="005F33CC">
        <w:rPr>
          <w:noProof/>
          <w:lang w:eastAsia="pt-BR"/>
        </w:rPr>
        <mc:AlternateContent>
          <mc:Choice Requires="wps">
            <w:drawing>
              <wp:anchor distT="0" distB="0" distL="114300" distR="114300" simplePos="0" relativeHeight="251696128" behindDoc="0" locked="0" layoutInCell="1" allowOverlap="1" wp14:anchorId="3424058E" wp14:editId="5EE537A1">
                <wp:simplePos x="0" y="0"/>
                <wp:positionH relativeFrom="column">
                  <wp:posOffset>-271145</wp:posOffset>
                </wp:positionH>
                <wp:positionV relativeFrom="paragraph">
                  <wp:posOffset>2970282</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86CED" w14:textId="77777777" w:rsidR="005F33CC" w:rsidRPr="00A06A28" w:rsidRDefault="005F33CC" w:rsidP="005F33CC">
                            <w:pPr>
                              <w:jc w:val="center"/>
                              <w:rPr>
                                <w:rFonts w:ascii="Ubuntu" w:hAnsi="Ubuntu"/>
                                <w:b/>
                                <w:bCs/>
                              </w:rPr>
                            </w:pPr>
                            <w:r w:rsidRPr="005F33CC">
                              <w:rPr>
                                <w:rFonts w:ascii="Arial" w:hAnsi="Arial" w:cs="Arial"/>
                                <w:b/>
                                <w:bCs/>
                              </w:rPr>
                              <w:t>ATENÇÃO</w:t>
                            </w:r>
                            <w:r>
                              <w:rPr>
                                <w:rFonts w:ascii="Ubuntu" w:hAnsi="Ubuntu"/>
                                <w:b/>
                                <w:bCs/>
                                <w:noProof/>
                                <w:lang w:eastAsia="pt-BR"/>
                              </w:rPr>
                              <w:drawing>
                                <wp:inline distT="0" distB="0" distL="0" distR="0" wp14:anchorId="0568A12B" wp14:editId="19FBAE2A">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4058E" id="Retângulo: Cantos Arredondados 75" o:spid="_x0000_s1043" style="position:absolute;margin-left:-21.35pt;margin-top:233.9pt;width:114pt;height:1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" fillcolor="#b886b3" stroked="f" strokeweight="1pt">
                <v:stroke joinstyle="miter"/>
                <v:textbox>
                  <w:txbxContent>
                    <w:p w14:paraId="30186CED" w14:textId="77777777" w:rsidR="005F33CC" w:rsidRPr="00A06A28" w:rsidRDefault="005F33CC" w:rsidP="005F33CC">
                      <w:pPr>
                        <w:jc w:val="center"/>
                        <w:rPr>
                          <w:rFonts w:ascii="Ubuntu" w:hAnsi="Ubuntu"/>
                          <w:b/>
                          <w:bCs/>
                        </w:rPr>
                      </w:pPr>
                      <w:r w:rsidRPr="005F33CC">
                        <w:rPr>
                          <w:rFonts w:ascii="Arial" w:hAnsi="Arial" w:cs="Arial"/>
                          <w:b/>
                          <w:bCs/>
                        </w:rPr>
                        <w:t>ATENÇÃO</w:t>
                      </w:r>
                      <w:r>
                        <w:rPr>
                          <w:rFonts w:ascii="Ubuntu" w:hAnsi="Ubuntu"/>
                          <w:b/>
                          <w:bCs/>
                          <w:noProof/>
                          <w:lang w:eastAsia="pt-BR"/>
                        </w:rPr>
                        <w:drawing>
                          <wp:inline distT="0" distB="0" distL="0" distR="0" wp14:anchorId="0568A12B" wp14:editId="19FBAE2A">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1C1C94" w:rsidRPr="005F33CC">
        <w:rPr>
          <w:noProof/>
          <w:lang w:eastAsia="pt-BR"/>
        </w:rPr>
        <mc:AlternateContent>
          <mc:Choice Requires="wps">
            <w:drawing>
              <wp:anchor distT="0" distB="0" distL="114300" distR="114300" simplePos="0" relativeHeight="251692032" behindDoc="0" locked="0" layoutInCell="1" allowOverlap="1" wp14:anchorId="718CE3D7" wp14:editId="5AC10AFD">
                <wp:simplePos x="0" y="0"/>
                <wp:positionH relativeFrom="column">
                  <wp:posOffset>5203190</wp:posOffset>
                </wp:positionH>
                <wp:positionV relativeFrom="paragraph">
                  <wp:posOffset>7675245</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2EE12004" id="Retângulo: Cantos Arredondados 98" o:spid="_x0000_s1026" style="position:absolute;margin-left:409.7pt;margin-top:604.35pt;width:86.95pt;height: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" fillcolor="white [3212]" strokecolor="white [3212]" strokeweight="1pt">
                <v:stroke joinstyle="miter"/>
                <v:shadow on="t" color="black" opacity="26214f" origin="-.5,-.5" offset=".74836mm,.74836mm"/>
              </v:roundrect>
            </w:pict>
          </mc:Fallback>
        </mc:AlternateContent>
      </w:r>
      <w:r w:rsidR="001C1C94" w:rsidRPr="005F33CC">
        <w:rPr>
          <w:noProof/>
          <w:lang w:eastAsia="pt-BR"/>
        </w:rPr>
        <mc:AlternateContent>
          <mc:Choice Requires="wps">
            <w:drawing>
              <wp:anchor distT="0" distB="0" distL="114300" distR="114300" simplePos="0" relativeHeight="251691008" behindDoc="0" locked="0" layoutInCell="1" allowOverlap="1" wp14:anchorId="0EF50E70" wp14:editId="3ACF849F">
                <wp:simplePos x="0" y="0"/>
                <wp:positionH relativeFrom="column">
                  <wp:posOffset>1071245</wp:posOffset>
                </wp:positionH>
                <wp:positionV relativeFrom="paragraph">
                  <wp:posOffset>7849870</wp:posOffset>
                </wp:positionV>
                <wp:extent cx="1854835"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50D00078" w14:textId="699A72F4" w:rsidR="005F33CC" w:rsidRPr="00106C29" w:rsidRDefault="005F33CC" w:rsidP="005F33CC">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sidR="001C1C94">
                              <w:rPr>
                                <w:rFonts w:ascii="Arial" w:eastAsia="Times New Roman" w:hAnsi="Arial" w:cs="Arial"/>
                                <w:color w:val="FFFFFF" w:themeColor="background1"/>
                                <w:sz w:val="20"/>
                                <w:szCs w:val="20"/>
                              </w:rPr>
                              <w:t>abril</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4">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50E70" id="Caixa de Texto 96" o:spid="_x0000_s1044" type="#_x0000_t202" style="position:absolute;margin-left:84.35pt;margin-top:618.1pt;width:146.05pt;height: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" filled="f" stroked="f" strokeweight=".5pt">
                <v:textbox>
                  <w:txbxContent>
                    <w:p w14:paraId="50D00078" w14:textId="699A72F4" w:rsidR="005F33CC" w:rsidRPr="00106C29" w:rsidRDefault="005F33CC" w:rsidP="005F33CC">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sidR="001C1C94">
                        <w:rPr>
                          <w:rFonts w:ascii="Arial" w:eastAsia="Times New Roman" w:hAnsi="Arial" w:cs="Arial"/>
                          <w:color w:val="FFFFFF" w:themeColor="background1"/>
                          <w:sz w:val="20"/>
                          <w:szCs w:val="20"/>
                        </w:rPr>
                        <w:t>abril</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5">
                        <w:r w:rsidRPr="00106C29">
                          <w:rPr>
                            <w:rFonts w:ascii="Arial" w:eastAsia="Times New Roman" w:hAnsi="Arial" w:cs="Arial"/>
                            <w:color w:val="FFFFFF" w:themeColor="background1"/>
                            <w:sz w:val="24"/>
                            <w:szCs w:val="24"/>
                          </w:rPr>
                          <w:t>pgf.cpuc@agu.gov.br</w:t>
                        </w:r>
                      </w:hyperlink>
                    </w:p>
                  </w:txbxContent>
                </v:textbox>
              </v:shape>
            </w:pict>
          </mc:Fallback>
        </mc:AlternateContent>
      </w:r>
      <w:r w:rsidR="001C1C94" w:rsidRPr="005F33CC">
        <w:rPr>
          <w:noProof/>
          <w:lang w:eastAsia="pt-BR"/>
        </w:rPr>
        <mc:AlternateContent>
          <mc:Choice Requires="wps">
            <w:drawing>
              <wp:anchor distT="0" distB="0" distL="114300" distR="114300" simplePos="0" relativeHeight="251689984" behindDoc="0" locked="0" layoutInCell="1" allowOverlap="1" wp14:anchorId="005302E8" wp14:editId="461F9324">
                <wp:simplePos x="0" y="0"/>
                <wp:positionH relativeFrom="column">
                  <wp:posOffset>11430</wp:posOffset>
                </wp:positionH>
                <wp:positionV relativeFrom="paragraph">
                  <wp:posOffset>7769225</wp:posOffset>
                </wp:positionV>
                <wp:extent cx="3206750" cy="898525"/>
                <wp:effectExtent l="19050" t="19050" r="12700" b="15875"/>
                <wp:wrapNone/>
                <wp:docPr id="89" name="Retângulo: Cantos Arredondados 89"/>
                <wp:cNvGraphicFramePr/>
                <a:graphic xmlns:a="http://schemas.openxmlformats.org/drawingml/2006/main">
                  <a:graphicData uri="http://schemas.microsoft.com/office/word/2010/wordprocessingShape">
                    <wps:wsp>
                      <wps:cNvSpPr/>
                      <wps:spPr>
                        <a:xfrm>
                          <a:off x="0" y="0"/>
                          <a:ext cx="3206750" cy="898525"/>
                        </a:xfrm>
                        <a:prstGeom prst="roundRect">
                          <a:avLst>
                            <a:gd name="adj" fmla="val 604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6A425D92" w14:textId="77777777" w:rsidR="005F33CC" w:rsidRPr="008C6FAA" w:rsidRDefault="005F33CC" w:rsidP="005F33CC">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723CB197" wp14:editId="1D75F1F5">
                                  <wp:extent cx="887802" cy="701070"/>
                                  <wp:effectExtent l="0" t="0" r="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302E8" id="Retângulo: Cantos Arredondados 89" o:spid="_x0000_s1045" style="position:absolute;margin-left:.9pt;margin-top:611.75pt;width:252.5pt;height:7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" filled="f" strokecolor="#154b5d" strokeweight="2.25pt">
                <v:stroke joinstyle="miter"/>
                <v:textbox>
                  <w:txbxContent>
                    <w:p w14:paraId="6A425D92" w14:textId="77777777" w:rsidR="005F33CC" w:rsidRPr="008C6FAA" w:rsidRDefault="005F33CC" w:rsidP="005F33CC">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723CB197" wp14:editId="1D75F1F5">
                            <wp:extent cx="887802" cy="701070"/>
                            <wp:effectExtent l="0" t="0" r="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1C1C94" w:rsidRPr="005F33CC">
        <w:rPr>
          <w:noProof/>
          <w:lang w:eastAsia="pt-BR"/>
        </w:rPr>
        <mc:AlternateContent>
          <mc:Choice Requires="wps">
            <w:drawing>
              <wp:anchor distT="0" distB="0" distL="114300" distR="114300" simplePos="0" relativeHeight="251688960" behindDoc="0" locked="0" layoutInCell="1" allowOverlap="1" wp14:anchorId="5CBB7E98" wp14:editId="445C9B94">
                <wp:simplePos x="0" y="0"/>
                <wp:positionH relativeFrom="column">
                  <wp:posOffset>3503295</wp:posOffset>
                </wp:positionH>
                <wp:positionV relativeFrom="paragraph">
                  <wp:posOffset>7766685</wp:posOffset>
                </wp:positionV>
                <wp:extent cx="2644140" cy="899795"/>
                <wp:effectExtent l="19050" t="19050" r="22860" b="14605"/>
                <wp:wrapNone/>
                <wp:docPr id="87" name="Retângulo: Cantos Arredondados 87"/>
                <wp:cNvGraphicFramePr/>
                <a:graphic xmlns:a="http://schemas.openxmlformats.org/drawingml/2006/main">
                  <a:graphicData uri="http://schemas.microsoft.com/office/word/2010/wordprocessingShape">
                    <wps:wsp>
                      <wps:cNvSpPr/>
                      <wps:spPr>
                        <a:xfrm>
                          <a:off x="0" y="0"/>
                          <a:ext cx="2644140" cy="899795"/>
                        </a:xfrm>
                        <a:prstGeom prst="roundRect">
                          <a:avLst>
                            <a:gd name="adj" fmla="val 7817"/>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356C6BEA"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B7E98" id="Retângulo: Cantos Arredondados 87" o:spid="_x0000_s1046" style="position:absolute;margin-left:275.85pt;margin-top:611.55pt;width:208.2pt;height:7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" filled="f" strokecolor="#154b5d" strokeweight="2.25pt">
                <v:stroke joinstyle="miter"/>
                <v:textbox>
                  <w:txbxContent>
                    <w:p w14:paraId="356C6BEA"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001C1C94" w:rsidRPr="005F33CC">
        <w:rPr>
          <w:noProof/>
          <w:lang w:eastAsia="pt-BR"/>
        </w:rPr>
        <mc:AlternateContent>
          <mc:Choice Requires="wps">
            <w:drawing>
              <wp:anchor distT="0" distB="0" distL="114300" distR="114300" simplePos="0" relativeHeight="251687936" behindDoc="0" locked="0" layoutInCell="1" allowOverlap="1" wp14:anchorId="739F56AF" wp14:editId="4D0DFDDB">
                <wp:simplePos x="0" y="0"/>
                <wp:positionH relativeFrom="column">
                  <wp:posOffset>3389630</wp:posOffset>
                </wp:positionH>
                <wp:positionV relativeFrom="paragraph">
                  <wp:posOffset>7629525</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B7772EC"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F56AF" id="Retângulo: Cantos Arredondados 85" o:spid="_x0000_s1047" style="position:absolute;margin-left:266.9pt;margin-top:600.75pt;width:212.55pt;height:7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" fillcolor="#b886b3" stroked="f" strokeweight="1pt">
                <v:stroke joinstyle="miter"/>
                <v:textbox>
                  <w:txbxContent>
                    <w:p w14:paraId="5B7772EC"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005F33CC" w:rsidRPr="005F33CC">
        <w:rPr>
          <w:noProof/>
          <w:lang w:eastAsia="pt-BR"/>
        </w:rPr>
        <mc:AlternateContent>
          <mc:Choice Requires="wps">
            <w:drawing>
              <wp:anchor distT="0" distB="0" distL="114300" distR="114300" simplePos="0" relativeHeight="251685888" behindDoc="0" locked="0" layoutInCell="1" allowOverlap="1" wp14:anchorId="423CB292" wp14:editId="3054FF23">
                <wp:simplePos x="0" y="0"/>
                <wp:positionH relativeFrom="column">
                  <wp:posOffset>3101340</wp:posOffset>
                </wp:positionH>
                <wp:positionV relativeFrom="paragraph">
                  <wp:posOffset>410845</wp:posOffset>
                </wp:positionV>
                <wp:extent cx="3105150" cy="18954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1895475"/>
                        </a:xfrm>
                        <a:prstGeom prst="rect">
                          <a:avLst/>
                        </a:prstGeom>
                        <a:noFill/>
                        <a:ln w="6350">
                          <a:noFill/>
                        </a:ln>
                      </wps:spPr>
                      <wps:txbx>
                        <w:txbxContent>
                          <w:p w14:paraId="1DFA4E25" w14:textId="77777777" w:rsidR="005F33CC" w:rsidRPr="005F240B" w:rsidRDefault="005F33CC" w:rsidP="005F33CC">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2694AC12" w14:textId="77777777" w:rsidR="005F33CC" w:rsidRPr="005F240B" w:rsidRDefault="005F33CC" w:rsidP="005F33CC">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309A0515"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1FC1C89A"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CB292" id="Caixa de Texto 72" o:spid="_x0000_s1048" type="#_x0000_t202" style="position:absolute;margin-left:244.2pt;margin-top:32.35pt;width:244.5pt;height:14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" filled="f" stroked="f" strokeweight=".5pt">
                <v:textbox>
                  <w:txbxContent>
                    <w:p w14:paraId="1DFA4E25" w14:textId="77777777" w:rsidR="005F33CC" w:rsidRPr="005F240B" w:rsidRDefault="005F33CC" w:rsidP="005F33CC">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2694AC12" w14:textId="77777777" w:rsidR="005F33CC" w:rsidRPr="005F240B" w:rsidRDefault="005F33CC" w:rsidP="005F33CC">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309A0515"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1FC1C89A"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005F33CC" w:rsidRPr="005F33CC">
        <w:rPr>
          <w:noProof/>
          <w:lang w:eastAsia="pt-BR"/>
        </w:rPr>
        <mc:AlternateContent>
          <mc:Choice Requires="wps">
            <w:drawing>
              <wp:anchor distT="0" distB="0" distL="114300" distR="114300" simplePos="0" relativeHeight="251684864" behindDoc="0" locked="0" layoutInCell="1" allowOverlap="1" wp14:anchorId="16635547" wp14:editId="47CCB1AA">
                <wp:simplePos x="0" y="0"/>
                <wp:positionH relativeFrom="column">
                  <wp:posOffset>1424940</wp:posOffset>
                </wp:positionH>
                <wp:positionV relativeFrom="paragraph">
                  <wp:posOffset>1497965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17E82"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35547" id="Retângulo: Cantos Arredondados 71" o:spid="_x0000_s1049" style="position:absolute;margin-left:112.2pt;margin-top:117.95pt;width:132.75pt;height:2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" fillcolor="aqua" stroked="f" strokeweight="1pt">
                <v:stroke joinstyle="miter"/>
                <v:textbox>
                  <w:txbxContent>
                    <w:p w14:paraId="76317E82"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v:textbox>
              </v:roundrect>
            </w:pict>
          </mc:Fallback>
        </mc:AlternateContent>
      </w:r>
      <w:r w:rsidR="005F33CC" w:rsidRPr="005F33CC">
        <w:rPr>
          <w:noProof/>
          <w:lang w:eastAsia="pt-BR"/>
        </w:rPr>
        <mc:AlternateContent>
          <mc:Choice Requires="wps">
            <w:drawing>
              <wp:anchor distT="0" distB="0" distL="114300" distR="114300" simplePos="0" relativeHeight="251683840" behindDoc="0" locked="0" layoutInCell="1" allowOverlap="1" wp14:anchorId="6C87BBBF" wp14:editId="12C89955">
                <wp:simplePos x="0" y="0"/>
                <wp:positionH relativeFrom="column">
                  <wp:posOffset>1424940</wp:posOffset>
                </wp:positionH>
                <wp:positionV relativeFrom="paragraph">
                  <wp:posOffset>1133475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7B814" w14:textId="77777777" w:rsidR="005F33CC" w:rsidRPr="005F240B" w:rsidRDefault="005F33CC" w:rsidP="005F33CC">
                            <w:pPr>
                              <w:rPr>
                                <w:rFonts w:ascii="Arial" w:hAnsi="Arial" w:cs="Arial"/>
                                <w:color w:val="FF0000"/>
                                <w:sz w:val="20"/>
                                <w:szCs w:val="20"/>
                              </w:rPr>
                            </w:pPr>
                            <w:r w:rsidRPr="005F240B">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7BBBF" id="Retângulo: Cantos Arredondados 70" o:spid="_x0000_s1050" style="position:absolute;margin-left:112.2pt;margin-top:89.25pt;width:132.65pt;height:2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" fillcolor="white [3212]" stroked="f" strokeweight="1pt">
                <v:stroke joinstyle="miter"/>
                <v:textbox>
                  <w:txbxContent>
                    <w:p w14:paraId="63F7B814" w14:textId="77777777" w:rsidR="005F33CC" w:rsidRPr="005F240B" w:rsidRDefault="005F33CC" w:rsidP="005F33CC">
                      <w:pPr>
                        <w:rPr>
                          <w:rFonts w:ascii="Arial" w:hAnsi="Arial" w:cs="Arial"/>
                          <w:color w:val="FF0000"/>
                          <w:sz w:val="20"/>
                          <w:szCs w:val="20"/>
                        </w:rPr>
                      </w:pPr>
                      <w:r w:rsidRPr="005F240B">
                        <w:rPr>
                          <w:rFonts w:ascii="Arial" w:hAnsi="Arial" w:cs="Arial"/>
                          <w:color w:val="FF0000"/>
                          <w:sz w:val="20"/>
                          <w:szCs w:val="20"/>
                        </w:rPr>
                        <w:t>Texto na cor Vermelha</w:t>
                      </w:r>
                    </w:p>
                  </w:txbxContent>
                </v:textbox>
              </v:roundrect>
            </w:pict>
          </mc:Fallback>
        </mc:AlternateContent>
      </w:r>
      <w:r w:rsidR="005F33CC" w:rsidRPr="005F33CC">
        <w:rPr>
          <w:noProof/>
          <w:lang w:eastAsia="pt-BR"/>
        </w:rPr>
        <mc:AlternateContent>
          <mc:Choice Requires="wps">
            <w:drawing>
              <wp:anchor distT="0" distB="0" distL="114300" distR="114300" simplePos="0" relativeHeight="251682816" behindDoc="0" locked="0" layoutInCell="1" allowOverlap="1" wp14:anchorId="3AD22733" wp14:editId="34AF0BCD">
                <wp:simplePos x="0" y="0"/>
                <wp:positionH relativeFrom="column">
                  <wp:posOffset>1424940</wp:posOffset>
                </wp:positionH>
                <wp:positionV relativeFrom="paragraph">
                  <wp:posOffset>771525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9E334"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22733" id="Retângulo: Cantos Arredondados 69" o:spid="_x0000_s1051" style="position:absolute;margin-left:112.2pt;margin-top:60.75pt;width:132.65pt;height:2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" fillcolor="white [3212]" stroked="f" strokeweight="1pt">
                <v:stroke joinstyle="miter"/>
                <v:textbox>
                  <w:txbxContent>
                    <w:p w14:paraId="1239E334"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v:textbox>
              </v:roundrect>
            </w:pict>
          </mc:Fallback>
        </mc:AlternateContent>
      </w:r>
      <w:r w:rsidR="005F33CC" w:rsidRPr="005F33CC">
        <w:rPr>
          <w:noProof/>
          <w:lang w:eastAsia="pt-BR"/>
        </w:rPr>
        <mc:AlternateContent>
          <mc:Choice Requires="wps">
            <w:drawing>
              <wp:anchor distT="0" distB="0" distL="114300" distR="114300" simplePos="0" relativeHeight="251681792" behindDoc="0" locked="0" layoutInCell="1" allowOverlap="1" wp14:anchorId="0F2C0CC9" wp14:editId="3A647A9C">
                <wp:simplePos x="0" y="0"/>
                <wp:positionH relativeFrom="column">
                  <wp:posOffset>1415415</wp:posOffset>
                </wp:positionH>
                <wp:positionV relativeFrom="paragraph">
                  <wp:posOffset>409575</wp:posOffset>
                </wp:positionV>
                <wp:extent cx="1684655"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BC352" w14:textId="77777777" w:rsidR="005F33CC" w:rsidRPr="005F240B" w:rsidRDefault="005F33CC" w:rsidP="005F33CC">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C0CC9" id="Retângulo: Cantos Arredondados 66" o:spid="_x0000_s1052" style="position:absolute;margin-left:111.45pt;margin-top:32.25pt;width:132.6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" fillcolor="yellow" stroked="f" strokeweight="1pt">
                <v:stroke joinstyle="miter"/>
                <v:textbox>
                  <w:txbxContent>
                    <w:p w14:paraId="474BC352" w14:textId="77777777" w:rsidR="005F33CC" w:rsidRPr="005F240B" w:rsidRDefault="005F33CC" w:rsidP="005F33CC">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v:textbox>
              </v:roundrect>
            </w:pict>
          </mc:Fallback>
        </mc:AlternateContent>
      </w:r>
      <w:r w:rsidR="005F33CC" w:rsidRPr="005F33CC">
        <w:rPr>
          <w:noProof/>
          <w:lang w:eastAsia="pt-BR"/>
        </w:rPr>
        <mc:AlternateContent>
          <mc:Choice Requires="wps">
            <w:drawing>
              <wp:anchor distT="0" distB="0" distL="114300" distR="114300" simplePos="0" relativeHeight="251680768" behindDoc="0" locked="0" layoutInCell="1" allowOverlap="1" wp14:anchorId="48377E45" wp14:editId="0CBF617A">
                <wp:simplePos x="0" y="0"/>
                <wp:positionH relativeFrom="column">
                  <wp:posOffset>-273050</wp:posOffset>
                </wp:positionH>
                <wp:positionV relativeFrom="paragraph">
                  <wp:posOffset>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0C5DE" w14:textId="77777777" w:rsidR="005F33CC" w:rsidRPr="005F240B" w:rsidRDefault="005F33CC" w:rsidP="005F33CC">
                            <w:pPr>
                              <w:jc w:val="center"/>
                              <w:rPr>
                                <w:rFonts w:ascii="Arial" w:hAnsi="Arial" w:cs="Arial"/>
                                <w:b/>
                                <w:bCs/>
                              </w:rPr>
                            </w:pPr>
                            <w:r w:rsidRPr="005F240B">
                              <w:rPr>
                                <w:rFonts w:ascii="Arial" w:hAnsi="Arial" w:cs="Arial"/>
                                <w:b/>
                                <w:bCs/>
                              </w:rPr>
                              <w:t>COMO USAR?</w:t>
                            </w:r>
                          </w:p>
                          <w:p w14:paraId="1583C2E6" w14:textId="77777777" w:rsidR="005F33CC" w:rsidRPr="00A06A28" w:rsidRDefault="005F33CC" w:rsidP="005F33CC">
                            <w:pPr>
                              <w:jc w:val="center"/>
                              <w:rPr>
                                <w:rFonts w:ascii="Ubuntu" w:hAnsi="Ubuntu"/>
                                <w:b/>
                                <w:bCs/>
                              </w:rPr>
                            </w:pPr>
                            <w:r>
                              <w:rPr>
                                <w:rFonts w:ascii="Ubuntu" w:hAnsi="Ubuntu"/>
                                <w:b/>
                                <w:bCs/>
                                <w:noProof/>
                                <w:lang w:eastAsia="pt-BR"/>
                              </w:rPr>
                              <w:drawing>
                                <wp:inline distT="0" distB="0" distL="0" distR="0" wp14:anchorId="6348C0B3" wp14:editId="7915758E">
                                  <wp:extent cx="923925" cy="107396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77E45" id="Retângulo: Cantos Arredondados 55" o:spid="_x0000_s1053" style="position:absolute;margin-left:-21.5pt;margin-top:0;width:114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" fillcolor="#b886b3" stroked="f" strokeweight="1pt">
                <v:stroke joinstyle="miter"/>
                <v:textbox>
                  <w:txbxContent>
                    <w:p w14:paraId="6310C5DE" w14:textId="77777777" w:rsidR="005F33CC" w:rsidRPr="005F240B" w:rsidRDefault="005F33CC" w:rsidP="005F33CC">
                      <w:pPr>
                        <w:jc w:val="center"/>
                        <w:rPr>
                          <w:rFonts w:ascii="Arial" w:hAnsi="Arial" w:cs="Arial"/>
                          <w:b/>
                          <w:bCs/>
                        </w:rPr>
                      </w:pPr>
                      <w:r w:rsidRPr="005F240B">
                        <w:rPr>
                          <w:rFonts w:ascii="Arial" w:hAnsi="Arial" w:cs="Arial"/>
                          <w:b/>
                          <w:bCs/>
                        </w:rPr>
                        <w:t>COMO USAR?</w:t>
                      </w:r>
                    </w:p>
                    <w:p w14:paraId="1583C2E6" w14:textId="77777777" w:rsidR="005F33CC" w:rsidRPr="00A06A28" w:rsidRDefault="005F33CC" w:rsidP="005F33CC">
                      <w:pPr>
                        <w:jc w:val="center"/>
                        <w:rPr>
                          <w:rFonts w:ascii="Ubuntu" w:hAnsi="Ubuntu"/>
                          <w:b/>
                          <w:bCs/>
                        </w:rPr>
                      </w:pPr>
                      <w:r>
                        <w:rPr>
                          <w:rFonts w:ascii="Ubuntu" w:hAnsi="Ubuntu"/>
                          <w:b/>
                          <w:bCs/>
                          <w:noProof/>
                          <w:lang w:eastAsia="pt-BR"/>
                        </w:rPr>
                        <w:drawing>
                          <wp:inline distT="0" distB="0" distL="0" distR="0" wp14:anchorId="6348C0B3" wp14:editId="7915758E">
                            <wp:extent cx="923925" cy="107396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E626DF">
        <w:br w:type="page"/>
      </w:r>
    </w:p>
    <w:p w14:paraId="3222B1DF" w14:textId="57084AAE" w:rsidR="004423CE" w:rsidRPr="00414B36" w:rsidRDefault="2FC12D1D" w:rsidP="00952A35">
      <w:pPr>
        <w:pStyle w:val="Ttulo1"/>
        <w:spacing w:after="48"/>
        <w:ind w:left="2268"/>
        <w:jc w:val="both"/>
        <w:rPr>
          <w:rFonts w:eastAsiaTheme="minorEastAsia"/>
          <w:color w:val="000000"/>
          <w:sz w:val="20"/>
          <w:szCs w:val="20"/>
        </w:rPr>
      </w:pPr>
      <w:r w:rsidRPr="00414B36">
        <w:rPr>
          <w:rFonts w:eastAsiaTheme="minorEastAsia"/>
          <w:b w:val="0"/>
          <w:bCs w:val="0"/>
          <w:color w:val="000000" w:themeColor="text1"/>
          <w:sz w:val="20"/>
          <w:szCs w:val="20"/>
        </w:rPr>
        <w:lastRenderedPageBreak/>
        <w:t>ELETRÔNICO.</w:t>
      </w:r>
      <w:r w:rsidRPr="00414B36">
        <w:rPr>
          <w:rFonts w:eastAsiaTheme="minorEastAsia"/>
          <w:color w:val="000000" w:themeColor="text1"/>
          <w:sz w:val="20"/>
          <w:szCs w:val="20"/>
        </w:rPr>
        <w:t> </w:t>
      </w:r>
      <w:r w:rsidR="009E5913" w:rsidRPr="009E5913">
        <w:rPr>
          <w:b w:val="0"/>
          <w:bCs w:val="0"/>
          <w:color w:val="FF0000"/>
          <w:sz w:val="20"/>
          <w:szCs w:val="20"/>
        </w:rPr>
        <w:t>SISTEMA DE REGISTRO DE PREÇOS.</w:t>
      </w:r>
      <w:r w:rsidR="009E5913" w:rsidRPr="00FB0434">
        <w:rPr>
          <w:color w:val="000000" w:themeColor="text1"/>
          <w:sz w:val="20"/>
          <w:szCs w:val="20"/>
        </w:rPr>
        <w:t xml:space="preserve"> </w:t>
      </w:r>
      <w:r w:rsidRPr="00414B36">
        <w:rPr>
          <w:rFonts w:eastAsiaTheme="minorEastAsia"/>
          <w:b w:val="0"/>
          <w:bCs w:val="0"/>
          <w:color w:val="FF0000"/>
          <w:sz w:val="20"/>
          <w:szCs w:val="20"/>
        </w:rPr>
        <w:t>SERVIÇOS</w:t>
      </w:r>
      <w:r w:rsidR="6090CDE6" w:rsidRPr="00414B36">
        <w:rPr>
          <w:rFonts w:eastAsiaTheme="minorEastAsia"/>
          <w:b w:val="0"/>
          <w:bCs w:val="0"/>
          <w:color w:val="FF0000"/>
          <w:sz w:val="20"/>
          <w:szCs w:val="20"/>
        </w:rPr>
        <w:t xml:space="preserve"> </w:t>
      </w:r>
      <w:r w:rsidR="2DD8E349" w:rsidRPr="00414B36">
        <w:rPr>
          <w:rFonts w:eastAsiaTheme="minorEastAsia"/>
          <w:b w:val="0"/>
          <w:bCs w:val="0"/>
          <w:color w:val="FF0000"/>
          <w:sz w:val="20"/>
          <w:szCs w:val="20"/>
        </w:rPr>
        <w:t>DE ENGENHARIA</w:t>
      </w:r>
      <w:r w:rsidRPr="00414B36">
        <w:rPr>
          <w:rFonts w:eastAsiaTheme="minorEastAsia"/>
          <w:b w:val="0"/>
          <w:bCs w:val="0"/>
          <w:color w:val="FF0000"/>
          <w:sz w:val="20"/>
          <w:szCs w:val="20"/>
        </w:rPr>
        <w:t xml:space="preserve"> </w:t>
      </w:r>
      <w:r w:rsidR="24FE2959" w:rsidRPr="00414B36">
        <w:rPr>
          <w:rFonts w:eastAsiaTheme="minorEastAsia"/>
          <w:b w:val="0"/>
          <w:bCs w:val="0"/>
          <w:color w:val="FF0000"/>
          <w:sz w:val="20"/>
          <w:szCs w:val="20"/>
        </w:rPr>
        <w:t xml:space="preserve">CONTINUADOS </w:t>
      </w:r>
      <w:r w:rsidRPr="00414B36">
        <w:rPr>
          <w:rFonts w:eastAsiaTheme="minorEastAsia"/>
          <w:b w:val="0"/>
          <w:bCs w:val="0"/>
          <w:color w:val="FF0000"/>
          <w:sz w:val="20"/>
          <w:szCs w:val="20"/>
        </w:rPr>
        <w:t>SEM DEDICAÇÃO EXCLUSIVA DE MÃO DE OBRA </w:t>
      </w:r>
      <w:r w:rsidRPr="00414B36">
        <w:rPr>
          <w:rFonts w:eastAsiaTheme="minorEastAsia"/>
          <w:b w:val="0"/>
          <w:bCs w:val="0"/>
          <w:color w:val="FF0000"/>
          <w:sz w:val="20"/>
          <w:szCs w:val="20"/>
          <w:u w:val="single"/>
        </w:rPr>
        <w:t>OU</w:t>
      </w:r>
      <w:r w:rsidRPr="00414B36">
        <w:rPr>
          <w:rFonts w:eastAsiaTheme="minorEastAsia"/>
          <w:b w:val="0"/>
          <w:bCs w:val="0"/>
          <w:color w:val="FF0000"/>
          <w:sz w:val="20"/>
          <w:szCs w:val="20"/>
        </w:rPr>
        <w:t xml:space="preserve"> SERVIÇOS DE </w:t>
      </w:r>
      <w:r w:rsidR="0666CBC7" w:rsidRPr="00414B36">
        <w:rPr>
          <w:rFonts w:eastAsiaTheme="minorEastAsia"/>
          <w:b w:val="0"/>
          <w:bCs w:val="0"/>
          <w:color w:val="FF0000"/>
          <w:sz w:val="20"/>
          <w:szCs w:val="20"/>
        </w:rPr>
        <w:t>ENGENHARIA</w:t>
      </w:r>
      <w:r w:rsidR="7CDE3325" w:rsidRPr="00414B36">
        <w:rPr>
          <w:rFonts w:eastAsiaTheme="minorEastAsia"/>
          <w:b w:val="0"/>
          <w:bCs w:val="0"/>
          <w:color w:val="FF0000"/>
          <w:sz w:val="20"/>
          <w:szCs w:val="20"/>
        </w:rPr>
        <w:t xml:space="preserve"> NÃO CONTINUADOS</w:t>
      </w:r>
      <w:r w:rsidRPr="00414B36">
        <w:rPr>
          <w:rFonts w:eastAsiaTheme="minorEastAsia"/>
          <w:b w:val="0"/>
          <w:bCs w:val="0"/>
          <w:color w:val="FF0000"/>
          <w:sz w:val="20"/>
          <w:szCs w:val="20"/>
        </w:rPr>
        <w:t>.</w:t>
      </w:r>
      <w:r w:rsidRPr="00414B36">
        <w:rPr>
          <w:rFonts w:eastAsiaTheme="minorEastAsia"/>
          <w:b w:val="0"/>
          <w:bCs w:val="0"/>
          <w:color w:val="000000" w:themeColor="text1"/>
          <w:sz w:val="20"/>
          <w:szCs w:val="20"/>
        </w:rPr>
        <w:t> REGULARIDADE FORMAL DO PROCESSO.</w:t>
      </w:r>
      <w:r w:rsidR="3489B477" w:rsidRPr="00414B36">
        <w:rPr>
          <w:rFonts w:eastAsiaTheme="minorEastAsia"/>
          <w:b w:val="0"/>
          <w:bCs w:val="0"/>
          <w:color w:val="000000" w:themeColor="text1"/>
          <w:sz w:val="20"/>
          <w:szCs w:val="20"/>
        </w:rPr>
        <w:t xml:space="preserve"> LEGISLAÇÃO APLICÁVEL: LEI </w:t>
      </w:r>
      <w:r w:rsidR="002B71B9">
        <w:rPr>
          <w:rFonts w:eastAsiaTheme="minorEastAsia"/>
          <w:b w:val="0"/>
          <w:bCs w:val="0"/>
          <w:color w:val="000000" w:themeColor="text1"/>
          <w:sz w:val="20"/>
          <w:szCs w:val="20"/>
        </w:rPr>
        <w:t>N</w:t>
      </w:r>
      <w:r w:rsidR="00197CAC" w:rsidRPr="00414B36">
        <w:rPr>
          <w:rFonts w:eastAsiaTheme="minorEastAsia"/>
          <w:b w:val="0"/>
          <w:bCs w:val="0"/>
          <w:color w:val="000000" w:themeColor="text1"/>
          <w:sz w:val="20"/>
          <w:szCs w:val="20"/>
        </w:rPr>
        <w:t>º</w:t>
      </w:r>
      <w:r w:rsidR="3489B477" w:rsidRPr="00414B36">
        <w:rPr>
          <w:rFonts w:eastAsiaTheme="minorEastAsia"/>
          <w:b w:val="0"/>
          <w:bCs w:val="0"/>
          <w:color w:val="000000" w:themeColor="text1"/>
          <w:sz w:val="20"/>
          <w:szCs w:val="20"/>
        </w:rPr>
        <w:t xml:space="preserve"> 14.133</w:t>
      </w:r>
      <w:r w:rsidR="00B83369" w:rsidRPr="00414B36">
        <w:rPr>
          <w:rFonts w:eastAsiaTheme="minorEastAsia"/>
          <w:b w:val="0"/>
          <w:bCs w:val="0"/>
          <w:color w:val="000000" w:themeColor="text1"/>
          <w:sz w:val="20"/>
          <w:szCs w:val="20"/>
        </w:rPr>
        <w:t xml:space="preserve">, DE </w:t>
      </w:r>
      <w:r w:rsidR="3489B477" w:rsidRPr="00414B36">
        <w:rPr>
          <w:rFonts w:eastAsiaTheme="minorEastAsia"/>
          <w:b w:val="0"/>
          <w:bCs w:val="0"/>
          <w:color w:val="000000" w:themeColor="text1"/>
          <w:sz w:val="20"/>
          <w:szCs w:val="20"/>
        </w:rPr>
        <w:t>2021</w:t>
      </w:r>
      <w:r w:rsidR="002B71B9">
        <w:rPr>
          <w:rFonts w:eastAsiaTheme="minorEastAsia"/>
          <w:b w:val="0"/>
          <w:bCs w:val="0"/>
          <w:color w:val="000000" w:themeColor="text1"/>
          <w:sz w:val="20"/>
          <w:szCs w:val="20"/>
        </w:rPr>
        <w:t xml:space="preserve">, </w:t>
      </w:r>
      <w:r w:rsidR="002B71B9" w:rsidRPr="002B71B9">
        <w:rPr>
          <w:rFonts w:eastAsiaTheme="minorEastAsia"/>
          <w:b w:val="0"/>
          <w:bCs w:val="0"/>
          <w:color w:val="FF0000"/>
          <w:sz w:val="20"/>
          <w:szCs w:val="20"/>
        </w:rPr>
        <w:t>DECRETO Nº 11.462, DE 2023</w:t>
      </w:r>
      <w:r w:rsidR="002B71B9">
        <w:rPr>
          <w:b w:val="0"/>
          <w:bCs w:val="0"/>
          <w:color w:val="FF0000"/>
          <w:sz w:val="20"/>
          <w:szCs w:val="20"/>
        </w:rPr>
        <w:t>,</w:t>
      </w:r>
      <w:r w:rsidR="002B71B9" w:rsidRPr="00DF1A8F">
        <w:rPr>
          <w:color w:val="FF0000"/>
          <w:sz w:val="20"/>
          <w:szCs w:val="20"/>
        </w:rPr>
        <w:t xml:space="preserve"> </w:t>
      </w:r>
      <w:r w:rsidR="3489B477" w:rsidRPr="00414B36">
        <w:rPr>
          <w:rFonts w:eastAsiaTheme="minorEastAsia"/>
          <w:b w:val="0"/>
          <w:bCs w:val="0"/>
          <w:color w:val="000000" w:themeColor="text1"/>
          <w:sz w:val="20"/>
          <w:szCs w:val="20"/>
        </w:rPr>
        <w:t xml:space="preserve"> PORTARIA SEGES/ME </w:t>
      </w:r>
      <w:r w:rsidR="000F4657" w:rsidRPr="00414B36">
        <w:rPr>
          <w:rFonts w:eastAsiaTheme="minorEastAsia"/>
          <w:b w:val="0"/>
          <w:bCs w:val="0"/>
          <w:color w:val="000000" w:themeColor="text1"/>
          <w:sz w:val="20"/>
          <w:szCs w:val="20"/>
        </w:rPr>
        <w:t>N</w:t>
      </w:r>
      <w:r w:rsidR="00197CAC" w:rsidRPr="00414B36">
        <w:rPr>
          <w:rFonts w:eastAsiaTheme="minorEastAsia"/>
          <w:b w:val="0"/>
          <w:bCs w:val="0"/>
          <w:color w:val="000000" w:themeColor="text1"/>
          <w:sz w:val="20"/>
          <w:szCs w:val="20"/>
        </w:rPr>
        <w:t>º</w:t>
      </w:r>
      <w:r w:rsidR="3489B477" w:rsidRPr="00414B36">
        <w:rPr>
          <w:rFonts w:eastAsiaTheme="minorEastAsia"/>
          <w:b w:val="0"/>
          <w:bCs w:val="0"/>
          <w:color w:val="000000" w:themeColor="text1"/>
          <w:sz w:val="20"/>
          <w:szCs w:val="20"/>
        </w:rPr>
        <w:t xml:space="preserve"> 8.678</w:t>
      </w:r>
      <w:r w:rsidR="008A21F9" w:rsidRPr="00414B36">
        <w:rPr>
          <w:rFonts w:eastAsiaTheme="minorEastAsia"/>
          <w:b w:val="0"/>
          <w:bCs w:val="0"/>
          <w:color w:val="000000" w:themeColor="text1"/>
          <w:sz w:val="20"/>
          <w:szCs w:val="20"/>
        </w:rPr>
        <w:t xml:space="preserve">, </w:t>
      </w:r>
      <w:r w:rsidR="00A7278F" w:rsidRPr="00414B36">
        <w:rPr>
          <w:rFonts w:eastAsiaTheme="minorEastAsia"/>
          <w:b w:val="0"/>
          <w:bCs w:val="0"/>
          <w:color w:val="000000" w:themeColor="text1"/>
          <w:sz w:val="20"/>
          <w:szCs w:val="20"/>
        </w:rPr>
        <w:t>DE</w:t>
      </w:r>
      <w:r w:rsidR="008A21F9" w:rsidRPr="00414B36">
        <w:rPr>
          <w:rFonts w:eastAsiaTheme="minorEastAsia"/>
          <w:b w:val="0"/>
          <w:bCs w:val="0"/>
          <w:color w:val="000000" w:themeColor="text1"/>
          <w:sz w:val="20"/>
          <w:szCs w:val="20"/>
        </w:rPr>
        <w:t xml:space="preserve"> 20</w:t>
      </w:r>
      <w:r w:rsidR="3489B477" w:rsidRPr="00414B36">
        <w:rPr>
          <w:rFonts w:eastAsiaTheme="minorEastAsia"/>
          <w:b w:val="0"/>
          <w:bCs w:val="0"/>
          <w:color w:val="000000" w:themeColor="text1"/>
          <w:sz w:val="20"/>
          <w:szCs w:val="20"/>
        </w:rPr>
        <w:t>21</w:t>
      </w:r>
      <w:r w:rsidR="002B71B9">
        <w:rPr>
          <w:rFonts w:eastAsiaTheme="minorEastAsia"/>
          <w:b w:val="0"/>
          <w:bCs w:val="0"/>
          <w:color w:val="000000" w:themeColor="text1"/>
          <w:sz w:val="20"/>
          <w:szCs w:val="20"/>
        </w:rPr>
        <w:t>,</w:t>
      </w:r>
      <w:r w:rsidR="3AB3505F" w:rsidRPr="00414B36">
        <w:rPr>
          <w:rFonts w:eastAsiaTheme="minorEastAsia"/>
          <w:b w:val="0"/>
          <w:bCs w:val="0"/>
          <w:color w:val="000000" w:themeColor="text1"/>
          <w:sz w:val="20"/>
          <w:szCs w:val="20"/>
        </w:rPr>
        <w:t xml:space="preserve"> INSTRUÇÃO NORMATIVA SEGES/ME </w:t>
      </w:r>
      <w:r w:rsidR="000F4657" w:rsidRPr="00414B36">
        <w:rPr>
          <w:rFonts w:eastAsiaTheme="minorEastAsia"/>
          <w:b w:val="0"/>
          <w:bCs w:val="0"/>
          <w:color w:val="000000" w:themeColor="text1"/>
          <w:sz w:val="20"/>
          <w:szCs w:val="20"/>
        </w:rPr>
        <w:t>N</w:t>
      </w:r>
      <w:r w:rsidR="00197CAC" w:rsidRPr="00414B36">
        <w:rPr>
          <w:rFonts w:eastAsiaTheme="minorEastAsia"/>
          <w:b w:val="0"/>
          <w:bCs w:val="0"/>
          <w:color w:val="000000" w:themeColor="text1"/>
          <w:sz w:val="20"/>
          <w:szCs w:val="20"/>
        </w:rPr>
        <w:t>º</w:t>
      </w:r>
      <w:r w:rsidR="3AB3505F" w:rsidRPr="00414B36">
        <w:rPr>
          <w:rFonts w:eastAsiaTheme="minorEastAsia"/>
          <w:b w:val="0"/>
          <w:bCs w:val="0"/>
          <w:color w:val="000000" w:themeColor="text1"/>
          <w:sz w:val="20"/>
          <w:szCs w:val="20"/>
        </w:rPr>
        <w:t xml:space="preserve"> 91, DE 2022</w:t>
      </w:r>
      <w:r w:rsidR="002B71B9">
        <w:rPr>
          <w:rFonts w:eastAsiaTheme="minorEastAsia"/>
          <w:b w:val="0"/>
          <w:bCs w:val="0"/>
          <w:color w:val="000000" w:themeColor="text1"/>
          <w:sz w:val="20"/>
          <w:szCs w:val="20"/>
        </w:rPr>
        <w:t>,</w:t>
      </w:r>
      <w:r w:rsidR="3489B477" w:rsidRPr="00414B36">
        <w:rPr>
          <w:rFonts w:eastAsiaTheme="minorEastAsia"/>
          <w:b w:val="0"/>
          <w:bCs w:val="0"/>
          <w:color w:val="000000" w:themeColor="text1"/>
          <w:sz w:val="20"/>
          <w:szCs w:val="20"/>
        </w:rPr>
        <w:t xml:space="preserve"> </w:t>
      </w:r>
      <w:r w:rsidR="75DF58F4" w:rsidRPr="00414B36">
        <w:rPr>
          <w:rFonts w:eastAsiaTheme="minorEastAsia"/>
          <w:b w:val="0"/>
          <w:bCs w:val="0"/>
          <w:color w:val="000000" w:themeColor="text1"/>
          <w:sz w:val="20"/>
          <w:szCs w:val="20"/>
        </w:rPr>
        <w:t xml:space="preserve">DECRETO </w:t>
      </w:r>
      <w:r w:rsidR="000F4657" w:rsidRPr="00414B36">
        <w:rPr>
          <w:rFonts w:eastAsiaTheme="minorEastAsia"/>
          <w:b w:val="0"/>
          <w:bCs w:val="0"/>
          <w:color w:val="000000" w:themeColor="text1"/>
          <w:sz w:val="20"/>
          <w:szCs w:val="20"/>
        </w:rPr>
        <w:t>N</w:t>
      </w:r>
      <w:r w:rsidR="00197CAC" w:rsidRPr="00414B36">
        <w:rPr>
          <w:rFonts w:eastAsiaTheme="minorEastAsia"/>
          <w:b w:val="0"/>
          <w:bCs w:val="0"/>
          <w:color w:val="000000" w:themeColor="text1"/>
          <w:sz w:val="20"/>
          <w:szCs w:val="20"/>
        </w:rPr>
        <w:t>º</w:t>
      </w:r>
      <w:r w:rsidR="75DF58F4" w:rsidRPr="00414B36">
        <w:rPr>
          <w:rFonts w:eastAsiaTheme="minorEastAsia"/>
          <w:b w:val="0"/>
          <w:bCs w:val="0"/>
          <w:color w:val="000000" w:themeColor="text1"/>
          <w:sz w:val="20"/>
          <w:szCs w:val="20"/>
        </w:rPr>
        <w:t xml:space="preserve"> 7.983, </w:t>
      </w:r>
      <w:r w:rsidR="002B71B9">
        <w:rPr>
          <w:rFonts w:eastAsiaTheme="minorEastAsia"/>
          <w:b w:val="0"/>
          <w:bCs w:val="0"/>
          <w:color w:val="000000" w:themeColor="text1"/>
          <w:sz w:val="20"/>
          <w:szCs w:val="20"/>
        </w:rPr>
        <w:t xml:space="preserve">DE </w:t>
      </w:r>
      <w:r w:rsidR="75DF58F4" w:rsidRPr="00414B36">
        <w:rPr>
          <w:rFonts w:eastAsiaTheme="minorEastAsia"/>
          <w:b w:val="0"/>
          <w:bCs w:val="0"/>
          <w:color w:val="000000" w:themeColor="text1"/>
          <w:sz w:val="20"/>
          <w:szCs w:val="20"/>
        </w:rPr>
        <w:t>2013, NO QUE COUBER</w:t>
      </w:r>
      <w:r w:rsidR="002B71B9">
        <w:rPr>
          <w:rFonts w:eastAsiaTheme="minorEastAsia"/>
          <w:b w:val="0"/>
          <w:bCs w:val="0"/>
          <w:color w:val="000000" w:themeColor="text1"/>
          <w:sz w:val="20"/>
          <w:szCs w:val="20"/>
        </w:rPr>
        <w:t>,</w:t>
      </w:r>
      <w:r w:rsidR="6CCA65BC" w:rsidRPr="00414B36">
        <w:rPr>
          <w:rFonts w:eastAsiaTheme="minorEastAsia"/>
          <w:b w:val="0"/>
          <w:bCs w:val="0"/>
          <w:color w:val="000000" w:themeColor="text1"/>
          <w:sz w:val="20"/>
          <w:szCs w:val="20"/>
        </w:rPr>
        <w:t xml:space="preserve"> </w:t>
      </w:r>
      <w:r w:rsidR="3489B477" w:rsidRPr="00414B36">
        <w:rPr>
          <w:rFonts w:eastAsiaTheme="minorEastAsia"/>
          <w:b w:val="0"/>
          <w:bCs w:val="0"/>
          <w:color w:val="000000" w:themeColor="text1"/>
          <w:sz w:val="20"/>
          <w:szCs w:val="20"/>
        </w:rPr>
        <w:t xml:space="preserve">DECRETO </w:t>
      </w:r>
      <w:r w:rsidR="000F4657" w:rsidRPr="00414B36">
        <w:rPr>
          <w:rFonts w:eastAsiaTheme="minorEastAsia"/>
          <w:b w:val="0"/>
          <w:bCs w:val="0"/>
          <w:color w:val="000000" w:themeColor="text1"/>
          <w:sz w:val="20"/>
          <w:szCs w:val="20"/>
        </w:rPr>
        <w:t>N</w:t>
      </w:r>
      <w:r w:rsidR="00197CAC" w:rsidRPr="00414B36">
        <w:rPr>
          <w:rFonts w:eastAsiaTheme="minorEastAsia"/>
          <w:b w:val="0"/>
          <w:bCs w:val="0"/>
          <w:color w:val="000000" w:themeColor="text1"/>
          <w:sz w:val="20"/>
          <w:szCs w:val="20"/>
        </w:rPr>
        <w:t>º</w:t>
      </w:r>
      <w:r w:rsidR="3489B477" w:rsidRPr="00414B36">
        <w:rPr>
          <w:rFonts w:eastAsiaTheme="minorEastAsia"/>
          <w:b w:val="0"/>
          <w:bCs w:val="0"/>
          <w:color w:val="000000" w:themeColor="text1"/>
          <w:sz w:val="20"/>
          <w:szCs w:val="20"/>
        </w:rPr>
        <w:t xml:space="preserve"> 10.947</w:t>
      </w:r>
      <w:r w:rsidR="00DA3DEC" w:rsidRPr="00414B36">
        <w:rPr>
          <w:rFonts w:eastAsiaTheme="minorEastAsia"/>
          <w:b w:val="0"/>
          <w:bCs w:val="0"/>
          <w:color w:val="000000" w:themeColor="text1"/>
          <w:sz w:val="20"/>
          <w:szCs w:val="20"/>
        </w:rPr>
        <w:t xml:space="preserve">, </w:t>
      </w:r>
      <w:r w:rsidR="002F3693" w:rsidRPr="00414B36">
        <w:rPr>
          <w:rFonts w:eastAsiaTheme="minorEastAsia"/>
          <w:b w:val="0"/>
          <w:bCs w:val="0"/>
          <w:color w:val="000000" w:themeColor="text1"/>
          <w:sz w:val="20"/>
          <w:szCs w:val="20"/>
        </w:rPr>
        <w:t>DE</w:t>
      </w:r>
      <w:r w:rsidR="00DA3DEC" w:rsidRPr="00414B36">
        <w:rPr>
          <w:rFonts w:eastAsiaTheme="minorEastAsia"/>
          <w:b w:val="0"/>
          <w:bCs w:val="0"/>
          <w:color w:val="000000" w:themeColor="text1"/>
          <w:sz w:val="20"/>
          <w:szCs w:val="20"/>
        </w:rPr>
        <w:t xml:space="preserve"> </w:t>
      </w:r>
      <w:r w:rsidR="3489B477" w:rsidRPr="00414B36">
        <w:rPr>
          <w:rFonts w:eastAsiaTheme="minorEastAsia"/>
          <w:b w:val="0"/>
          <w:bCs w:val="0"/>
          <w:color w:val="000000" w:themeColor="text1"/>
          <w:sz w:val="20"/>
          <w:szCs w:val="20"/>
        </w:rPr>
        <w:t>2022</w:t>
      </w:r>
      <w:r w:rsidR="002B71B9">
        <w:rPr>
          <w:rFonts w:eastAsiaTheme="minorEastAsia"/>
          <w:b w:val="0"/>
          <w:bCs w:val="0"/>
          <w:color w:val="000000" w:themeColor="text1"/>
          <w:sz w:val="20"/>
          <w:szCs w:val="20"/>
        </w:rPr>
        <w:t>,</w:t>
      </w:r>
      <w:r w:rsidR="3489B477" w:rsidRPr="00414B36">
        <w:rPr>
          <w:rFonts w:eastAsiaTheme="minorEastAsia"/>
          <w:b w:val="0"/>
          <w:bCs w:val="0"/>
          <w:color w:val="000000" w:themeColor="text1"/>
          <w:sz w:val="20"/>
          <w:szCs w:val="20"/>
        </w:rPr>
        <w:t xml:space="preserve"> INSTRUÇÃO NORMATIVA SEGES </w:t>
      </w:r>
      <w:r w:rsidR="000F4657" w:rsidRPr="00414B36">
        <w:rPr>
          <w:rFonts w:eastAsiaTheme="minorEastAsia"/>
          <w:b w:val="0"/>
          <w:bCs w:val="0"/>
          <w:color w:val="000000" w:themeColor="text1"/>
          <w:sz w:val="20"/>
          <w:szCs w:val="20"/>
        </w:rPr>
        <w:t>N</w:t>
      </w:r>
      <w:r w:rsidR="00197CAC" w:rsidRPr="00414B36">
        <w:rPr>
          <w:rFonts w:eastAsiaTheme="minorEastAsia"/>
          <w:b w:val="0"/>
          <w:bCs w:val="0"/>
          <w:color w:val="000000" w:themeColor="text1"/>
          <w:sz w:val="20"/>
          <w:szCs w:val="20"/>
        </w:rPr>
        <w:t>º</w:t>
      </w:r>
      <w:r w:rsidR="3489B477" w:rsidRPr="00414B36">
        <w:rPr>
          <w:rFonts w:eastAsiaTheme="minorEastAsia"/>
          <w:b w:val="0"/>
          <w:bCs w:val="0"/>
          <w:color w:val="000000" w:themeColor="text1"/>
          <w:sz w:val="20"/>
          <w:szCs w:val="20"/>
        </w:rPr>
        <w:t xml:space="preserve"> 58</w:t>
      </w:r>
      <w:r w:rsidR="008A21F9" w:rsidRPr="00414B36">
        <w:rPr>
          <w:rFonts w:eastAsiaTheme="minorEastAsia"/>
          <w:b w:val="0"/>
          <w:bCs w:val="0"/>
          <w:color w:val="000000" w:themeColor="text1"/>
          <w:sz w:val="20"/>
          <w:szCs w:val="20"/>
        </w:rPr>
        <w:t xml:space="preserve">, </w:t>
      </w:r>
      <w:r w:rsidR="000F4657" w:rsidRPr="00414B36">
        <w:rPr>
          <w:rFonts w:eastAsiaTheme="minorEastAsia"/>
          <w:b w:val="0"/>
          <w:bCs w:val="0"/>
          <w:color w:val="000000" w:themeColor="text1"/>
          <w:sz w:val="20"/>
          <w:szCs w:val="20"/>
        </w:rPr>
        <w:t>DE</w:t>
      </w:r>
      <w:r w:rsidR="008A21F9" w:rsidRPr="00414B36">
        <w:rPr>
          <w:rFonts w:eastAsiaTheme="minorEastAsia"/>
          <w:b w:val="0"/>
          <w:bCs w:val="0"/>
          <w:color w:val="000000" w:themeColor="text1"/>
          <w:sz w:val="20"/>
          <w:szCs w:val="20"/>
        </w:rPr>
        <w:t xml:space="preserve"> 20</w:t>
      </w:r>
      <w:r w:rsidR="3489B477" w:rsidRPr="00414B36">
        <w:rPr>
          <w:rFonts w:eastAsiaTheme="minorEastAsia"/>
          <w:b w:val="0"/>
          <w:bCs w:val="0"/>
          <w:color w:val="000000" w:themeColor="text1"/>
          <w:sz w:val="20"/>
          <w:szCs w:val="20"/>
        </w:rPr>
        <w:t>22</w:t>
      </w:r>
      <w:r w:rsidR="002B71B9">
        <w:rPr>
          <w:rFonts w:eastAsiaTheme="minorEastAsia"/>
          <w:b w:val="0"/>
          <w:bCs w:val="0"/>
          <w:color w:val="000000" w:themeColor="text1"/>
          <w:sz w:val="20"/>
          <w:szCs w:val="20"/>
        </w:rPr>
        <w:t>,</w:t>
      </w:r>
      <w:r w:rsidR="3489B477" w:rsidRPr="00414B36">
        <w:rPr>
          <w:rFonts w:eastAsiaTheme="minorEastAsia"/>
          <w:b w:val="0"/>
          <w:bCs w:val="0"/>
          <w:color w:val="000000" w:themeColor="text1"/>
          <w:sz w:val="20"/>
          <w:szCs w:val="20"/>
        </w:rPr>
        <w:t xml:space="preserve"> DECRETO </w:t>
      </w:r>
      <w:r w:rsidR="000F4657" w:rsidRPr="00414B36">
        <w:rPr>
          <w:rFonts w:eastAsiaTheme="minorEastAsia"/>
          <w:b w:val="0"/>
          <w:bCs w:val="0"/>
          <w:color w:val="000000" w:themeColor="text1"/>
          <w:sz w:val="20"/>
          <w:szCs w:val="20"/>
        </w:rPr>
        <w:t>N</w:t>
      </w:r>
      <w:r w:rsidR="00197CAC" w:rsidRPr="00414B36">
        <w:rPr>
          <w:rFonts w:eastAsiaTheme="minorEastAsia"/>
          <w:b w:val="0"/>
          <w:bCs w:val="0"/>
          <w:color w:val="000000" w:themeColor="text1"/>
          <w:sz w:val="20"/>
          <w:szCs w:val="20"/>
        </w:rPr>
        <w:t>º</w:t>
      </w:r>
      <w:r w:rsidR="3489B477" w:rsidRPr="00414B36">
        <w:rPr>
          <w:rFonts w:eastAsiaTheme="minorEastAsia"/>
          <w:b w:val="0"/>
          <w:bCs w:val="0"/>
          <w:color w:val="000000" w:themeColor="text1"/>
          <w:sz w:val="20"/>
          <w:szCs w:val="20"/>
        </w:rPr>
        <w:t xml:space="preserve"> 11.246</w:t>
      </w:r>
      <w:r w:rsidR="00537078" w:rsidRPr="00414B36">
        <w:rPr>
          <w:rFonts w:eastAsiaTheme="minorEastAsia"/>
          <w:b w:val="0"/>
          <w:bCs w:val="0"/>
          <w:color w:val="000000" w:themeColor="text1"/>
          <w:sz w:val="20"/>
          <w:szCs w:val="20"/>
        </w:rPr>
        <w:t xml:space="preserve">, DE </w:t>
      </w:r>
      <w:r w:rsidR="3489B477" w:rsidRPr="00414B36">
        <w:rPr>
          <w:rFonts w:eastAsiaTheme="minorEastAsia"/>
          <w:b w:val="0"/>
          <w:bCs w:val="0"/>
          <w:color w:val="000000" w:themeColor="text1"/>
          <w:sz w:val="20"/>
          <w:szCs w:val="20"/>
        </w:rPr>
        <w:t>2022</w:t>
      </w:r>
      <w:r w:rsidR="002B71B9">
        <w:rPr>
          <w:rFonts w:eastAsiaTheme="minorEastAsia"/>
          <w:b w:val="0"/>
          <w:bCs w:val="0"/>
          <w:color w:val="000000" w:themeColor="text1"/>
          <w:sz w:val="20"/>
          <w:szCs w:val="20"/>
        </w:rPr>
        <w:t>,</w:t>
      </w:r>
      <w:r w:rsidR="3489B477" w:rsidRPr="00414B36">
        <w:rPr>
          <w:rFonts w:eastAsiaTheme="minorEastAsia"/>
          <w:b w:val="0"/>
          <w:bCs w:val="0"/>
          <w:color w:val="000000" w:themeColor="text1"/>
          <w:sz w:val="20"/>
          <w:szCs w:val="20"/>
        </w:rPr>
        <w:t xml:space="preserve"> INSTRUÇÃO NORMATIVA SEGES/ME </w:t>
      </w:r>
      <w:r w:rsidR="000F4657" w:rsidRPr="00414B36">
        <w:rPr>
          <w:rFonts w:eastAsiaTheme="minorEastAsia"/>
          <w:b w:val="0"/>
          <w:bCs w:val="0"/>
          <w:color w:val="000000" w:themeColor="text1"/>
          <w:sz w:val="20"/>
          <w:szCs w:val="20"/>
        </w:rPr>
        <w:t>N</w:t>
      </w:r>
      <w:r w:rsidR="00197CAC" w:rsidRPr="00414B36">
        <w:rPr>
          <w:rFonts w:eastAsiaTheme="minorEastAsia"/>
          <w:b w:val="0"/>
          <w:bCs w:val="0"/>
          <w:color w:val="000000" w:themeColor="text1"/>
          <w:sz w:val="20"/>
          <w:szCs w:val="20"/>
        </w:rPr>
        <w:t>º</w:t>
      </w:r>
      <w:r w:rsidR="3489B477" w:rsidRPr="00414B36">
        <w:rPr>
          <w:rFonts w:eastAsiaTheme="minorEastAsia"/>
          <w:b w:val="0"/>
          <w:bCs w:val="0"/>
          <w:color w:val="000000" w:themeColor="text1"/>
          <w:sz w:val="20"/>
          <w:szCs w:val="20"/>
        </w:rPr>
        <w:t xml:space="preserve"> 81</w:t>
      </w:r>
      <w:r w:rsidR="008A21F9" w:rsidRPr="00414B36">
        <w:rPr>
          <w:rFonts w:eastAsiaTheme="minorEastAsia"/>
          <w:b w:val="0"/>
          <w:bCs w:val="0"/>
          <w:color w:val="000000" w:themeColor="text1"/>
          <w:sz w:val="20"/>
          <w:szCs w:val="20"/>
        </w:rPr>
        <w:t xml:space="preserve">, </w:t>
      </w:r>
      <w:r w:rsidR="002B71B9">
        <w:rPr>
          <w:rFonts w:eastAsiaTheme="minorEastAsia"/>
          <w:b w:val="0"/>
          <w:bCs w:val="0"/>
          <w:color w:val="000000" w:themeColor="text1"/>
          <w:sz w:val="20"/>
          <w:szCs w:val="20"/>
        </w:rPr>
        <w:t xml:space="preserve">DE </w:t>
      </w:r>
      <w:r w:rsidR="008A21F9" w:rsidRPr="00414B36">
        <w:rPr>
          <w:rFonts w:eastAsiaTheme="minorEastAsia"/>
          <w:b w:val="0"/>
          <w:bCs w:val="0"/>
          <w:color w:val="000000" w:themeColor="text1"/>
          <w:sz w:val="20"/>
          <w:szCs w:val="20"/>
        </w:rPr>
        <w:t>20</w:t>
      </w:r>
      <w:r w:rsidR="3489B477" w:rsidRPr="00414B36">
        <w:rPr>
          <w:rFonts w:eastAsiaTheme="minorEastAsia"/>
          <w:b w:val="0"/>
          <w:bCs w:val="0"/>
          <w:color w:val="000000" w:themeColor="text1"/>
          <w:sz w:val="20"/>
          <w:szCs w:val="20"/>
        </w:rPr>
        <w:t>22</w:t>
      </w:r>
      <w:r w:rsidR="002B71B9">
        <w:rPr>
          <w:rFonts w:eastAsiaTheme="minorEastAsia"/>
          <w:b w:val="0"/>
          <w:bCs w:val="0"/>
          <w:color w:val="000000" w:themeColor="text1"/>
          <w:sz w:val="20"/>
          <w:szCs w:val="20"/>
        </w:rPr>
        <w:t>,</w:t>
      </w:r>
      <w:r w:rsidR="3489B477" w:rsidRPr="00414B36">
        <w:rPr>
          <w:rFonts w:eastAsiaTheme="minorEastAsia"/>
          <w:b w:val="0"/>
          <w:bCs w:val="0"/>
          <w:color w:val="000000" w:themeColor="text1"/>
          <w:sz w:val="20"/>
          <w:szCs w:val="20"/>
        </w:rPr>
        <w:t xml:space="preserve"> </w:t>
      </w:r>
      <w:r w:rsidR="0295D212" w:rsidRPr="00414B36">
        <w:rPr>
          <w:rFonts w:eastAsiaTheme="minorEastAsia"/>
          <w:b w:val="0"/>
          <w:bCs w:val="0"/>
          <w:color w:val="000000" w:themeColor="text1"/>
          <w:sz w:val="20"/>
          <w:szCs w:val="20"/>
        </w:rPr>
        <w:t xml:space="preserve">PORTARIA SEGES/ME </w:t>
      </w:r>
      <w:r w:rsidR="000F4657" w:rsidRPr="00414B36">
        <w:rPr>
          <w:rFonts w:eastAsiaTheme="minorEastAsia"/>
          <w:b w:val="0"/>
          <w:bCs w:val="0"/>
          <w:color w:val="000000" w:themeColor="text1"/>
          <w:sz w:val="20"/>
          <w:szCs w:val="20"/>
        </w:rPr>
        <w:t>N</w:t>
      </w:r>
      <w:r w:rsidR="00197CAC" w:rsidRPr="00414B36">
        <w:rPr>
          <w:rFonts w:eastAsiaTheme="minorEastAsia"/>
          <w:b w:val="0"/>
          <w:bCs w:val="0"/>
          <w:color w:val="000000" w:themeColor="text1"/>
          <w:sz w:val="20"/>
          <w:szCs w:val="20"/>
        </w:rPr>
        <w:t>º</w:t>
      </w:r>
      <w:r w:rsidR="0295D212" w:rsidRPr="00414B36">
        <w:rPr>
          <w:rFonts w:eastAsiaTheme="minorEastAsia"/>
          <w:b w:val="0"/>
          <w:bCs w:val="0"/>
          <w:color w:val="000000" w:themeColor="text1"/>
          <w:sz w:val="20"/>
          <w:szCs w:val="20"/>
        </w:rPr>
        <w:t xml:space="preserve"> 938, DE 2022</w:t>
      </w:r>
      <w:r w:rsidR="002B71B9">
        <w:rPr>
          <w:rFonts w:eastAsiaTheme="minorEastAsia"/>
          <w:b w:val="0"/>
          <w:bCs w:val="0"/>
          <w:color w:val="000000" w:themeColor="text1"/>
          <w:sz w:val="20"/>
          <w:szCs w:val="20"/>
        </w:rPr>
        <w:t>,</w:t>
      </w:r>
      <w:r w:rsidR="3489B477" w:rsidRPr="00414B36">
        <w:rPr>
          <w:rFonts w:eastAsiaTheme="minorEastAsia"/>
          <w:b w:val="0"/>
          <w:bCs w:val="0"/>
          <w:color w:val="000000" w:themeColor="text1"/>
          <w:sz w:val="20"/>
          <w:szCs w:val="20"/>
        </w:rPr>
        <w:t xml:space="preserve"> INSTRUÇÃO NORMATIVA SEGES/ME </w:t>
      </w:r>
      <w:r w:rsidR="00197CAC" w:rsidRPr="00414B36">
        <w:rPr>
          <w:rFonts w:eastAsiaTheme="minorEastAsia"/>
          <w:b w:val="0"/>
          <w:bCs w:val="0"/>
          <w:color w:val="000000" w:themeColor="text1"/>
          <w:sz w:val="20"/>
          <w:szCs w:val="20"/>
        </w:rPr>
        <w:t>Nº</w:t>
      </w:r>
      <w:r w:rsidR="3489B477" w:rsidRPr="00414B36">
        <w:rPr>
          <w:rFonts w:eastAsiaTheme="minorEastAsia"/>
          <w:b w:val="0"/>
          <w:bCs w:val="0"/>
          <w:color w:val="000000" w:themeColor="text1"/>
          <w:sz w:val="20"/>
          <w:szCs w:val="20"/>
        </w:rPr>
        <w:t xml:space="preserve"> 98, DE 2022</w:t>
      </w:r>
      <w:r w:rsidR="002B71B9">
        <w:rPr>
          <w:rFonts w:eastAsiaTheme="minorEastAsia"/>
          <w:b w:val="0"/>
          <w:bCs w:val="0"/>
          <w:color w:val="000000" w:themeColor="text1"/>
          <w:sz w:val="20"/>
          <w:szCs w:val="20"/>
        </w:rPr>
        <w:t>,</w:t>
      </w:r>
      <w:r w:rsidR="3489B477" w:rsidRPr="00414B36">
        <w:rPr>
          <w:rFonts w:eastAsiaTheme="minorEastAsia"/>
          <w:b w:val="0"/>
          <w:bCs w:val="0"/>
          <w:color w:val="000000" w:themeColor="text1"/>
          <w:sz w:val="20"/>
          <w:szCs w:val="20"/>
        </w:rPr>
        <w:t xml:space="preserve"> E INSTRUÇÃO NORMATIVA </w:t>
      </w:r>
      <w:r w:rsidR="000F4657" w:rsidRPr="00414B36">
        <w:rPr>
          <w:rFonts w:eastAsiaTheme="minorEastAsia"/>
          <w:b w:val="0"/>
          <w:bCs w:val="0"/>
          <w:color w:val="000000" w:themeColor="text1"/>
          <w:sz w:val="20"/>
          <w:szCs w:val="20"/>
        </w:rPr>
        <w:t>N</w:t>
      </w:r>
      <w:r w:rsidR="00197CAC" w:rsidRPr="00414B36">
        <w:rPr>
          <w:rFonts w:eastAsiaTheme="minorEastAsia"/>
          <w:b w:val="0"/>
          <w:bCs w:val="0"/>
          <w:color w:val="000000" w:themeColor="text1"/>
          <w:sz w:val="20"/>
          <w:szCs w:val="20"/>
        </w:rPr>
        <w:t>º</w:t>
      </w:r>
      <w:r w:rsidR="3489B477" w:rsidRPr="00414B36">
        <w:rPr>
          <w:rFonts w:eastAsiaTheme="minorEastAsia"/>
          <w:b w:val="0"/>
          <w:bCs w:val="0"/>
          <w:color w:val="000000" w:themeColor="text1"/>
          <w:sz w:val="20"/>
          <w:szCs w:val="20"/>
        </w:rPr>
        <w:t xml:space="preserve"> 5, DE 2017, NO QUE COUBER. </w:t>
      </w:r>
      <w:r w:rsidRPr="00414B36">
        <w:rPr>
          <w:rFonts w:eastAsiaTheme="minorEastAsia"/>
          <w:b w:val="0"/>
          <w:bCs w:val="0"/>
          <w:color w:val="FF0000"/>
          <w:sz w:val="20"/>
          <w:szCs w:val="20"/>
        </w:rPr>
        <w:t>[COMPLEMENTAR COM ESPECIFICIDADES].</w:t>
      </w:r>
      <w:r w:rsidRPr="00414B36">
        <w:rPr>
          <w:rFonts w:eastAsiaTheme="minorEastAsia"/>
          <w:b w:val="0"/>
          <w:bCs w:val="0"/>
          <w:color w:val="000000" w:themeColor="text1"/>
          <w:sz w:val="20"/>
          <w:szCs w:val="20"/>
        </w:rPr>
        <w:t xml:space="preserve"> </w:t>
      </w:r>
      <w:r w:rsidR="54B0BD3E" w:rsidRPr="00414B36">
        <w:rPr>
          <w:rFonts w:eastAsiaTheme="minorEastAsia"/>
          <w:b w:val="0"/>
          <w:bCs w:val="0"/>
          <w:sz w:val="20"/>
          <w:szCs w:val="20"/>
        </w:rPr>
        <w:t>REGULARIDADE JURÍDICA</w:t>
      </w:r>
      <w:r w:rsidR="54B0BD3E" w:rsidRPr="00414B36">
        <w:rPr>
          <w:rFonts w:eastAsiaTheme="minorEastAsia"/>
          <w:b w:val="0"/>
          <w:bCs w:val="0"/>
          <w:color w:val="FF0000"/>
          <w:sz w:val="20"/>
          <w:szCs w:val="20"/>
        </w:rPr>
        <w:t>,</w:t>
      </w:r>
      <w:r w:rsidRPr="00414B36">
        <w:rPr>
          <w:rFonts w:eastAsiaTheme="minorEastAsia"/>
          <w:b w:val="0"/>
          <w:bCs w:val="0"/>
          <w:color w:val="FF0000"/>
          <w:sz w:val="20"/>
          <w:szCs w:val="20"/>
        </w:rPr>
        <w:t xml:space="preserve"> COM RESSALVAS.</w:t>
      </w:r>
    </w:p>
    <w:p w14:paraId="5D833D77" w14:textId="7567BE83" w:rsidR="004423CE" w:rsidRPr="00271BE3" w:rsidRDefault="79B9EDE3" w:rsidP="00952A35">
      <w:pPr>
        <w:spacing w:after="48" w:line="240" w:lineRule="auto"/>
        <w:ind w:left="2790"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0ED9F8BE" w14:textId="77777777" w:rsidR="004423CE" w:rsidRPr="00271BE3" w:rsidRDefault="6817C2E8" w:rsidP="00952A35">
      <w:pPr>
        <w:spacing w:after="48" w:line="240" w:lineRule="auto"/>
        <w:jc w:val="both"/>
        <w:outlineLvl w:val="0"/>
        <w:rPr>
          <w:rFonts w:ascii="Times New Roman" w:eastAsia="Times New Roman" w:hAnsi="Times New Roman" w:cs="Times New Roman"/>
          <w:b/>
          <w:bCs/>
          <w:caps/>
          <w:color w:val="000000"/>
          <w:kern w:val="36"/>
          <w:sz w:val="24"/>
          <w:szCs w:val="24"/>
          <w:lang w:eastAsia="pt-BR"/>
        </w:rPr>
      </w:pPr>
      <w:r w:rsidRPr="00271BE3">
        <w:rPr>
          <w:rFonts w:ascii="Times New Roman" w:eastAsia="Times New Roman" w:hAnsi="Times New Roman" w:cs="Times New Roman"/>
          <w:b/>
          <w:bCs/>
          <w:caps/>
          <w:color w:val="000000"/>
          <w:kern w:val="36"/>
          <w:sz w:val="24"/>
          <w:szCs w:val="24"/>
          <w:lang w:eastAsia="pt-BR"/>
        </w:rPr>
        <w:t>RELATÓRIO</w:t>
      </w:r>
    </w:p>
    <w:p w14:paraId="5B2843D3" w14:textId="77777777" w:rsidR="004423CE" w:rsidRPr="00271BE3" w:rsidRDefault="004423CE" w:rsidP="00952A35">
      <w:pPr>
        <w:spacing w:after="48"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32BED556" w14:textId="06F3EEB3" w:rsidR="004423CE" w:rsidRPr="00271BE3" w:rsidRDefault="6817C2E8" w:rsidP="00952A35">
      <w:pPr>
        <w:spacing w:after="48" w:line="240" w:lineRule="auto"/>
        <w:jc w:val="both"/>
        <w:rPr>
          <w:rFonts w:ascii="Times New Roman" w:eastAsia="Times New Roman" w:hAnsi="Times New Roman" w:cs="Times New Roman"/>
          <w:color w:val="000000"/>
          <w:sz w:val="24"/>
          <w:szCs w:val="24"/>
          <w:lang w:eastAsia="pt-BR"/>
        </w:rPr>
      </w:pPr>
      <w:r w:rsidRPr="4DE975C4">
        <w:rPr>
          <w:rFonts w:ascii="Times New Roman" w:eastAsia="Times New Roman" w:hAnsi="Times New Roman" w:cs="Times New Roman"/>
          <w:color w:val="000000" w:themeColor="text1"/>
          <w:sz w:val="24"/>
          <w:szCs w:val="24"/>
          <w:lang w:eastAsia="pt-BR"/>
        </w:rPr>
        <w:t>Trata-se de processo administrativo encaminhado a este órgão consultivo, para análise da regularidade jurídica</w:t>
      </w:r>
      <w:r w:rsidR="245E749C" w:rsidRPr="4DE975C4">
        <w:rPr>
          <w:rFonts w:ascii="Times New Roman" w:eastAsia="Times New Roman" w:hAnsi="Times New Roman" w:cs="Times New Roman"/>
          <w:color w:val="000000" w:themeColor="text1"/>
          <w:sz w:val="24"/>
          <w:szCs w:val="24"/>
          <w:lang w:eastAsia="pt-BR"/>
        </w:rPr>
        <w:t xml:space="preserve"> do procedimento e</w:t>
      </w:r>
      <w:r w:rsidRPr="4DE975C4">
        <w:rPr>
          <w:rFonts w:ascii="Times New Roman" w:eastAsia="Times New Roman" w:hAnsi="Times New Roman" w:cs="Times New Roman"/>
          <w:color w:val="000000" w:themeColor="text1"/>
          <w:sz w:val="24"/>
          <w:szCs w:val="24"/>
          <w:lang w:eastAsia="pt-BR"/>
        </w:rPr>
        <w:t xml:space="preserve"> da minuta d</w:t>
      </w:r>
      <w:r w:rsidR="7AE2C28F" w:rsidRPr="4DE975C4">
        <w:rPr>
          <w:rFonts w:ascii="Times New Roman" w:eastAsia="Times New Roman" w:hAnsi="Times New Roman" w:cs="Times New Roman"/>
          <w:color w:val="000000" w:themeColor="text1"/>
          <w:sz w:val="24"/>
          <w:szCs w:val="24"/>
          <w:lang w:eastAsia="pt-BR"/>
        </w:rPr>
        <w:t>e</w:t>
      </w:r>
      <w:r w:rsidRPr="4DE975C4">
        <w:rPr>
          <w:rFonts w:ascii="Times New Roman" w:eastAsia="Times New Roman" w:hAnsi="Times New Roman" w:cs="Times New Roman"/>
          <w:color w:val="000000" w:themeColor="text1"/>
          <w:sz w:val="24"/>
          <w:szCs w:val="24"/>
          <w:lang w:eastAsia="pt-BR"/>
        </w:rPr>
        <w:t xml:space="preserve"> Edital d</w:t>
      </w:r>
      <w:r w:rsidR="47441BD8" w:rsidRPr="4DE975C4">
        <w:rPr>
          <w:rFonts w:ascii="Times New Roman" w:eastAsia="Times New Roman" w:hAnsi="Times New Roman" w:cs="Times New Roman"/>
          <w:color w:val="000000" w:themeColor="text1"/>
          <w:sz w:val="24"/>
          <w:szCs w:val="24"/>
          <w:lang w:eastAsia="pt-BR"/>
        </w:rPr>
        <w:t>e</w:t>
      </w:r>
      <w:r w:rsidRPr="4DE975C4">
        <w:rPr>
          <w:rFonts w:ascii="Times New Roman" w:eastAsia="Times New Roman" w:hAnsi="Times New Roman" w:cs="Times New Roman"/>
          <w:color w:val="000000" w:themeColor="text1"/>
          <w:sz w:val="24"/>
          <w:szCs w:val="24"/>
          <w:lang w:eastAsia="pt-BR"/>
        </w:rPr>
        <w:t xml:space="preserve"> Pregão Eletrônico, </w:t>
      </w:r>
      <w:r w:rsidR="008B7DE4" w:rsidRPr="4DE975C4">
        <w:rPr>
          <w:rFonts w:ascii="Times New Roman" w:eastAsia="Times New Roman" w:hAnsi="Times New Roman" w:cs="Times New Roman"/>
          <w:color w:val="FF0000"/>
          <w:sz w:val="24"/>
          <w:szCs w:val="24"/>
          <w:lang w:eastAsia="pt-BR"/>
        </w:rPr>
        <w:t xml:space="preserve">processado sob o Sistema de Registro de Preços, </w:t>
      </w:r>
      <w:r w:rsidRPr="4DE975C4">
        <w:rPr>
          <w:rFonts w:ascii="Times New Roman" w:eastAsia="Times New Roman" w:hAnsi="Times New Roman" w:cs="Times New Roman"/>
          <w:color w:val="000000" w:themeColor="text1"/>
          <w:sz w:val="24"/>
          <w:szCs w:val="24"/>
          <w:lang w:eastAsia="pt-BR"/>
        </w:rPr>
        <w:t>que tem por objeto a contratação da prestação de serviços de </w:t>
      </w:r>
      <w:r w:rsidRPr="4DE975C4">
        <w:rPr>
          <w:rFonts w:ascii="Times New Roman" w:eastAsia="Times New Roman" w:hAnsi="Times New Roman" w:cs="Times New Roman"/>
          <w:color w:val="FF0000"/>
          <w:sz w:val="24"/>
          <w:szCs w:val="24"/>
          <w:lang w:eastAsia="pt-BR"/>
        </w:rPr>
        <w:t>XXX</w:t>
      </w:r>
      <w:r w:rsidRPr="4DE975C4">
        <w:rPr>
          <w:rFonts w:ascii="Times New Roman" w:eastAsia="Times New Roman" w:hAnsi="Times New Roman" w:cs="Times New Roman"/>
          <w:color w:val="000000" w:themeColor="text1"/>
          <w:sz w:val="24"/>
          <w:szCs w:val="24"/>
          <w:lang w:eastAsia="pt-BR"/>
        </w:rPr>
        <w:t>, no valor estimado de R$</w:t>
      </w:r>
      <w:r w:rsidRPr="4DE975C4">
        <w:rPr>
          <w:rFonts w:ascii="Times New Roman" w:eastAsia="Times New Roman" w:hAnsi="Times New Roman" w:cs="Times New Roman"/>
          <w:color w:val="FF0000"/>
          <w:sz w:val="24"/>
          <w:szCs w:val="24"/>
          <w:lang w:eastAsia="pt-BR"/>
        </w:rPr>
        <w:t> XXX.</w:t>
      </w:r>
    </w:p>
    <w:p w14:paraId="5E0B1C5B" w14:textId="77777777" w:rsidR="004423CE" w:rsidRPr="00271BE3" w:rsidRDefault="79B9EDE3" w:rsidP="00952A35">
      <w:pPr>
        <w:spacing w:after="48" w:line="240" w:lineRule="auto"/>
        <w:ind w:firstLine="1440"/>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577FF4CF" w14:textId="779ACDD2" w:rsidR="00271BE3" w:rsidRPr="00271BE3" w:rsidRDefault="6817C2E8" w:rsidP="00952A35">
      <w:pPr>
        <w:spacing w:after="48" w:line="240" w:lineRule="auto"/>
        <w:jc w:val="both"/>
        <w:rPr>
          <w:rFonts w:ascii="Times New Roman" w:eastAsia="Times New Roman" w:hAnsi="Times New Roman" w:cs="Times New Roman"/>
          <w:color w:val="000000"/>
          <w:sz w:val="24"/>
          <w:szCs w:val="24"/>
          <w:lang w:eastAsia="pt-BR"/>
        </w:rPr>
      </w:pPr>
      <w:r w:rsidRPr="594C5555">
        <w:rPr>
          <w:rFonts w:ascii="Times New Roman" w:eastAsia="Times New Roman" w:hAnsi="Times New Roman" w:cs="Times New Roman"/>
          <w:color w:val="000000" w:themeColor="text1"/>
          <w:sz w:val="24"/>
          <w:szCs w:val="24"/>
          <w:lang w:eastAsia="pt-BR"/>
        </w:rPr>
        <w:t>Os presentes autos encontram-se instruídos com os seguintes documentos, pertinentes à presente análise:</w:t>
      </w:r>
    </w:p>
    <w:p w14:paraId="609CF78F" w14:textId="77777777" w:rsidR="00C10352" w:rsidRPr="00271BE3" w:rsidRDefault="6817C2E8" w:rsidP="00952A35">
      <w:pPr>
        <w:pStyle w:val="PargrafodaLista"/>
        <w:numPr>
          <w:ilvl w:val="0"/>
          <w:numId w:val="18"/>
        </w:numPr>
        <w:tabs>
          <w:tab w:val="left" w:pos="2552"/>
        </w:tabs>
        <w:spacing w:after="0" w:line="240" w:lineRule="auto"/>
        <w:ind w:firstLine="18"/>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documento de formalização da demanda (fls. SEI n. )</w:t>
      </w:r>
    </w:p>
    <w:p w14:paraId="018805D8" w14:textId="77777777" w:rsidR="00C10352" w:rsidRPr="00271BE3" w:rsidRDefault="6817C2E8" w:rsidP="00952A35">
      <w:pPr>
        <w:pStyle w:val="PargrafodaLista"/>
        <w:numPr>
          <w:ilvl w:val="0"/>
          <w:numId w:val="18"/>
        </w:numPr>
        <w:tabs>
          <w:tab w:val="left" w:pos="2552"/>
        </w:tabs>
        <w:spacing w:after="0" w:line="240" w:lineRule="auto"/>
        <w:ind w:firstLine="18"/>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autorização da autoridade administrativa (fls. SEI n. )</w:t>
      </w:r>
    </w:p>
    <w:p w14:paraId="144A4653" w14:textId="77777777" w:rsidR="00C10352" w:rsidRPr="00271BE3" w:rsidRDefault="00FC56F7" w:rsidP="00952A35">
      <w:pPr>
        <w:pStyle w:val="PargrafodaLista"/>
        <w:numPr>
          <w:ilvl w:val="0"/>
          <w:numId w:val="18"/>
        </w:numPr>
        <w:tabs>
          <w:tab w:val="left" w:pos="2552"/>
        </w:tabs>
        <w:spacing w:after="0" w:line="240" w:lineRule="auto"/>
        <w:ind w:firstLine="18"/>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e</w:t>
      </w:r>
      <w:r w:rsidR="6817C2E8" w:rsidRPr="00271BE3">
        <w:rPr>
          <w:rFonts w:ascii="Times New Roman" w:eastAsia="Times New Roman" w:hAnsi="Times New Roman" w:cs="Times New Roman"/>
          <w:color w:val="FF0000"/>
          <w:sz w:val="20"/>
          <w:szCs w:val="20"/>
          <w:lang w:eastAsia="pt-BR"/>
        </w:rPr>
        <w:t>studo técnico preliminar</w:t>
      </w:r>
      <w:r w:rsidR="6FF23227" w:rsidRPr="00271BE3">
        <w:rPr>
          <w:rFonts w:ascii="Times New Roman" w:eastAsia="Times New Roman" w:hAnsi="Times New Roman" w:cs="Times New Roman"/>
          <w:color w:val="FF0000"/>
          <w:sz w:val="20"/>
          <w:szCs w:val="20"/>
          <w:lang w:eastAsia="pt-BR"/>
        </w:rPr>
        <w:t xml:space="preserve"> - ETP</w:t>
      </w:r>
      <w:r w:rsidR="6817C2E8" w:rsidRPr="00271BE3">
        <w:rPr>
          <w:rFonts w:ascii="Times New Roman" w:eastAsia="Times New Roman" w:hAnsi="Times New Roman" w:cs="Times New Roman"/>
          <w:color w:val="FF0000"/>
          <w:sz w:val="20"/>
          <w:szCs w:val="20"/>
          <w:lang w:eastAsia="pt-BR"/>
        </w:rPr>
        <w:t xml:space="preserve"> (fls. SEI n. )</w:t>
      </w:r>
    </w:p>
    <w:p w14:paraId="032341AD" w14:textId="77777777" w:rsidR="00C10352" w:rsidRPr="00271BE3" w:rsidRDefault="6817C2E8" w:rsidP="00952A35">
      <w:pPr>
        <w:pStyle w:val="PargrafodaLista"/>
        <w:numPr>
          <w:ilvl w:val="0"/>
          <w:numId w:val="18"/>
        </w:numPr>
        <w:tabs>
          <w:tab w:val="left" w:pos="2552"/>
        </w:tabs>
        <w:spacing w:after="0" w:line="240" w:lineRule="auto"/>
        <w:ind w:firstLine="18"/>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mapa de gerenciamento de riscos (fls. SEI n. )</w:t>
      </w:r>
    </w:p>
    <w:p w14:paraId="0275BEAF" w14:textId="77777777" w:rsidR="00C10352" w:rsidRPr="00271BE3" w:rsidRDefault="6817C2E8" w:rsidP="00952A35">
      <w:pPr>
        <w:pStyle w:val="PargrafodaLista"/>
        <w:numPr>
          <w:ilvl w:val="0"/>
          <w:numId w:val="18"/>
        </w:numPr>
        <w:tabs>
          <w:tab w:val="left" w:pos="2552"/>
        </w:tabs>
        <w:spacing w:after="0" w:line="240" w:lineRule="auto"/>
        <w:ind w:firstLine="18"/>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planilhas orçamentárias (fls. SEI n. )</w:t>
      </w:r>
    </w:p>
    <w:p w14:paraId="1A44CF3F" w14:textId="77777777" w:rsidR="00C10352" w:rsidRPr="00271BE3" w:rsidRDefault="5F88FC23" w:rsidP="00952A35">
      <w:pPr>
        <w:pStyle w:val="PargrafodaLista"/>
        <w:numPr>
          <w:ilvl w:val="0"/>
          <w:numId w:val="18"/>
        </w:numPr>
        <w:tabs>
          <w:tab w:val="left" w:pos="2552"/>
        </w:tabs>
        <w:spacing w:after="0" w:line="240" w:lineRule="auto"/>
        <w:ind w:left="2552" w:hanging="284"/>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anotação de responsabilidade técnica (ART) e/ou registro de responsabilidade técnica (RRT)</w:t>
      </w:r>
      <w:r w:rsidR="4BF2EFB7" w:rsidRPr="00271BE3">
        <w:rPr>
          <w:rFonts w:ascii="Times New Roman" w:eastAsia="Times New Roman" w:hAnsi="Times New Roman" w:cs="Times New Roman"/>
          <w:color w:val="FF0000"/>
          <w:sz w:val="20"/>
          <w:szCs w:val="20"/>
          <w:lang w:eastAsia="pt-BR"/>
        </w:rPr>
        <w:t xml:space="preserve"> </w:t>
      </w:r>
      <w:r w:rsidR="7DF86FBB" w:rsidRPr="00271BE3">
        <w:rPr>
          <w:rFonts w:ascii="Times New Roman" w:eastAsia="Times New Roman" w:hAnsi="Times New Roman" w:cs="Times New Roman"/>
          <w:color w:val="FF0000"/>
          <w:sz w:val="20"/>
          <w:szCs w:val="20"/>
          <w:lang w:eastAsia="pt-BR"/>
        </w:rPr>
        <w:t>e/ou termo de responsabilidade técnica (TRT)</w:t>
      </w:r>
      <w:r w:rsidR="000D7EA9" w:rsidRPr="00271BE3">
        <w:rPr>
          <w:rFonts w:ascii="Times New Roman" w:eastAsia="Times New Roman" w:hAnsi="Times New Roman" w:cs="Times New Roman"/>
          <w:color w:val="FF0000"/>
          <w:sz w:val="20"/>
          <w:szCs w:val="20"/>
          <w:lang w:eastAsia="pt-BR"/>
        </w:rPr>
        <w:t xml:space="preserve"> </w:t>
      </w:r>
      <w:r w:rsidR="4BF2EFB7" w:rsidRPr="00271BE3">
        <w:rPr>
          <w:rFonts w:ascii="Times New Roman" w:eastAsia="Times New Roman" w:hAnsi="Times New Roman" w:cs="Times New Roman"/>
          <w:color w:val="FF0000"/>
          <w:sz w:val="20"/>
          <w:szCs w:val="20"/>
          <w:lang w:eastAsia="pt-BR"/>
        </w:rPr>
        <w:t>(fls. SEI n. )</w:t>
      </w:r>
    </w:p>
    <w:p w14:paraId="772C97E3" w14:textId="77777777" w:rsidR="00C10352" w:rsidRPr="00271BE3" w:rsidRDefault="6817C2E8" w:rsidP="00952A35">
      <w:pPr>
        <w:pStyle w:val="PargrafodaLista"/>
        <w:numPr>
          <w:ilvl w:val="0"/>
          <w:numId w:val="18"/>
        </w:numPr>
        <w:tabs>
          <w:tab w:val="left" w:pos="2552"/>
        </w:tabs>
        <w:spacing w:after="0" w:line="240" w:lineRule="auto"/>
        <w:ind w:firstLine="18"/>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pesquisa de preços (fls. SEI n. )</w:t>
      </w:r>
    </w:p>
    <w:p w14:paraId="7F78A2A5" w14:textId="77777777" w:rsidR="00C10352" w:rsidRPr="00271BE3" w:rsidRDefault="6817C2E8" w:rsidP="00952A35">
      <w:pPr>
        <w:pStyle w:val="PargrafodaLista"/>
        <w:numPr>
          <w:ilvl w:val="0"/>
          <w:numId w:val="18"/>
        </w:numPr>
        <w:tabs>
          <w:tab w:val="left" w:pos="2552"/>
        </w:tabs>
        <w:spacing w:after="0" w:line="240" w:lineRule="auto"/>
        <w:ind w:firstLine="18"/>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mapa comparativo de preços (fls. SEI n. )</w:t>
      </w:r>
    </w:p>
    <w:p w14:paraId="7AC7C73E" w14:textId="77777777" w:rsidR="00C10352" w:rsidRPr="00271BE3" w:rsidRDefault="6817C2E8" w:rsidP="00952A35">
      <w:pPr>
        <w:pStyle w:val="PargrafodaLista"/>
        <w:numPr>
          <w:ilvl w:val="0"/>
          <w:numId w:val="18"/>
        </w:numPr>
        <w:tabs>
          <w:tab w:val="left" w:pos="2552"/>
        </w:tabs>
        <w:spacing w:after="0" w:line="240" w:lineRule="auto"/>
        <w:ind w:left="2552" w:hanging="284"/>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despacho com considerações a respeito do orçamento estimativo (fls. SEI n. )</w:t>
      </w:r>
    </w:p>
    <w:p w14:paraId="5FF943E8" w14:textId="77777777" w:rsidR="00C10352" w:rsidRDefault="6817C2E8" w:rsidP="00952A35">
      <w:pPr>
        <w:pStyle w:val="PargrafodaLista"/>
        <w:numPr>
          <w:ilvl w:val="0"/>
          <w:numId w:val="18"/>
        </w:numPr>
        <w:tabs>
          <w:tab w:val="left" w:pos="2552"/>
        </w:tabs>
        <w:spacing w:after="0" w:line="240" w:lineRule="auto"/>
        <w:ind w:firstLine="18"/>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termo de referência (fls. SEI n. )</w:t>
      </w:r>
    </w:p>
    <w:p w14:paraId="72642ABC" w14:textId="43E8F4ED" w:rsidR="00587C52" w:rsidRPr="00587C52" w:rsidRDefault="00587C52" w:rsidP="00587C52">
      <w:pPr>
        <w:pStyle w:val="PargrafodaLista"/>
        <w:numPr>
          <w:ilvl w:val="0"/>
          <w:numId w:val="18"/>
        </w:numPr>
        <w:tabs>
          <w:tab w:val="left" w:pos="2552"/>
        </w:tabs>
        <w:ind w:firstLine="18"/>
        <w:rPr>
          <w:rFonts w:ascii="Times New Roman" w:eastAsiaTheme="minorEastAsia" w:hAnsi="Times New Roman" w:cs="Times New Roman"/>
          <w:color w:val="FF0000"/>
          <w:sz w:val="20"/>
          <w:szCs w:val="20"/>
          <w:lang w:eastAsia="pt-BR"/>
        </w:rPr>
      </w:pPr>
      <w:r w:rsidRPr="00EC16F4">
        <w:rPr>
          <w:rFonts w:ascii="Times New Roman" w:eastAsiaTheme="minorEastAsia" w:hAnsi="Times New Roman" w:cs="Times New Roman"/>
          <w:color w:val="FF0000"/>
          <w:sz w:val="20"/>
          <w:szCs w:val="20"/>
          <w:lang w:eastAsia="pt-BR"/>
        </w:rPr>
        <w:t>divulgação da intenção de registro de preços (fls. SEI n. )</w:t>
      </w:r>
    </w:p>
    <w:p w14:paraId="13CDAE9F" w14:textId="77777777" w:rsidR="00C10352" w:rsidRPr="00271BE3" w:rsidRDefault="6817C2E8" w:rsidP="00952A35">
      <w:pPr>
        <w:pStyle w:val="PargrafodaLista"/>
        <w:numPr>
          <w:ilvl w:val="0"/>
          <w:numId w:val="18"/>
        </w:numPr>
        <w:tabs>
          <w:tab w:val="left" w:pos="2552"/>
        </w:tabs>
        <w:spacing w:after="0" w:line="240" w:lineRule="auto"/>
        <w:ind w:firstLine="18"/>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ato de designação do pregoeiro e equipe de apoio (fls. SEI n. )</w:t>
      </w:r>
    </w:p>
    <w:p w14:paraId="127DB1CB" w14:textId="77777777" w:rsidR="00C10352" w:rsidRPr="00271BE3" w:rsidRDefault="6817C2E8" w:rsidP="00952A35">
      <w:pPr>
        <w:pStyle w:val="PargrafodaLista"/>
        <w:numPr>
          <w:ilvl w:val="0"/>
          <w:numId w:val="18"/>
        </w:numPr>
        <w:tabs>
          <w:tab w:val="left" w:pos="2552"/>
        </w:tabs>
        <w:spacing w:after="0" w:line="240" w:lineRule="auto"/>
        <w:ind w:firstLine="18"/>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indicação da disponibilidade orçamentária (fls. SEI n. )</w:t>
      </w:r>
    </w:p>
    <w:p w14:paraId="1DFE043C" w14:textId="77777777" w:rsidR="00C10352" w:rsidRPr="00271BE3" w:rsidRDefault="6817C2E8" w:rsidP="00952A35">
      <w:pPr>
        <w:pStyle w:val="PargrafodaLista"/>
        <w:numPr>
          <w:ilvl w:val="0"/>
          <w:numId w:val="18"/>
        </w:numPr>
        <w:tabs>
          <w:tab w:val="left" w:pos="2552"/>
        </w:tabs>
        <w:spacing w:after="0" w:line="240" w:lineRule="auto"/>
        <w:ind w:firstLine="18"/>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minuta de edital com anexos (fls. SEI n. )</w:t>
      </w:r>
    </w:p>
    <w:p w14:paraId="75A7E563" w14:textId="77777777" w:rsidR="00C10352" w:rsidRPr="00271BE3" w:rsidRDefault="781A8CA1" w:rsidP="00952A35">
      <w:pPr>
        <w:pStyle w:val="PargrafodaLista"/>
        <w:numPr>
          <w:ilvl w:val="0"/>
          <w:numId w:val="18"/>
        </w:numPr>
        <w:tabs>
          <w:tab w:val="left" w:pos="2552"/>
        </w:tabs>
        <w:spacing w:after="0" w:line="240" w:lineRule="auto"/>
        <w:ind w:firstLine="18"/>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lista de verificação da regularidade processual (fls. SEI n. )</w:t>
      </w:r>
    </w:p>
    <w:p w14:paraId="6AC8658F" w14:textId="5DA3F2D6" w:rsidR="004423CE" w:rsidRPr="00271BE3" w:rsidRDefault="6817C2E8" w:rsidP="00952A35">
      <w:pPr>
        <w:pStyle w:val="PargrafodaLista"/>
        <w:numPr>
          <w:ilvl w:val="0"/>
          <w:numId w:val="18"/>
        </w:numPr>
        <w:tabs>
          <w:tab w:val="left" w:pos="2552"/>
        </w:tabs>
        <w:spacing w:after="0" w:line="240" w:lineRule="auto"/>
        <w:ind w:firstLine="18"/>
        <w:jc w:val="both"/>
        <w:rPr>
          <w:rFonts w:ascii="Times New Roman" w:eastAsia="Times New Roman" w:hAnsi="Times New Roman" w:cs="Times New Roman"/>
          <w:color w:val="FF0000"/>
          <w:sz w:val="20"/>
          <w:szCs w:val="20"/>
          <w:lang w:eastAsia="pt-BR"/>
        </w:rPr>
      </w:pPr>
      <w:r w:rsidRPr="00271BE3">
        <w:rPr>
          <w:rFonts w:ascii="Times New Roman" w:eastAsia="Times New Roman" w:hAnsi="Times New Roman" w:cs="Times New Roman"/>
          <w:color w:val="FF0000"/>
          <w:sz w:val="20"/>
          <w:szCs w:val="20"/>
          <w:lang w:eastAsia="pt-BR"/>
        </w:rPr>
        <w:t>certificado de adoção das minutas padrão da AGU (fls. SEI n. ).</w:t>
      </w:r>
    </w:p>
    <w:p w14:paraId="5A608916" w14:textId="7FC16427" w:rsidR="64660B45" w:rsidRPr="00271BE3" w:rsidRDefault="64660B45" w:rsidP="00952A35">
      <w:pPr>
        <w:spacing w:after="48" w:line="240" w:lineRule="auto"/>
        <w:jc w:val="both"/>
        <w:rPr>
          <w:rFonts w:ascii="Times New Roman" w:eastAsia="Times New Roman" w:hAnsi="Times New Roman" w:cs="Times New Roman"/>
          <w:color w:val="000000" w:themeColor="text1"/>
          <w:sz w:val="24"/>
          <w:szCs w:val="24"/>
          <w:lang w:eastAsia="pt-BR"/>
        </w:rPr>
      </w:pPr>
    </w:p>
    <w:p w14:paraId="24ED132A" w14:textId="77777777" w:rsidR="004423CE" w:rsidRPr="00271BE3" w:rsidRDefault="6817C2E8" w:rsidP="00952A35">
      <w:pPr>
        <w:spacing w:after="48"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Por razões de economia processual, documentos não mencionados no item anterior serão devidamente referenciados ao longo do parecer.</w:t>
      </w:r>
    </w:p>
    <w:p w14:paraId="3605019C" w14:textId="77777777" w:rsidR="004423CE" w:rsidRPr="00271BE3" w:rsidRDefault="79B9EDE3" w:rsidP="00952A35">
      <w:pPr>
        <w:spacing w:after="48" w:line="240" w:lineRule="auto"/>
        <w:ind w:firstLine="1440"/>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2EDE98D0" w14:textId="32F40CA1" w:rsidR="004423CE" w:rsidRDefault="6817C2E8" w:rsidP="594C5555">
      <w:pPr>
        <w:spacing w:after="48" w:line="240" w:lineRule="auto"/>
        <w:jc w:val="both"/>
        <w:rPr>
          <w:rFonts w:ascii="Times New Roman" w:eastAsia="Times New Roman" w:hAnsi="Times New Roman" w:cs="Times New Roman"/>
          <w:color w:val="000000"/>
          <w:sz w:val="24"/>
          <w:szCs w:val="24"/>
          <w:lang w:eastAsia="pt-BR"/>
        </w:rPr>
      </w:pPr>
      <w:r w:rsidRPr="594C5555">
        <w:rPr>
          <w:rFonts w:ascii="Times New Roman" w:eastAsia="Times New Roman" w:hAnsi="Times New Roman" w:cs="Times New Roman"/>
          <w:color w:val="000000" w:themeColor="text1"/>
          <w:sz w:val="24"/>
          <w:szCs w:val="24"/>
          <w:lang w:eastAsia="pt-BR"/>
        </w:rPr>
        <w:t>É o relatório.</w:t>
      </w:r>
      <w:r w:rsidR="004423CE" w:rsidRPr="594C5555">
        <w:rPr>
          <w:rFonts w:ascii="Times New Roman" w:eastAsia="Times New Roman" w:hAnsi="Times New Roman" w:cs="Times New Roman"/>
          <w:color w:val="000000" w:themeColor="text1"/>
          <w:sz w:val="24"/>
          <w:szCs w:val="24"/>
          <w:lang w:eastAsia="pt-BR"/>
        </w:rPr>
        <w:t> </w:t>
      </w:r>
    </w:p>
    <w:p w14:paraId="33FDA4F1" w14:textId="77777777" w:rsidR="00271BE3" w:rsidRPr="00271BE3" w:rsidRDefault="00271BE3" w:rsidP="00952A35">
      <w:pPr>
        <w:spacing w:after="48" w:line="240" w:lineRule="auto"/>
        <w:ind w:firstLine="1418"/>
        <w:jc w:val="both"/>
        <w:rPr>
          <w:rFonts w:ascii="Times New Roman" w:eastAsia="Times New Roman" w:hAnsi="Times New Roman" w:cs="Times New Roman"/>
          <w:color w:val="000000"/>
          <w:sz w:val="24"/>
          <w:szCs w:val="24"/>
          <w:lang w:eastAsia="pt-BR"/>
        </w:rPr>
      </w:pPr>
    </w:p>
    <w:p w14:paraId="6A680D2D" w14:textId="77777777" w:rsidR="001C1C94" w:rsidRDefault="001C1C94">
      <w:pPr>
        <w:rPr>
          <w:rFonts w:ascii="Times New Roman" w:eastAsia="Times New Roman" w:hAnsi="Times New Roman" w:cs="Times New Roman"/>
          <w:b/>
          <w:bCs/>
          <w:caps/>
          <w:color w:val="000000"/>
          <w:kern w:val="36"/>
          <w:sz w:val="24"/>
          <w:szCs w:val="24"/>
          <w:lang w:eastAsia="pt-BR"/>
        </w:rPr>
      </w:pPr>
      <w:r>
        <w:rPr>
          <w:rFonts w:ascii="Times New Roman" w:eastAsia="Times New Roman" w:hAnsi="Times New Roman" w:cs="Times New Roman"/>
          <w:b/>
          <w:bCs/>
          <w:caps/>
          <w:color w:val="000000"/>
          <w:kern w:val="36"/>
          <w:sz w:val="24"/>
          <w:szCs w:val="24"/>
          <w:lang w:eastAsia="pt-BR"/>
        </w:rPr>
        <w:br w:type="page"/>
      </w:r>
    </w:p>
    <w:p w14:paraId="09FE5653" w14:textId="34CE6485" w:rsidR="004423CE" w:rsidRDefault="6817C2E8" w:rsidP="001C1C94">
      <w:pPr>
        <w:spacing w:after="48" w:line="240" w:lineRule="auto"/>
        <w:jc w:val="both"/>
        <w:outlineLvl w:val="0"/>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b/>
          <w:bCs/>
          <w:caps/>
          <w:color w:val="000000"/>
          <w:kern w:val="36"/>
          <w:sz w:val="24"/>
          <w:szCs w:val="24"/>
          <w:lang w:eastAsia="pt-BR"/>
        </w:rPr>
        <w:lastRenderedPageBreak/>
        <w:t>DA FUNDAMENTAÇÃO</w:t>
      </w:r>
      <w:r w:rsidR="79B9EDE3" w:rsidRPr="00271BE3">
        <w:rPr>
          <w:rFonts w:ascii="Times New Roman" w:eastAsia="Times New Roman" w:hAnsi="Times New Roman" w:cs="Times New Roman"/>
          <w:color w:val="000000" w:themeColor="text1"/>
          <w:sz w:val="24"/>
          <w:szCs w:val="24"/>
          <w:lang w:eastAsia="pt-BR"/>
        </w:rPr>
        <w:t> </w:t>
      </w:r>
    </w:p>
    <w:p w14:paraId="7F190C34" w14:textId="77777777" w:rsidR="00C7461B" w:rsidRPr="001C1C94" w:rsidRDefault="00C7461B" w:rsidP="001C1C94">
      <w:pPr>
        <w:spacing w:after="48" w:line="240" w:lineRule="auto"/>
        <w:jc w:val="both"/>
        <w:outlineLvl w:val="0"/>
        <w:rPr>
          <w:rFonts w:ascii="Times New Roman" w:eastAsia="Times New Roman" w:hAnsi="Times New Roman" w:cs="Times New Roman"/>
          <w:b/>
          <w:bCs/>
          <w:caps/>
          <w:color w:val="000000"/>
          <w:kern w:val="36"/>
          <w:sz w:val="24"/>
          <w:szCs w:val="24"/>
          <w:lang w:eastAsia="pt-BR"/>
        </w:rPr>
      </w:pPr>
    </w:p>
    <w:p w14:paraId="7D425722" w14:textId="77777777" w:rsidR="004423CE" w:rsidRPr="00271BE3" w:rsidRDefault="6817C2E8" w:rsidP="00952A35">
      <w:pPr>
        <w:spacing w:after="48" w:line="240" w:lineRule="auto"/>
        <w:jc w:val="both"/>
        <w:outlineLvl w:val="1"/>
        <w:rPr>
          <w:rFonts w:ascii="Times New Roman" w:eastAsia="Times New Roman" w:hAnsi="Times New Roman" w:cs="Times New Roman"/>
          <w:b/>
          <w:bCs/>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DOS LIMITES DA ANÁLISE JURÍDICA</w:t>
      </w:r>
    </w:p>
    <w:p w14:paraId="7515C143" w14:textId="77777777" w:rsidR="004423CE" w:rsidRPr="00271BE3" w:rsidRDefault="004423CE" w:rsidP="00952A35">
      <w:pPr>
        <w:spacing w:after="48"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22F18A71" w14:textId="05828A06" w:rsidR="006C1E88" w:rsidRPr="00271BE3" w:rsidRDefault="006C1E88" w:rsidP="00952A35">
      <w:pPr>
        <w:spacing w:after="0" w:line="240" w:lineRule="auto"/>
        <w:jc w:val="both"/>
        <w:rPr>
          <w:rFonts w:ascii="Times New Roman" w:eastAsiaTheme="minorEastAsia" w:hAnsi="Times New Roman" w:cs="Times New Roman"/>
          <w:sz w:val="24"/>
          <w:szCs w:val="24"/>
          <w:lang w:eastAsia="pt-BR"/>
        </w:rPr>
      </w:pPr>
      <w:r w:rsidRPr="00271BE3">
        <w:rPr>
          <w:rFonts w:ascii="Times New Roman" w:eastAsiaTheme="minorEastAsia" w:hAnsi="Times New Roman" w:cs="Times New Roman"/>
          <w:sz w:val="24"/>
          <w:szCs w:val="24"/>
          <w:lang w:eastAsia="pt-BR"/>
        </w:rPr>
        <w:t>A presente manifestação jurídica tem o escopo de assistir a autoridade assessorada no controle prévio de legalidade, conforme art. 53</w:t>
      </w:r>
      <w:r w:rsidR="00C404CF">
        <w:rPr>
          <w:rFonts w:ascii="Times New Roman" w:eastAsiaTheme="minorEastAsia" w:hAnsi="Times New Roman" w:cs="Times New Roman"/>
          <w:sz w:val="24"/>
          <w:szCs w:val="24"/>
          <w:lang w:eastAsia="pt-BR"/>
        </w:rPr>
        <w:t xml:space="preserve">, </w:t>
      </w:r>
      <w:r w:rsidR="007A6164">
        <w:rPr>
          <w:rFonts w:ascii="Times New Roman" w:eastAsiaTheme="minorEastAsia" w:hAnsi="Times New Roman" w:cs="Times New Roman"/>
          <w:i/>
          <w:sz w:val="24"/>
          <w:szCs w:val="24"/>
          <w:lang w:eastAsia="pt-BR"/>
        </w:rPr>
        <w:t>caput</w:t>
      </w:r>
      <w:r w:rsidR="00C404CF">
        <w:rPr>
          <w:rFonts w:ascii="Times New Roman" w:eastAsiaTheme="minorEastAsia" w:hAnsi="Times New Roman" w:cs="Times New Roman"/>
          <w:sz w:val="24"/>
          <w:szCs w:val="24"/>
          <w:lang w:eastAsia="pt-BR"/>
        </w:rPr>
        <w:t>,</w:t>
      </w:r>
      <w:r w:rsidRPr="00271BE3">
        <w:rPr>
          <w:rFonts w:ascii="Times New Roman" w:eastAsiaTheme="minorEastAsia" w:hAnsi="Times New Roman" w:cs="Times New Roman"/>
          <w:sz w:val="24"/>
          <w:szCs w:val="24"/>
          <w:lang w:eastAsia="pt-BR"/>
        </w:rPr>
        <w:t xml:space="preserve"> da </w:t>
      </w:r>
      <w:r w:rsidRPr="007A6164">
        <w:rPr>
          <w:rFonts w:ascii="Times New Roman" w:eastAsiaTheme="minorEastAsia" w:hAnsi="Times New Roman" w:cs="Times New Roman"/>
          <w:sz w:val="24"/>
          <w:szCs w:val="24"/>
        </w:rPr>
        <w:t>Lei nº 14.133, de 1º de abril de 2021</w:t>
      </w:r>
      <w:r w:rsidRPr="00271BE3">
        <w:rPr>
          <w:rFonts w:ascii="Times New Roman" w:eastAsiaTheme="minorEastAsia" w:hAnsi="Times New Roman" w:cs="Times New Roman"/>
          <w:sz w:val="24"/>
          <w:szCs w:val="24"/>
          <w:lang w:eastAsia="pt-BR"/>
        </w:rPr>
        <w:t>. Dessa maneira, não há determinação legal a impor a fiscalização posterior de cumprimento de recomendações feitas pela unidade jurídico-consultiva.</w:t>
      </w:r>
      <w:r w:rsidR="00A7060B" w:rsidRPr="00271BE3">
        <w:rPr>
          <w:rFonts w:ascii="Times New Roman" w:eastAsiaTheme="minorEastAsia" w:hAnsi="Times New Roman" w:cs="Times New Roman"/>
          <w:sz w:val="24"/>
          <w:szCs w:val="24"/>
          <w:lang w:eastAsia="pt-BR"/>
        </w:rPr>
        <w:t xml:space="preserve"> </w:t>
      </w:r>
      <w:r w:rsidRPr="00271BE3">
        <w:rPr>
          <w:rFonts w:ascii="Times New Roman" w:eastAsiaTheme="minorEastAsia" w:hAnsi="Times New Roman" w:cs="Times New Roman"/>
          <w:sz w:val="24"/>
          <w:szCs w:val="24"/>
          <w:lang w:eastAsia="pt-BR"/>
        </w:rPr>
        <w:t xml:space="preserve">Na eventualidade de o administrador não atender as orientações do Órgão Consultivo, deve justificar nos autos as razões que embasaram tal postura, nos termos do art. 50, VII, da Lei nº 9.784, de </w:t>
      </w:r>
      <w:r w:rsidR="00180B8E">
        <w:rPr>
          <w:rFonts w:ascii="Times New Roman" w:eastAsiaTheme="minorEastAsia" w:hAnsi="Times New Roman" w:cs="Times New Roman"/>
          <w:sz w:val="24"/>
          <w:szCs w:val="24"/>
          <w:lang w:eastAsia="pt-BR"/>
        </w:rPr>
        <w:t xml:space="preserve">29 de janeiro de </w:t>
      </w:r>
      <w:r w:rsidRPr="00271BE3">
        <w:rPr>
          <w:rFonts w:ascii="Times New Roman" w:eastAsiaTheme="minorEastAsia" w:hAnsi="Times New Roman" w:cs="Times New Roman"/>
          <w:sz w:val="24"/>
          <w:szCs w:val="24"/>
          <w:lang w:eastAsia="pt-BR"/>
        </w:rPr>
        <w:t xml:space="preserve">1999. </w:t>
      </w:r>
    </w:p>
    <w:p w14:paraId="5ABBCF2C" w14:textId="77777777" w:rsidR="004423CE" w:rsidRPr="00271BE3" w:rsidRDefault="79B9EDE3" w:rsidP="00952A35">
      <w:pPr>
        <w:spacing w:after="48" w:line="240" w:lineRule="auto"/>
        <w:ind w:firstLine="1440"/>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7207B621" w14:textId="77777777" w:rsidR="004423CE" w:rsidRPr="00271BE3" w:rsidRDefault="6817C2E8" w:rsidP="00952A35">
      <w:pPr>
        <w:spacing w:after="48"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Ressalte-se que o exame aqui empreendido se restringe aos aspectos jurídicos do procedimento, excluídos, portanto, aqueles de natureza eminentemente técnica, o que inclui o detalhamento do objeto da contratação, suas características, requisitos e especificações. Com relação a esses dados, parte-se da premissa de que a autoridade competente se municiará dos conhecimentos técnicos imprescindíveis para a sua adequação às necessidades da Administração, conforme orientação constante da Boa Prática Consultiva – BPC n° 7, que assim dispõe: </w:t>
      </w:r>
    </w:p>
    <w:p w14:paraId="103EC185" w14:textId="01F26575" w:rsidR="66EBB3D6" w:rsidRPr="00271BE3" w:rsidRDefault="66EBB3D6" w:rsidP="00952A35">
      <w:pPr>
        <w:spacing w:after="48" w:line="240" w:lineRule="auto"/>
        <w:jc w:val="both"/>
        <w:rPr>
          <w:rFonts w:ascii="Times New Roman" w:eastAsia="Times New Roman" w:hAnsi="Times New Roman" w:cs="Times New Roman"/>
          <w:i/>
          <w:iCs/>
          <w:color w:val="000000" w:themeColor="text1"/>
          <w:sz w:val="24"/>
          <w:szCs w:val="24"/>
          <w:lang w:eastAsia="pt-BR"/>
        </w:rPr>
      </w:pPr>
    </w:p>
    <w:p w14:paraId="7004C40A" w14:textId="77777777" w:rsidR="00271BE3" w:rsidRDefault="6817C2E8" w:rsidP="00952A35">
      <w:pPr>
        <w:spacing w:after="0" w:line="240" w:lineRule="auto"/>
        <w:ind w:left="2268"/>
        <w:jc w:val="both"/>
        <w:rPr>
          <w:rFonts w:ascii="Times New Roman" w:eastAsia="Times New Roman" w:hAnsi="Times New Roman" w:cs="Times New Roman"/>
          <w:color w:val="000000" w:themeColor="text1"/>
          <w:sz w:val="20"/>
          <w:szCs w:val="20"/>
          <w:lang w:eastAsia="pt-BR"/>
        </w:rPr>
      </w:pPr>
      <w:r w:rsidRPr="00271BE3">
        <w:rPr>
          <w:rFonts w:ascii="Times New Roman" w:eastAsia="Times New Roman" w:hAnsi="Times New Roman" w:cs="Times New Roman"/>
          <w:color w:val="000000" w:themeColor="text1"/>
          <w:sz w:val="20"/>
          <w:szCs w:val="20"/>
          <w:lang w:eastAsia="pt-BR"/>
        </w:rPr>
        <w:t>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 </w:t>
      </w:r>
    </w:p>
    <w:p w14:paraId="2CE30674" w14:textId="0E4E61A6" w:rsidR="004423CE" w:rsidRPr="00271BE3" w:rsidRDefault="6817C2E8" w:rsidP="00952A35">
      <w:pPr>
        <w:spacing w:after="0" w:line="240" w:lineRule="auto"/>
        <w:ind w:left="2268"/>
        <w:jc w:val="both"/>
        <w:rPr>
          <w:rFonts w:ascii="Times New Roman" w:eastAsia="Times New Roman" w:hAnsi="Times New Roman" w:cs="Times New Roman"/>
          <w:color w:val="000000"/>
          <w:sz w:val="20"/>
          <w:szCs w:val="20"/>
          <w:lang w:eastAsia="pt-BR"/>
        </w:rPr>
      </w:pPr>
      <w:r w:rsidRPr="00271BE3">
        <w:rPr>
          <w:rFonts w:ascii="Times New Roman" w:eastAsia="Times New Roman" w:hAnsi="Times New Roman" w:cs="Times New Roman"/>
          <w:color w:val="000000" w:themeColor="text1"/>
          <w:sz w:val="20"/>
          <w:szCs w:val="20"/>
          <w:lang w:eastAsia="pt-BR"/>
        </w:rPr>
        <w:t>(Manual de Boas Práticas Consultivas aprovado pela Portaria Conjunta nº 01, de 2 de dezembro de 2016)</w:t>
      </w:r>
    </w:p>
    <w:p w14:paraId="1C7B4A5D" w14:textId="77777777" w:rsidR="004423CE" w:rsidRPr="00271BE3" w:rsidRDefault="004423CE" w:rsidP="00952A35">
      <w:pPr>
        <w:spacing w:after="48"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40E08A6E" w14:textId="77777777" w:rsidR="004423CE" w:rsidRPr="00271BE3" w:rsidRDefault="6817C2E8" w:rsidP="00952A35">
      <w:pPr>
        <w:spacing w:after="48"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Feita a ressalva, passamos à análise estritamente jurídica do presente processo.</w:t>
      </w:r>
    </w:p>
    <w:p w14:paraId="7D772FEE" w14:textId="4149B60D" w:rsidR="004423CE" w:rsidRPr="00271BE3" w:rsidRDefault="79B9EDE3"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13512766" w14:textId="77777777" w:rsidR="008673DF" w:rsidRPr="00271BE3" w:rsidRDefault="008673DF" w:rsidP="00952A35">
      <w:pPr>
        <w:spacing w:after="48" w:line="240" w:lineRule="auto"/>
        <w:jc w:val="both"/>
        <w:rPr>
          <w:rFonts w:ascii="Times New Roman" w:eastAsia="Times New Roman" w:hAnsi="Times New Roman" w:cs="Times New Roman"/>
          <w:sz w:val="24"/>
          <w:szCs w:val="24"/>
          <w:lang w:eastAsia="pt-BR"/>
        </w:rPr>
      </w:pPr>
      <w:r w:rsidRPr="00271BE3">
        <w:rPr>
          <w:rFonts w:ascii="Times New Roman" w:eastAsia="Times New Roman" w:hAnsi="Times New Roman" w:cs="Times New Roman"/>
          <w:b/>
          <w:bCs/>
          <w:sz w:val="24"/>
          <w:szCs w:val="24"/>
          <w:lang w:eastAsia="pt-BR"/>
        </w:rPr>
        <w:t>DA VEDAÇÃO DA APLICAÇÃO COMBINADA DA LEI N.º 14.133, DE 2021, COM A LEI N.º 8.666, DE 1993, A LEI N.º 10.520, DE 2002 E A LEI N.º 12.462, DE 2011.</w:t>
      </w:r>
      <w:r w:rsidRPr="00271BE3">
        <w:rPr>
          <w:rFonts w:ascii="Times New Roman" w:eastAsia="Times New Roman" w:hAnsi="Times New Roman" w:cs="Times New Roman"/>
          <w:sz w:val="24"/>
          <w:szCs w:val="24"/>
          <w:lang w:eastAsia="pt-BR"/>
        </w:rPr>
        <w:t>  </w:t>
      </w:r>
    </w:p>
    <w:p w14:paraId="2B6132C5" w14:textId="77777777" w:rsidR="008673DF" w:rsidRPr="00271BE3" w:rsidRDefault="008673DF" w:rsidP="00952A35">
      <w:pPr>
        <w:spacing w:after="48" w:line="240" w:lineRule="auto"/>
        <w:ind w:firstLine="1418"/>
        <w:jc w:val="both"/>
        <w:rPr>
          <w:rFonts w:ascii="Times New Roman" w:eastAsia="Times New Roman" w:hAnsi="Times New Roman" w:cs="Times New Roman"/>
          <w:sz w:val="24"/>
          <w:szCs w:val="24"/>
          <w:lang w:eastAsia="pt-BR"/>
        </w:rPr>
      </w:pPr>
      <w:r w:rsidRPr="00271BE3">
        <w:rPr>
          <w:rFonts w:ascii="Times New Roman" w:eastAsia="Times New Roman" w:hAnsi="Times New Roman" w:cs="Times New Roman"/>
          <w:sz w:val="24"/>
          <w:szCs w:val="24"/>
          <w:lang w:eastAsia="pt-BR"/>
        </w:rPr>
        <w:t> </w:t>
      </w:r>
    </w:p>
    <w:p w14:paraId="4AE58AAE" w14:textId="77777777" w:rsidR="008673DF" w:rsidRPr="00271BE3" w:rsidRDefault="008673DF" w:rsidP="00952A35">
      <w:pPr>
        <w:spacing w:after="48" w:line="240" w:lineRule="auto"/>
        <w:jc w:val="both"/>
        <w:rPr>
          <w:rFonts w:ascii="Times New Roman" w:eastAsia="Times New Roman" w:hAnsi="Times New Roman" w:cs="Times New Roman"/>
          <w:sz w:val="24"/>
          <w:szCs w:val="24"/>
          <w:lang w:eastAsia="pt-BR"/>
        </w:rPr>
      </w:pPr>
      <w:r w:rsidRPr="00271BE3">
        <w:rPr>
          <w:rFonts w:ascii="Times New Roman" w:eastAsia="Times New Roman" w:hAnsi="Times New Roman" w:cs="Times New Roman"/>
          <w:sz w:val="24"/>
          <w:szCs w:val="24"/>
          <w:lang w:eastAsia="pt-BR"/>
        </w:rPr>
        <w:t>Não é demais destacar a vedação da aplicação combinada da Lei nº 14.133, de 2021, com a Lei nº 8.666, de 1993, Lei nº 10.520, de 2002, e a Lei n.º 12.462, de 2011 (art. 191, da Lei nº 14.133, de 2021, e item 217 do PARECER n. 00002/2021/CNMLC/CGU/AGU, NUP: 00688.000716/2019-43, sequencial 460), como se observa a seguir: </w:t>
      </w:r>
    </w:p>
    <w:p w14:paraId="63060A41" w14:textId="77777777" w:rsidR="008673DF" w:rsidRPr="00271BE3" w:rsidRDefault="008673DF" w:rsidP="00952A35">
      <w:pPr>
        <w:spacing w:after="48" w:line="240" w:lineRule="auto"/>
        <w:ind w:firstLine="1418"/>
        <w:jc w:val="both"/>
        <w:rPr>
          <w:rFonts w:ascii="Times New Roman" w:eastAsia="Times New Roman" w:hAnsi="Times New Roman" w:cs="Times New Roman"/>
          <w:sz w:val="24"/>
          <w:szCs w:val="24"/>
          <w:lang w:eastAsia="pt-BR"/>
        </w:rPr>
      </w:pPr>
      <w:r w:rsidRPr="00271BE3">
        <w:rPr>
          <w:rFonts w:ascii="Times New Roman" w:eastAsia="Times New Roman" w:hAnsi="Times New Roman" w:cs="Times New Roman"/>
          <w:sz w:val="24"/>
          <w:szCs w:val="24"/>
          <w:lang w:eastAsia="pt-BR"/>
        </w:rPr>
        <w:t> </w:t>
      </w:r>
    </w:p>
    <w:p w14:paraId="79C43FAB" w14:textId="77777777" w:rsidR="008673DF" w:rsidRPr="00271BE3" w:rsidRDefault="008673DF" w:rsidP="00952A35">
      <w:pPr>
        <w:spacing w:after="0" w:line="240" w:lineRule="auto"/>
        <w:ind w:left="2268"/>
        <w:jc w:val="both"/>
        <w:rPr>
          <w:rFonts w:ascii="Times New Roman" w:eastAsia="Times New Roman" w:hAnsi="Times New Roman" w:cs="Times New Roman"/>
          <w:color w:val="000000"/>
          <w:sz w:val="20"/>
          <w:szCs w:val="20"/>
          <w:lang w:eastAsia="pt-BR"/>
        </w:rPr>
      </w:pPr>
      <w:r w:rsidRPr="00271BE3">
        <w:rPr>
          <w:rFonts w:ascii="Times New Roman" w:eastAsia="Times New Roman" w:hAnsi="Times New Roman" w:cs="Times New Roman"/>
          <w:sz w:val="20"/>
          <w:szCs w:val="20"/>
          <w:lang w:eastAsia="pt-BR"/>
        </w:rPr>
        <w:t>217. Ante o exposto, conclui-se que: (...) 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 (PARECER n. 00002, de 2021/CNMLC/CGU/AGU, NUP: 00688.000716, de 2019-43, sequencial 460).</w:t>
      </w:r>
      <w:r w:rsidRPr="00271BE3">
        <w:rPr>
          <w:rFonts w:ascii="Times New Roman" w:eastAsia="Times New Roman" w:hAnsi="Times New Roman" w:cs="Times New Roman"/>
          <w:color w:val="000000"/>
          <w:sz w:val="20"/>
          <w:szCs w:val="20"/>
          <w:lang w:eastAsia="pt-BR"/>
        </w:rPr>
        <w:t> </w:t>
      </w:r>
    </w:p>
    <w:p w14:paraId="1A214A09" w14:textId="59F8B799" w:rsidR="48AE80F7" w:rsidRPr="00271BE3" w:rsidRDefault="48AE80F7" w:rsidP="00952A35">
      <w:pPr>
        <w:spacing w:line="240" w:lineRule="auto"/>
        <w:ind w:left="1350"/>
        <w:jc w:val="both"/>
        <w:rPr>
          <w:rFonts w:ascii="Times New Roman" w:eastAsia="Calibri" w:hAnsi="Times New Roman" w:cs="Times New Roman"/>
          <w:i/>
          <w:iCs/>
          <w:sz w:val="24"/>
          <w:szCs w:val="24"/>
        </w:rPr>
      </w:pPr>
    </w:p>
    <w:p w14:paraId="3D6FEEAD" w14:textId="77777777" w:rsidR="001C1C94" w:rsidRDefault="001C1C94">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1148FF04" w14:textId="2529535D" w:rsidR="6B1AA30D" w:rsidRPr="00271BE3" w:rsidRDefault="0CCF3BB3" w:rsidP="00952A35">
      <w:pPr>
        <w:spacing w:line="240" w:lineRule="auto"/>
        <w:jc w:val="both"/>
        <w:rPr>
          <w:rFonts w:ascii="Times New Roman" w:eastAsia="Calibri" w:hAnsi="Times New Roman" w:cs="Times New Roman"/>
          <w:color w:val="000000" w:themeColor="text1"/>
          <w:sz w:val="24"/>
          <w:szCs w:val="24"/>
        </w:rPr>
      </w:pPr>
      <w:r w:rsidRPr="00576524">
        <w:rPr>
          <w:rFonts w:ascii="Times New Roman" w:eastAsia="Calibri" w:hAnsi="Times New Roman" w:cs="Times New Roman"/>
          <w:b/>
          <w:bCs/>
          <w:sz w:val="24"/>
          <w:szCs w:val="24"/>
        </w:rPr>
        <w:lastRenderedPageBreak/>
        <w:t xml:space="preserve">DA AUTORIZAÇÃO PARA A CELEBRAÇÃO DE NOVOS CONTRATOS E DAS </w:t>
      </w:r>
      <w:r w:rsidRPr="00271BE3">
        <w:rPr>
          <w:rFonts w:ascii="Times New Roman" w:eastAsia="Calibri" w:hAnsi="Times New Roman" w:cs="Times New Roman"/>
          <w:b/>
          <w:bCs/>
          <w:color w:val="000000" w:themeColor="text1"/>
          <w:sz w:val="24"/>
          <w:szCs w:val="24"/>
        </w:rPr>
        <w:t>NORMAS DE GOVERNANÇA</w:t>
      </w:r>
      <w:r w:rsidRPr="00271BE3">
        <w:rPr>
          <w:rFonts w:ascii="Times New Roman" w:eastAsia="Calibri" w:hAnsi="Times New Roman" w:cs="Times New Roman"/>
          <w:sz w:val="24"/>
          <w:szCs w:val="24"/>
        </w:rPr>
        <w:t xml:space="preserve"> </w:t>
      </w:r>
      <w:r w:rsidRPr="00271BE3">
        <w:rPr>
          <w:rFonts w:ascii="Times New Roman" w:eastAsia="Calibri" w:hAnsi="Times New Roman" w:cs="Times New Roman"/>
          <w:color w:val="000000" w:themeColor="text1"/>
          <w:sz w:val="24"/>
          <w:szCs w:val="24"/>
        </w:rPr>
        <w:t xml:space="preserve"> </w:t>
      </w:r>
    </w:p>
    <w:tbl>
      <w:tblPr>
        <w:tblW w:w="9062" w:type="dxa"/>
        <w:tblLayout w:type="fixed"/>
        <w:tblLook w:val="04A0" w:firstRow="1" w:lastRow="0" w:firstColumn="1" w:lastColumn="0" w:noHBand="0" w:noVBand="1"/>
      </w:tblPr>
      <w:tblGrid>
        <w:gridCol w:w="9062"/>
      </w:tblGrid>
      <w:tr w:rsidR="00E50999" w:rsidRPr="00271BE3" w14:paraId="678870E4" w14:textId="77777777" w:rsidTr="000F224A">
        <w:trPr>
          <w:trHeight w:val="300"/>
        </w:trPr>
        <w:tc>
          <w:tcPr>
            <w:tcW w:w="9062" w:type="dxa"/>
            <w:tcBorders>
              <w:top w:val="inset" w:sz="8" w:space="0" w:color="000000" w:themeColor="text1"/>
              <w:left w:val="inset" w:sz="8" w:space="0" w:color="000000" w:themeColor="text1"/>
              <w:bottom w:val="inset" w:sz="8" w:space="0" w:color="000000" w:themeColor="text1"/>
              <w:right w:val="inset" w:sz="8" w:space="0" w:color="000000" w:themeColor="text1"/>
            </w:tcBorders>
            <w:shd w:val="clear" w:color="auto" w:fill="FFFF00"/>
            <w:tcMar>
              <w:top w:w="30" w:type="dxa"/>
              <w:left w:w="30" w:type="dxa"/>
              <w:bottom w:w="30" w:type="dxa"/>
              <w:right w:w="30" w:type="dxa"/>
            </w:tcMar>
            <w:vAlign w:val="center"/>
          </w:tcPr>
          <w:p w14:paraId="273997FC" w14:textId="713AA982" w:rsidR="00E50999" w:rsidRPr="00271BE3" w:rsidRDefault="00E50999" w:rsidP="00952A35">
            <w:pPr>
              <w:spacing w:line="240" w:lineRule="auto"/>
              <w:jc w:val="both"/>
              <w:rPr>
                <w:rFonts w:ascii="Times New Roman" w:hAnsi="Times New Roman" w:cs="Times New Roman"/>
                <w:sz w:val="24"/>
                <w:szCs w:val="24"/>
              </w:rPr>
            </w:pPr>
            <w:r w:rsidRPr="00271BE3">
              <w:rPr>
                <w:rFonts w:ascii="Times New Roman" w:eastAsia="Calibri" w:hAnsi="Times New Roman" w:cs="Times New Roman"/>
                <w:b/>
                <w:bCs/>
                <w:i/>
                <w:iCs/>
                <w:color w:val="000000" w:themeColor="text1"/>
                <w:sz w:val="24"/>
                <w:szCs w:val="24"/>
              </w:rPr>
              <w:t>Nota Explicativa:</w:t>
            </w:r>
            <w:r w:rsidRPr="00271BE3">
              <w:rPr>
                <w:rFonts w:ascii="Times New Roman" w:eastAsia="Calibri" w:hAnsi="Times New Roman" w:cs="Times New Roman"/>
                <w:color w:val="000000" w:themeColor="text1"/>
                <w:sz w:val="24"/>
                <w:szCs w:val="24"/>
              </w:rPr>
              <w:t xml:space="preserve"> As disposições do Decreto n.</w:t>
            </w:r>
            <w:r w:rsidR="00E06A0E" w:rsidRPr="00271BE3">
              <w:rPr>
                <w:rFonts w:ascii="Times New Roman" w:eastAsia="Calibri" w:hAnsi="Times New Roman" w:cs="Times New Roman"/>
                <w:color w:val="000000" w:themeColor="text1"/>
                <w:sz w:val="24"/>
                <w:szCs w:val="24"/>
              </w:rPr>
              <w:t>º</w:t>
            </w:r>
            <w:r w:rsidRPr="00271BE3">
              <w:rPr>
                <w:rFonts w:ascii="Times New Roman" w:eastAsia="Calibri" w:hAnsi="Times New Roman" w:cs="Times New Roman"/>
                <w:color w:val="000000" w:themeColor="text1"/>
                <w:sz w:val="24"/>
                <w:szCs w:val="24"/>
              </w:rPr>
              <w:t xml:space="preserve"> 10.193</w:t>
            </w:r>
            <w:r w:rsidR="002E6F2B" w:rsidRPr="00271BE3">
              <w:rPr>
                <w:rFonts w:ascii="Times New Roman" w:eastAsia="Calibri" w:hAnsi="Times New Roman" w:cs="Times New Roman"/>
                <w:color w:val="000000" w:themeColor="text1"/>
                <w:sz w:val="24"/>
                <w:szCs w:val="24"/>
              </w:rPr>
              <w:t xml:space="preserve">, de </w:t>
            </w:r>
            <w:r w:rsidRPr="00271BE3">
              <w:rPr>
                <w:rFonts w:ascii="Times New Roman" w:eastAsia="Calibri" w:hAnsi="Times New Roman" w:cs="Times New Roman"/>
                <w:color w:val="000000" w:themeColor="text1"/>
                <w:sz w:val="24"/>
                <w:szCs w:val="24"/>
              </w:rPr>
              <w:t>2019</w:t>
            </w:r>
            <w:r w:rsidR="002E6F2B" w:rsidRPr="00271BE3">
              <w:rPr>
                <w:rFonts w:ascii="Times New Roman" w:eastAsia="Calibri" w:hAnsi="Times New Roman" w:cs="Times New Roman"/>
                <w:color w:val="000000" w:themeColor="text1"/>
                <w:sz w:val="24"/>
                <w:szCs w:val="24"/>
              </w:rPr>
              <w:t>,</w:t>
            </w:r>
            <w:r w:rsidRPr="00271BE3">
              <w:rPr>
                <w:rFonts w:ascii="Times New Roman" w:eastAsia="Calibri" w:hAnsi="Times New Roman" w:cs="Times New Roman"/>
                <w:color w:val="000000" w:themeColor="text1"/>
                <w:sz w:val="24"/>
                <w:szCs w:val="24"/>
              </w:rPr>
              <w:t xml:space="preserve"> não se aplicam às agências reguladoras, nos termos do art. 1º, parágrafo único, II</w:t>
            </w:r>
            <w:r w:rsidR="004A66B9" w:rsidRPr="00271BE3">
              <w:rPr>
                <w:rFonts w:ascii="Times New Roman" w:eastAsia="Calibri" w:hAnsi="Times New Roman" w:cs="Times New Roman"/>
                <w:color w:val="000000" w:themeColor="text1"/>
                <w:sz w:val="24"/>
                <w:szCs w:val="24"/>
              </w:rPr>
              <w:t>.</w:t>
            </w:r>
          </w:p>
        </w:tc>
      </w:tr>
    </w:tbl>
    <w:p w14:paraId="1199E38E" w14:textId="77777777" w:rsidR="00271BE3" w:rsidRDefault="00271BE3" w:rsidP="00952A35">
      <w:pPr>
        <w:spacing w:line="240" w:lineRule="auto"/>
        <w:jc w:val="both"/>
        <w:rPr>
          <w:rFonts w:ascii="Times New Roman" w:eastAsia="Calibri" w:hAnsi="Times New Roman" w:cs="Times New Roman"/>
          <w:color w:val="FF0000"/>
          <w:sz w:val="24"/>
          <w:szCs w:val="24"/>
        </w:rPr>
      </w:pPr>
    </w:p>
    <w:p w14:paraId="366185CD" w14:textId="74EF0B85" w:rsidR="6B1AA30D" w:rsidRPr="00271BE3" w:rsidRDefault="0CCF3BB3" w:rsidP="00952A35">
      <w:pPr>
        <w:spacing w:after="0" w:line="240" w:lineRule="auto"/>
        <w:jc w:val="both"/>
        <w:rPr>
          <w:rFonts w:ascii="Times New Roman" w:eastAsia="Calibri" w:hAnsi="Times New Roman" w:cs="Times New Roman"/>
          <w:color w:val="FF0000"/>
          <w:sz w:val="24"/>
          <w:szCs w:val="24"/>
          <w:highlight w:val="cyan"/>
        </w:rPr>
      </w:pPr>
      <w:r w:rsidRPr="00271BE3">
        <w:rPr>
          <w:rFonts w:ascii="Times New Roman" w:eastAsia="Calibri" w:hAnsi="Times New Roman" w:cs="Times New Roman"/>
          <w:color w:val="FF0000"/>
          <w:sz w:val="24"/>
          <w:szCs w:val="24"/>
        </w:rPr>
        <w:t xml:space="preserve">Para atividades de custeio, deve a Administração Pública comprovar que foi obtida autorização para celebração de contrato prevista no art. 3º do </w:t>
      </w:r>
      <w:r w:rsidR="008E688F" w:rsidRPr="00271BE3">
        <w:rPr>
          <w:rFonts w:ascii="Times New Roman" w:eastAsia="Calibri" w:hAnsi="Times New Roman" w:cs="Times New Roman"/>
          <w:color w:val="FF0000"/>
          <w:sz w:val="24"/>
          <w:szCs w:val="24"/>
        </w:rPr>
        <w:t>Decreto</w:t>
      </w:r>
      <w:r w:rsidRPr="00271BE3">
        <w:rPr>
          <w:rFonts w:ascii="Times New Roman" w:eastAsia="Calibri" w:hAnsi="Times New Roman" w:cs="Times New Roman"/>
          <w:color w:val="FF0000"/>
          <w:sz w:val="24"/>
          <w:szCs w:val="24"/>
        </w:rPr>
        <w:t xml:space="preserve"> </w:t>
      </w:r>
      <w:r w:rsidR="008E688F" w:rsidRPr="00271BE3">
        <w:rPr>
          <w:rFonts w:ascii="Times New Roman" w:eastAsia="Calibri" w:hAnsi="Times New Roman" w:cs="Times New Roman"/>
          <w:color w:val="FF0000"/>
          <w:sz w:val="24"/>
          <w:szCs w:val="24"/>
        </w:rPr>
        <w:t>n</w:t>
      </w:r>
      <w:r w:rsidRPr="00271BE3">
        <w:rPr>
          <w:rFonts w:ascii="Times New Roman" w:eastAsia="Calibri" w:hAnsi="Times New Roman" w:cs="Times New Roman"/>
          <w:color w:val="FF0000"/>
          <w:sz w:val="24"/>
          <w:szCs w:val="24"/>
        </w:rPr>
        <w:t xml:space="preserve">º 10.193, </w:t>
      </w:r>
      <w:r w:rsidR="008E688F" w:rsidRPr="00271BE3">
        <w:rPr>
          <w:rFonts w:ascii="Times New Roman" w:eastAsia="Calibri" w:hAnsi="Times New Roman" w:cs="Times New Roman"/>
          <w:color w:val="FF0000"/>
          <w:sz w:val="24"/>
          <w:szCs w:val="24"/>
        </w:rPr>
        <w:t xml:space="preserve">de </w:t>
      </w:r>
      <w:r w:rsidRPr="00271BE3">
        <w:rPr>
          <w:rFonts w:ascii="Times New Roman" w:eastAsia="Calibri" w:hAnsi="Times New Roman" w:cs="Times New Roman"/>
          <w:color w:val="FF0000"/>
          <w:sz w:val="24"/>
          <w:szCs w:val="24"/>
        </w:rPr>
        <w:t xml:space="preserve">2019. A </w:t>
      </w:r>
      <w:hyperlink r:id="rId30">
        <w:r w:rsidRPr="00271BE3">
          <w:rPr>
            <w:rStyle w:val="Hyperlink"/>
            <w:rFonts w:ascii="Times New Roman" w:eastAsia="Calibri" w:hAnsi="Times New Roman" w:cs="Times New Roman"/>
            <w:color w:val="FF0000"/>
            <w:sz w:val="24"/>
            <w:szCs w:val="24"/>
            <w:u w:val="none"/>
          </w:rPr>
          <w:t>P</w:t>
        </w:r>
        <w:r w:rsidR="00C52604" w:rsidRPr="00271BE3">
          <w:rPr>
            <w:rStyle w:val="Hyperlink"/>
            <w:rFonts w:ascii="Times New Roman" w:eastAsia="Calibri" w:hAnsi="Times New Roman" w:cs="Times New Roman"/>
            <w:color w:val="FF0000"/>
            <w:sz w:val="24"/>
            <w:szCs w:val="24"/>
            <w:u w:val="none"/>
          </w:rPr>
          <w:t>ortaria</w:t>
        </w:r>
        <w:r w:rsidRPr="00271BE3">
          <w:rPr>
            <w:rStyle w:val="Hyperlink"/>
            <w:rFonts w:ascii="Times New Roman" w:eastAsia="Calibri" w:hAnsi="Times New Roman" w:cs="Times New Roman"/>
            <w:color w:val="FF0000"/>
            <w:sz w:val="24"/>
            <w:szCs w:val="24"/>
            <w:u w:val="none"/>
          </w:rPr>
          <w:t xml:space="preserve"> ME </w:t>
        </w:r>
        <w:r w:rsidR="00197CAC" w:rsidRPr="00271BE3">
          <w:rPr>
            <w:rStyle w:val="Hyperlink"/>
            <w:rFonts w:ascii="Times New Roman" w:eastAsia="Calibri" w:hAnsi="Times New Roman" w:cs="Times New Roman"/>
            <w:color w:val="FF0000"/>
            <w:sz w:val="24"/>
            <w:szCs w:val="24"/>
            <w:u w:val="none"/>
          </w:rPr>
          <w:t>nº</w:t>
        </w:r>
        <w:r w:rsidRPr="00271BE3">
          <w:rPr>
            <w:rStyle w:val="Hyperlink"/>
            <w:rFonts w:ascii="Times New Roman" w:eastAsia="Calibri" w:hAnsi="Times New Roman" w:cs="Times New Roman"/>
            <w:color w:val="FF0000"/>
            <w:sz w:val="24"/>
            <w:szCs w:val="24"/>
            <w:u w:val="none"/>
          </w:rPr>
          <w:t xml:space="preserve"> 7.828, de 30 de agosto de 2022</w:t>
        </w:r>
      </w:hyperlink>
      <w:r w:rsidRPr="00271BE3">
        <w:rPr>
          <w:rFonts w:ascii="Times New Roman" w:eastAsia="Calibri" w:hAnsi="Times New Roman" w:cs="Times New Roman"/>
          <w:color w:val="FF0000"/>
          <w:sz w:val="24"/>
          <w:szCs w:val="24"/>
        </w:rPr>
        <w:t xml:space="preserve">, estabelece normas complementares para o cumprimento do Decreto nº 10.193, de 2019. </w:t>
      </w:r>
      <w:r w:rsidRPr="00271BE3">
        <w:rPr>
          <w:rFonts w:ascii="Times New Roman" w:eastAsia="Calibri" w:hAnsi="Times New Roman" w:cs="Times New Roman"/>
          <w:color w:val="FF0000"/>
          <w:sz w:val="24"/>
          <w:szCs w:val="24"/>
          <w:highlight w:val="cyan"/>
        </w:rPr>
        <w:t xml:space="preserve">Tal providência encontra-se atendida às fls. XXX/no doc. SEI n. XXX. </w:t>
      </w:r>
    </w:p>
    <w:p w14:paraId="392F51FE" w14:textId="7EF61A0D" w:rsidR="6B1AA30D" w:rsidRPr="00271BE3" w:rsidRDefault="6B1AA30D" w:rsidP="00952A35">
      <w:pPr>
        <w:spacing w:after="0" w:line="240" w:lineRule="auto"/>
        <w:ind w:hanging="1440"/>
        <w:jc w:val="both"/>
        <w:rPr>
          <w:rFonts w:ascii="Times New Roman" w:eastAsia="Calibri" w:hAnsi="Times New Roman" w:cs="Times New Roman"/>
          <w:color w:val="FF0000"/>
          <w:sz w:val="24"/>
          <w:szCs w:val="24"/>
          <w:highlight w:val="cyan"/>
        </w:rPr>
      </w:pPr>
      <w:r w:rsidRPr="594C5555">
        <w:rPr>
          <w:rFonts w:ascii="Times New Roman" w:eastAsia="Calibri" w:hAnsi="Times New Roman" w:cs="Times New Roman"/>
          <w:color w:val="FFFFFF" w:themeColor="background1"/>
          <w:sz w:val="24"/>
          <w:szCs w:val="24"/>
        </w:rPr>
        <w:t xml:space="preserve">                     </w:t>
      </w:r>
      <w:r>
        <w:tab/>
      </w:r>
      <w:r w:rsidR="00C7461B">
        <w:tab/>
      </w:r>
      <w:r w:rsidRPr="594C5555">
        <w:rPr>
          <w:rFonts w:ascii="Times New Roman" w:eastAsia="Calibri" w:hAnsi="Times New Roman" w:cs="Times New Roman"/>
          <w:b/>
          <w:bCs/>
          <w:color w:val="FF0000"/>
          <w:sz w:val="24"/>
          <w:szCs w:val="24"/>
          <w:highlight w:val="cyan"/>
          <w:u w:val="single"/>
        </w:rPr>
        <w:t>OU</w:t>
      </w:r>
    </w:p>
    <w:p w14:paraId="7B72E5C6" w14:textId="38C5A691" w:rsidR="0CCF3BB3" w:rsidRPr="00271BE3" w:rsidRDefault="0CCF3BB3" w:rsidP="00C7461B">
      <w:pPr>
        <w:spacing w:after="0" w:line="240" w:lineRule="auto"/>
        <w:ind w:firstLine="708"/>
        <w:jc w:val="both"/>
        <w:rPr>
          <w:rFonts w:ascii="Times New Roman" w:hAnsi="Times New Roman" w:cs="Times New Roman"/>
          <w:color w:val="FF0000"/>
          <w:sz w:val="24"/>
          <w:szCs w:val="24"/>
        </w:rPr>
      </w:pPr>
      <w:r w:rsidRPr="594C5555">
        <w:rPr>
          <w:rFonts w:ascii="Times New Roman" w:eastAsia="Calibri" w:hAnsi="Times New Roman" w:cs="Times New Roman"/>
          <w:color w:val="FF0000"/>
          <w:sz w:val="24"/>
          <w:szCs w:val="24"/>
          <w:highlight w:val="cyan"/>
        </w:rPr>
        <w:t>Tal providência deve ser juntada aos autos até antes da efetiva contratação</w:t>
      </w:r>
      <w:r w:rsidR="00B47C26" w:rsidRPr="594C5555">
        <w:rPr>
          <w:rFonts w:ascii="Times New Roman" w:eastAsia="Calibri" w:hAnsi="Times New Roman" w:cs="Times New Roman"/>
          <w:color w:val="FF0000"/>
          <w:sz w:val="24"/>
          <w:szCs w:val="24"/>
          <w:highlight w:val="cyan"/>
        </w:rPr>
        <w:t xml:space="preserve"> </w:t>
      </w:r>
      <w:r w:rsidRPr="594C5555">
        <w:rPr>
          <w:rFonts w:ascii="Times New Roman" w:eastAsia="Calibri" w:hAnsi="Times New Roman" w:cs="Times New Roman"/>
          <w:color w:val="FF0000"/>
          <w:sz w:val="24"/>
          <w:szCs w:val="24"/>
          <w:highlight w:val="cyan"/>
        </w:rPr>
        <w:t>(</w:t>
      </w:r>
      <w:r w:rsidR="00B33F62" w:rsidRPr="594C5555">
        <w:rPr>
          <w:rFonts w:ascii="Times New Roman" w:eastAsia="Calibri" w:hAnsi="Times New Roman" w:cs="Times New Roman"/>
          <w:color w:val="FF0000"/>
          <w:sz w:val="24"/>
          <w:szCs w:val="24"/>
          <w:highlight w:val="cyan"/>
        </w:rPr>
        <w:t>art.</w:t>
      </w:r>
      <w:r w:rsidRPr="594C5555">
        <w:rPr>
          <w:rFonts w:ascii="Times New Roman" w:eastAsia="Calibri" w:hAnsi="Times New Roman" w:cs="Times New Roman"/>
          <w:color w:val="FF0000"/>
          <w:sz w:val="24"/>
          <w:szCs w:val="24"/>
          <w:highlight w:val="cyan"/>
        </w:rPr>
        <w:t xml:space="preserve"> 3º, da </w:t>
      </w:r>
      <w:hyperlink r:id="rId31">
        <w:r w:rsidRPr="594C5555">
          <w:rPr>
            <w:rStyle w:val="Hyperlink"/>
            <w:rFonts w:ascii="Times New Roman" w:eastAsia="Calibri" w:hAnsi="Times New Roman" w:cs="Times New Roman"/>
            <w:color w:val="FF0000"/>
            <w:sz w:val="24"/>
            <w:szCs w:val="24"/>
            <w:highlight w:val="cyan"/>
            <w:u w:val="none"/>
          </w:rPr>
          <w:t>P</w:t>
        </w:r>
        <w:r w:rsidR="0008116B" w:rsidRPr="594C5555">
          <w:rPr>
            <w:rStyle w:val="Hyperlink"/>
            <w:rFonts w:ascii="Times New Roman" w:eastAsia="Calibri" w:hAnsi="Times New Roman" w:cs="Times New Roman"/>
            <w:color w:val="FF0000"/>
            <w:sz w:val="24"/>
            <w:szCs w:val="24"/>
            <w:highlight w:val="cyan"/>
            <w:u w:val="none"/>
          </w:rPr>
          <w:t>ortaria</w:t>
        </w:r>
        <w:r w:rsidRPr="594C5555">
          <w:rPr>
            <w:rStyle w:val="Hyperlink"/>
            <w:rFonts w:ascii="Times New Roman" w:eastAsia="Calibri" w:hAnsi="Times New Roman" w:cs="Times New Roman"/>
            <w:color w:val="FF0000"/>
            <w:sz w:val="24"/>
            <w:szCs w:val="24"/>
            <w:highlight w:val="cyan"/>
            <w:u w:val="none"/>
          </w:rPr>
          <w:t xml:space="preserve"> ME </w:t>
        </w:r>
        <w:r w:rsidR="00197CAC" w:rsidRPr="594C5555">
          <w:rPr>
            <w:rStyle w:val="Hyperlink"/>
            <w:rFonts w:ascii="Times New Roman" w:eastAsia="Calibri" w:hAnsi="Times New Roman" w:cs="Times New Roman"/>
            <w:color w:val="FF0000"/>
            <w:sz w:val="24"/>
            <w:szCs w:val="24"/>
            <w:highlight w:val="cyan"/>
            <w:u w:val="none"/>
          </w:rPr>
          <w:t>nº</w:t>
        </w:r>
        <w:r w:rsidRPr="594C5555">
          <w:rPr>
            <w:rStyle w:val="Hyperlink"/>
            <w:rFonts w:ascii="Times New Roman" w:eastAsia="Calibri" w:hAnsi="Times New Roman" w:cs="Times New Roman"/>
            <w:color w:val="FF0000"/>
            <w:sz w:val="24"/>
            <w:szCs w:val="24"/>
            <w:highlight w:val="cyan"/>
            <w:u w:val="none"/>
          </w:rPr>
          <w:t xml:space="preserve"> 7.828, de 30 de agosto de 2022</w:t>
        </w:r>
      </w:hyperlink>
      <w:r w:rsidRPr="594C5555">
        <w:rPr>
          <w:rFonts w:ascii="Times New Roman" w:eastAsia="Calibri" w:hAnsi="Times New Roman" w:cs="Times New Roman"/>
          <w:color w:val="FF0000"/>
          <w:sz w:val="24"/>
          <w:szCs w:val="24"/>
          <w:highlight w:val="cyan"/>
        </w:rPr>
        <w:t>).</w:t>
      </w:r>
    </w:p>
    <w:p w14:paraId="5F2F6767" w14:textId="0FA16EBE" w:rsidR="64660B45" w:rsidRPr="00271BE3" w:rsidRDefault="64660B45" w:rsidP="00952A35">
      <w:pPr>
        <w:spacing w:after="0" w:line="240" w:lineRule="auto"/>
        <w:jc w:val="both"/>
        <w:rPr>
          <w:rFonts w:ascii="Times New Roman" w:eastAsia="Calibri" w:hAnsi="Times New Roman" w:cs="Times New Roman"/>
          <w:color w:val="FF0000"/>
          <w:sz w:val="24"/>
          <w:szCs w:val="24"/>
        </w:rPr>
      </w:pPr>
    </w:p>
    <w:p w14:paraId="4B20E922" w14:textId="3D60B863" w:rsidR="6B1AA30D" w:rsidRDefault="0CCF3BB3" w:rsidP="00952A35">
      <w:pPr>
        <w:spacing w:after="0" w:line="240" w:lineRule="auto"/>
        <w:jc w:val="both"/>
        <w:rPr>
          <w:rFonts w:ascii="Times New Roman" w:eastAsia="Calibri" w:hAnsi="Times New Roman" w:cs="Times New Roman"/>
          <w:color w:val="FF0000"/>
          <w:sz w:val="24"/>
          <w:szCs w:val="24"/>
        </w:rPr>
      </w:pPr>
      <w:r w:rsidRPr="00271BE3">
        <w:rPr>
          <w:rFonts w:ascii="Times New Roman" w:eastAsia="Calibri" w:hAnsi="Times New Roman" w:cs="Times New Roman"/>
          <w:color w:val="FF0000"/>
          <w:sz w:val="24"/>
          <w:szCs w:val="24"/>
        </w:rPr>
        <w:t>Ressalte-se que a Administração deve certificar-se da obediência às regras internas de competência para autorização da presente contratação.</w:t>
      </w:r>
    </w:p>
    <w:p w14:paraId="04968485" w14:textId="77777777" w:rsidR="00952A35" w:rsidRPr="00271BE3" w:rsidRDefault="00952A35" w:rsidP="00952A35">
      <w:pPr>
        <w:spacing w:after="0" w:line="240" w:lineRule="auto"/>
        <w:jc w:val="both"/>
        <w:rPr>
          <w:rFonts w:ascii="Times New Roman" w:eastAsia="Calibri" w:hAnsi="Times New Roman" w:cs="Times New Roman"/>
          <w:color w:val="FF0000"/>
          <w:sz w:val="24"/>
          <w:szCs w:val="24"/>
        </w:rPr>
      </w:pPr>
    </w:p>
    <w:p w14:paraId="2755C26C" w14:textId="1E87AC7B" w:rsidR="6B1AA30D" w:rsidRPr="00271BE3" w:rsidRDefault="1F1D86AD" w:rsidP="00952A35">
      <w:pPr>
        <w:spacing w:after="0" w:line="240" w:lineRule="auto"/>
        <w:jc w:val="both"/>
        <w:rPr>
          <w:rFonts w:ascii="Times New Roman" w:eastAsia="Calibri" w:hAnsi="Times New Roman" w:cs="Times New Roman"/>
          <w:color w:val="FF0000"/>
          <w:sz w:val="24"/>
          <w:szCs w:val="24"/>
        </w:rPr>
      </w:pPr>
      <w:r w:rsidRPr="00271BE3">
        <w:rPr>
          <w:rFonts w:ascii="Times New Roman" w:eastAsia="Calibri" w:hAnsi="Times New Roman" w:cs="Times New Roman"/>
          <w:color w:val="000000" w:themeColor="text1"/>
          <w:sz w:val="24"/>
          <w:szCs w:val="24"/>
        </w:rPr>
        <w:t>Deverá ser atestado nos autos que a presente contratação está contemplada no Plano de Contratações Anual da entidade e alinhada com o Plano Diretor de Logística Sustentável, além de outros instrumentos de planejamento da Administração (</w:t>
      </w:r>
      <w:r w:rsidR="001D246D" w:rsidRPr="00271BE3">
        <w:rPr>
          <w:rFonts w:ascii="Times New Roman" w:eastAsia="Calibri" w:hAnsi="Times New Roman" w:cs="Times New Roman"/>
          <w:sz w:val="24"/>
          <w:szCs w:val="24"/>
        </w:rPr>
        <w:t>Decreto n</w:t>
      </w:r>
      <w:r w:rsidRPr="00271BE3">
        <w:rPr>
          <w:rFonts w:ascii="Times New Roman" w:eastAsia="Calibri" w:hAnsi="Times New Roman" w:cs="Times New Roman"/>
          <w:sz w:val="24"/>
          <w:szCs w:val="24"/>
        </w:rPr>
        <w:t xml:space="preserve">º 10.947, </w:t>
      </w:r>
      <w:r w:rsidR="001D246D" w:rsidRPr="00271BE3">
        <w:rPr>
          <w:rFonts w:ascii="Times New Roman" w:eastAsia="Calibri" w:hAnsi="Times New Roman" w:cs="Times New Roman"/>
          <w:sz w:val="24"/>
          <w:szCs w:val="24"/>
        </w:rPr>
        <w:t xml:space="preserve">de </w:t>
      </w:r>
      <w:r w:rsidRPr="00271BE3">
        <w:rPr>
          <w:rFonts w:ascii="Times New Roman" w:eastAsia="Calibri" w:hAnsi="Times New Roman" w:cs="Times New Roman"/>
          <w:sz w:val="24"/>
          <w:szCs w:val="24"/>
        </w:rPr>
        <w:t>2022,</w:t>
      </w:r>
      <w:r w:rsidRPr="00271BE3">
        <w:rPr>
          <w:rFonts w:ascii="Times New Roman" w:eastAsia="Calibri" w:hAnsi="Times New Roman" w:cs="Times New Roman"/>
          <w:color w:val="000000" w:themeColor="text1"/>
          <w:sz w:val="24"/>
          <w:szCs w:val="24"/>
        </w:rPr>
        <w:t xml:space="preserve"> art. 7º da IN SEGES/ME nº 81</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 xml:space="preserve">22 e Portaria SEGES/ME nº 8.678, de 19 de julho de 2021). </w:t>
      </w:r>
      <w:r w:rsidRPr="00271BE3">
        <w:rPr>
          <w:rFonts w:ascii="Times New Roman" w:eastAsia="Calibri" w:hAnsi="Times New Roman" w:cs="Times New Roman"/>
          <w:color w:val="FF0000"/>
          <w:sz w:val="24"/>
          <w:szCs w:val="24"/>
          <w:highlight w:val="cyan"/>
        </w:rPr>
        <w:t>Tal providência encontra-se atendida às fls. XXX/no doc. SEI n. XXX.</w:t>
      </w:r>
      <w:r w:rsidRPr="00271BE3">
        <w:rPr>
          <w:rFonts w:ascii="Times New Roman" w:eastAsia="Calibri" w:hAnsi="Times New Roman" w:cs="Times New Roman"/>
          <w:color w:val="FF0000"/>
          <w:sz w:val="24"/>
          <w:szCs w:val="24"/>
        </w:rPr>
        <w:t xml:space="preserve"> </w:t>
      </w:r>
    </w:p>
    <w:p w14:paraId="5EEAE3BE" w14:textId="5857B130" w:rsidR="6B1AA30D" w:rsidRPr="00271BE3" w:rsidRDefault="6B1AA30D" w:rsidP="00952A35">
      <w:pPr>
        <w:spacing w:after="0" w:line="240" w:lineRule="auto"/>
        <w:ind w:firstLine="709"/>
        <w:jc w:val="both"/>
        <w:rPr>
          <w:rFonts w:ascii="Times New Roman" w:hAnsi="Times New Roman" w:cs="Times New Roman"/>
          <w:sz w:val="24"/>
          <w:szCs w:val="24"/>
        </w:rPr>
      </w:pPr>
      <w:r w:rsidRPr="00271BE3">
        <w:rPr>
          <w:rFonts w:ascii="Times New Roman" w:eastAsia="Calibri" w:hAnsi="Times New Roman" w:cs="Times New Roman"/>
          <w:b/>
          <w:bCs/>
          <w:color w:val="000000" w:themeColor="text1"/>
          <w:sz w:val="24"/>
          <w:szCs w:val="24"/>
          <w:highlight w:val="cyan"/>
          <w:u w:val="single"/>
        </w:rPr>
        <w:t>OU</w:t>
      </w:r>
      <w:r w:rsidRPr="00271BE3">
        <w:rPr>
          <w:rFonts w:ascii="Times New Roman" w:eastAsia="Calibri" w:hAnsi="Times New Roman" w:cs="Times New Roman"/>
          <w:color w:val="FF0000"/>
          <w:sz w:val="24"/>
          <w:szCs w:val="24"/>
          <w:highlight w:val="cyan"/>
        </w:rPr>
        <w:t xml:space="preserve"> </w:t>
      </w:r>
    </w:p>
    <w:p w14:paraId="438838E4" w14:textId="5620C525" w:rsidR="6B1AA30D" w:rsidRPr="00271BE3" w:rsidRDefault="1F1D86AD" w:rsidP="00C7461B">
      <w:pPr>
        <w:spacing w:after="0" w:line="240" w:lineRule="auto"/>
        <w:ind w:firstLine="708"/>
        <w:jc w:val="both"/>
        <w:rPr>
          <w:rFonts w:ascii="Times New Roman" w:eastAsia="Calibri" w:hAnsi="Times New Roman" w:cs="Times New Roman"/>
          <w:color w:val="000000" w:themeColor="text1"/>
          <w:sz w:val="24"/>
          <w:szCs w:val="24"/>
        </w:rPr>
      </w:pPr>
      <w:r w:rsidRPr="594C5555">
        <w:rPr>
          <w:rFonts w:ascii="Times New Roman" w:eastAsia="Calibri" w:hAnsi="Times New Roman" w:cs="Times New Roman"/>
          <w:color w:val="FF0000"/>
          <w:sz w:val="24"/>
          <w:szCs w:val="24"/>
          <w:highlight w:val="cyan"/>
        </w:rPr>
        <w:t xml:space="preserve">Tal providência </w:t>
      </w:r>
      <w:r w:rsidRPr="594C5555">
        <w:rPr>
          <w:rFonts w:ascii="Times New Roman" w:eastAsia="Calibri" w:hAnsi="Times New Roman" w:cs="Times New Roman"/>
          <w:color w:val="FF0000"/>
          <w:sz w:val="24"/>
          <w:szCs w:val="24"/>
          <w:highlight w:val="cyan"/>
          <w:u w:val="single"/>
        </w:rPr>
        <w:t>não se encontra completamente atendida nos autos</w:t>
      </w:r>
      <w:r w:rsidRPr="594C5555">
        <w:rPr>
          <w:rFonts w:ascii="Times New Roman" w:eastAsia="Calibri" w:hAnsi="Times New Roman" w:cs="Times New Roman"/>
          <w:color w:val="FF0000"/>
          <w:sz w:val="24"/>
          <w:szCs w:val="24"/>
          <w:highlight w:val="cyan"/>
        </w:rPr>
        <w:t xml:space="preserve">, logo </w:t>
      </w:r>
      <w:r w:rsidRPr="594C5555">
        <w:rPr>
          <w:rFonts w:ascii="Times New Roman" w:eastAsia="Calibri" w:hAnsi="Times New Roman" w:cs="Times New Roman"/>
          <w:color w:val="FF0000"/>
          <w:sz w:val="24"/>
          <w:szCs w:val="24"/>
          <w:highlight w:val="cyan"/>
          <w:u w:val="single"/>
        </w:rPr>
        <w:t>recomenda-se</w:t>
      </w:r>
      <w:r w:rsidRPr="594C5555">
        <w:rPr>
          <w:rFonts w:ascii="Times New Roman" w:eastAsia="Calibri" w:hAnsi="Times New Roman" w:cs="Times New Roman"/>
          <w:color w:val="FF0000"/>
          <w:sz w:val="24"/>
          <w:szCs w:val="24"/>
          <w:highlight w:val="cyan"/>
        </w:rPr>
        <w:t xml:space="preserve"> que a Administração ateste que a presente contratação está contemplada no Plano de Contratações Anual do ente </w:t>
      </w:r>
      <w:r w:rsidRPr="594C5555">
        <w:rPr>
          <w:rFonts w:ascii="Times New Roman" w:eastAsia="Calibri" w:hAnsi="Times New Roman" w:cs="Times New Roman"/>
          <w:b/>
          <w:bCs/>
          <w:color w:val="FF0000"/>
          <w:sz w:val="24"/>
          <w:szCs w:val="24"/>
          <w:highlight w:val="cyan"/>
          <w:u w:val="single"/>
        </w:rPr>
        <w:t>E/OU</w:t>
      </w:r>
      <w:r w:rsidRPr="594C5555">
        <w:rPr>
          <w:rFonts w:ascii="Times New Roman" w:eastAsia="Calibri" w:hAnsi="Times New Roman" w:cs="Times New Roman"/>
          <w:color w:val="FF0000"/>
          <w:sz w:val="24"/>
          <w:szCs w:val="24"/>
          <w:highlight w:val="cyan"/>
        </w:rPr>
        <w:t xml:space="preserve"> está alinhada com o Plano Diretor de Logística Sustentável</w:t>
      </w:r>
      <w:r w:rsidRPr="594C5555">
        <w:rPr>
          <w:rFonts w:ascii="Times New Roman" w:eastAsia="Calibri" w:hAnsi="Times New Roman" w:cs="Times New Roman"/>
          <w:color w:val="FF0000"/>
          <w:sz w:val="24"/>
          <w:szCs w:val="24"/>
        </w:rPr>
        <w:t>.</w:t>
      </w:r>
      <w:r w:rsidRPr="594C5555">
        <w:rPr>
          <w:rFonts w:ascii="Times New Roman" w:eastAsia="Calibri" w:hAnsi="Times New Roman" w:cs="Times New Roman"/>
          <w:color w:val="000000" w:themeColor="text1"/>
          <w:sz w:val="24"/>
          <w:szCs w:val="24"/>
        </w:rPr>
        <w:t xml:space="preserve"> </w:t>
      </w:r>
    </w:p>
    <w:p w14:paraId="4251D6CE" w14:textId="41F25B14" w:rsidR="3BB4FC71" w:rsidRPr="00271BE3" w:rsidRDefault="3BB4FC71" w:rsidP="00952A35">
      <w:pPr>
        <w:spacing w:after="0" w:line="240" w:lineRule="auto"/>
        <w:ind w:firstLine="1440"/>
        <w:jc w:val="both"/>
        <w:rPr>
          <w:rFonts w:ascii="Times New Roman" w:eastAsia="Calibri" w:hAnsi="Times New Roman" w:cs="Times New Roman"/>
          <w:color w:val="000000" w:themeColor="text1"/>
          <w:sz w:val="24"/>
          <w:szCs w:val="24"/>
        </w:rPr>
      </w:pPr>
    </w:p>
    <w:p w14:paraId="2ACA22D7" w14:textId="157B0BF3" w:rsidR="6B1AA30D" w:rsidRPr="00271BE3" w:rsidRDefault="0CCF3BB3" w:rsidP="00952A35">
      <w:pPr>
        <w:spacing w:after="0" w:line="240" w:lineRule="auto"/>
        <w:jc w:val="both"/>
        <w:rPr>
          <w:rFonts w:ascii="Times New Roman" w:eastAsia="Calibri" w:hAnsi="Times New Roman" w:cs="Times New Roman"/>
          <w:color w:val="000000" w:themeColor="text1"/>
          <w:sz w:val="24"/>
          <w:szCs w:val="24"/>
          <w:highlight w:val="cyan"/>
        </w:rPr>
      </w:pPr>
      <w:r w:rsidRPr="00271BE3">
        <w:rPr>
          <w:rFonts w:ascii="Times New Roman" w:eastAsia="Calibri" w:hAnsi="Times New Roman" w:cs="Times New Roman"/>
          <w:color w:val="000000" w:themeColor="text1"/>
          <w:sz w:val="24"/>
          <w:szCs w:val="24"/>
          <w:highlight w:val="cyan"/>
        </w:rPr>
        <w:t xml:space="preserve">Por fim, deve manifestar-se sobre a essencialidade e o interesse público da contratação, para os fins do previsto no art. 3º do </w:t>
      </w:r>
      <w:r w:rsidR="001D246D" w:rsidRPr="00271BE3">
        <w:rPr>
          <w:rFonts w:ascii="Times New Roman" w:eastAsia="Calibri" w:hAnsi="Times New Roman" w:cs="Times New Roman"/>
          <w:sz w:val="24"/>
          <w:szCs w:val="24"/>
          <w:highlight w:val="cyan"/>
        </w:rPr>
        <w:t>Decreto n</w:t>
      </w:r>
      <w:r w:rsidRPr="00271BE3">
        <w:rPr>
          <w:rFonts w:ascii="Times New Roman" w:eastAsia="Calibri" w:hAnsi="Times New Roman" w:cs="Times New Roman"/>
          <w:sz w:val="24"/>
          <w:szCs w:val="24"/>
          <w:highlight w:val="cyan"/>
        </w:rPr>
        <w:t xml:space="preserve">º 8.540, </w:t>
      </w:r>
      <w:r w:rsidR="001D246D" w:rsidRPr="00271BE3">
        <w:rPr>
          <w:rFonts w:ascii="Times New Roman" w:eastAsia="Calibri" w:hAnsi="Times New Roman" w:cs="Times New Roman"/>
          <w:sz w:val="24"/>
          <w:szCs w:val="24"/>
          <w:highlight w:val="cyan"/>
        </w:rPr>
        <w:t xml:space="preserve">de </w:t>
      </w:r>
      <w:r w:rsidRPr="00271BE3">
        <w:rPr>
          <w:rFonts w:ascii="Times New Roman" w:eastAsia="Calibri" w:hAnsi="Times New Roman" w:cs="Times New Roman"/>
          <w:sz w:val="24"/>
          <w:szCs w:val="24"/>
          <w:highlight w:val="cyan"/>
        </w:rPr>
        <w:t>2015</w:t>
      </w:r>
      <w:r w:rsidRPr="00271BE3">
        <w:rPr>
          <w:rFonts w:ascii="Times New Roman" w:eastAsia="Calibri" w:hAnsi="Times New Roman" w:cs="Times New Roman"/>
          <w:color w:val="000000" w:themeColor="text1"/>
          <w:sz w:val="24"/>
          <w:szCs w:val="24"/>
          <w:highlight w:val="cyan"/>
        </w:rPr>
        <w:t>.</w:t>
      </w:r>
    </w:p>
    <w:p w14:paraId="356F1F1F" w14:textId="3D9C31FE" w:rsidR="6B1AA30D" w:rsidRPr="00271BE3" w:rsidRDefault="6B1AA30D" w:rsidP="00952A35">
      <w:pPr>
        <w:spacing w:after="0" w:line="240" w:lineRule="auto"/>
        <w:ind w:firstLine="708"/>
        <w:jc w:val="both"/>
        <w:rPr>
          <w:rFonts w:ascii="Times New Roman" w:hAnsi="Times New Roman" w:cs="Times New Roman"/>
          <w:sz w:val="24"/>
          <w:szCs w:val="24"/>
        </w:rPr>
      </w:pPr>
      <w:r w:rsidRPr="00271BE3">
        <w:rPr>
          <w:rFonts w:ascii="Times New Roman" w:eastAsia="Calibri" w:hAnsi="Times New Roman" w:cs="Times New Roman"/>
          <w:b/>
          <w:bCs/>
          <w:color w:val="000000" w:themeColor="text1"/>
          <w:sz w:val="24"/>
          <w:szCs w:val="24"/>
          <w:highlight w:val="cyan"/>
          <w:u w:val="single"/>
        </w:rPr>
        <w:t>OU</w:t>
      </w:r>
    </w:p>
    <w:p w14:paraId="23B58CE2" w14:textId="20D9E200" w:rsidR="6B1AA30D" w:rsidRDefault="6B1AA30D" w:rsidP="00C7461B">
      <w:pPr>
        <w:spacing w:after="0" w:line="240" w:lineRule="auto"/>
        <w:ind w:firstLine="708"/>
        <w:jc w:val="both"/>
        <w:rPr>
          <w:rFonts w:ascii="Times New Roman" w:eastAsia="Calibri" w:hAnsi="Times New Roman" w:cs="Times New Roman"/>
          <w:color w:val="000000" w:themeColor="text1"/>
          <w:sz w:val="24"/>
          <w:szCs w:val="24"/>
        </w:rPr>
      </w:pPr>
      <w:r w:rsidRPr="594C5555">
        <w:rPr>
          <w:rFonts w:ascii="Times New Roman" w:eastAsia="Calibri" w:hAnsi="Times New Roman" w:cs="Times New Roman"/>
          <w:color w:val="000000" w:themeColor="text1"/>
          <w:sz w:val="24"/>
          <w:szCs w:val="24"/>
          <w:highlight w:val="cyan"/>
        </w:rPr>
        <w:t xml:space="preserve">Por fim, observa-se que às </w:t>
      </w:r>
      <w:r w:rsidRPr="594C5555">
        <w:rPr>
          <w:rFonts w:ascii="Times New Roman" w:eastAsia="Calibri" w:hAnsi="Times New Roman" w:cs="Times New Roman"/>
          <w:color w:val="FF0000"/>
          <w:sz w:val="24"/>
          <w:szCs w:val="24"/>
          <w:highlight w:val="cyan"/>
        </w:rPr>
        <w:t xml:space="preserve">fls. XXX/no doc. SEI n. XXX </w:t>
      </w:r>
      <w:r w:rsidRPr="594C5555">
        <w:rPr>
          <w:rFonts w:ascii="Times New Roman" w:eastAsia="Calibri" w:hAnsi="Times New Roman" w:cs="Times New Roman"/>
          <w:color w:val="000000" w:themeColor="text1"/>
          <w:sz w:val="24"/>
          <w:szCs w:val="24"/>
          <w:highlight w:val="cyan"/>
        </w:rPr>
        <w:t xml:space="preserve">foi demonstrada a essencialidade e o interesse público da contratação, para os fins do previsto no art. 3º do </w:t>
      </w:r>
      <w:r w:rsidR="001D246D" w:rsidRPr="594C5555">
        <w:rPr>
          <w:rFonts w:ascii="Times New Roman" w:eastAsia="Calibri" w:hAnsi="Times New Roman" w:cs="Times New Roman"/>
          <w:sz w:val="24"/>
          <w:szCs w:val="24"/>
          <w:highlight w:val="cyan"/>
        </w:rPr>
        <w:t>Decreto n</w:t>
      </w:r>
      <w:r w:rsidRPr="594C5555">
        <w:rPr>
          <w:rFonts w:ascii="Times New Roman" w:eastAsia="Calibri" w:hAnsi="Times New Roman" w:cs="Times New Roman"/>
          <w:sz w:val="24"/>
          <w:szCs w:val="24"/>
          <w:highlight w:val="cyan"/>
        </w:rPr>
        <w:t xml:space="preserve">º 8.540, </w:t>
      </w:r>
      <w:r w:rsidR="001D246D" w:rsidRPr="594C5555">
        <w:rPr>
          <w:rFonts w:ascii="Times New Roman" w:eastAsia="Calibri" w:hAnsi="Times New Roman" w:cs="Times New Roman"/>
          <w:sz w:val="24"/>
          <w:szCs w:val="24"/>
          <w:highlight w:val="cyan"/>
        </w:rPr>
        <w:t xml:space="preserve">de </w:t>
      </w:r>
      <w:r w:rsidRPr="594C5555">
        <w:rPr>
          <w:rFonts w:ascii="Times New Roman" w:eastAsia="Calibri" w:hAnsi="Times New Roman" w:cs="Times New Roman"/>
          <w:sz w:val="24"/>
          <w:szCs w:val="24"/>
          <w:highlight w:val="cyan"/>
        </w:rPr>
        <w:t>2015</w:t>
      </w:r>
      <w:r w:rsidRPr="594C5555">
        <w:rPr>
          <w:rFonts w:ascii="Times New Roman" w:eastAsia="Calibri" w:hAnsi="Times New Roman" w:cs="Times New Roman"/>
          <w:color w:val="000000" w:themeColor="text1"/>
          <w:sz w:val="24"/>
          <w:szCs w:val="24"/>
          <w:highlight w:val="cyan"/>
        </w:rPr>
        <w:t>.</w:t>
      </w:r>
    </w:p>
    <w:p w14:paraId="17C1685A" w14:textId="77777777" w:rsidR="00952A35" w:rsidRPr="00271BE3" w:rsidRDefault="00952A35" w:rsidP="00952A35">
      <w:pPr>
        <w:spacing w:after="0" w:line="240" w:lineRule="auto"/>
        <w:ind w:firstLine="708"/>
        <w:jc w:val="both"/>
        <w:rPr>
          <w:rFonts w:ascii="Times New Roman" w:hAnsi="Times New Roman" w:cs="Times New Roman"/>
          <w:sz w:val="24"/>
          <w:szCs w:val="24"/>
        </w:rPr>
      </w:pPr>
    </w:p>
    <w:tbl>
      <w:tblPr>
        <w:tblW w:w="9062" w:type="dxa"/>
        <w:tblLayout w:type="fixed"/>
        <w:tblLook w:val="04A0" w:firstRow="1" w:lastRow="0" w:firstColumn="1" w:lastColumn="0" w:noHBand="0" w:noVBand="1"/>
      </w:tblPr>
      <w:tblGrid>
        <w:gridCol w:w="9062"/>
      </w:tblGrid>
      <w:tr w:rsidR="66EBB3D6" w:rsidRPr="00271BE3" w14:paraId="0AB36E0A" w14:textId="77777777" w:rsidTr="000F224A">
        <w:trPr>
          <w:trHeight w:val="300"/>
        </w:trPr>
        <w:tc>
          <w:tcPr>
            <w:tcW w:w="9062" w:type="dxa"/>
            <w:tcBorders>
              <w:top w:val="inset" w:sz="8" w:space="0" w:color="000000" w:themeColor="text1"/>
              <w:left w:val="inset" w:sz="8" w:space="0" w:color="000000" w:themeColor="text1"/>
              <w:bottom w:val="inset" w:sz="8" w:space="0" w:color="000000" w:themeColor="text1"/>
              <w:right w:val="inset" w:sz="8" w:space="0" w:color="000000" w:themeColor="text1"/>
            </w:tcBorders>
            <w:shd w:val="clear" w:color="auto" w:fill="FFFF00"/>
            <w:tcMar>
              <w:top w:w="30" w:type="dxa"/>
              <w:left w:w="30" w:type="dxa"/>
              <w:bottom w:w="30" w:type="dxa"/>
              <w:right w:w="30" w:type="dxa"/>
            </w:tcMar>
            <w:vAlign w:val="center"/>
          </w:tcPr>
          <w:p w14:paraId="20449FF9" w14:textId="464CC361" w:rsidR="66EBB3D6" w:rsidRPr="00271BE3" w:rsidRDefault="075E3B97" w:rsidP="00952A35">
            <w:pPr>
              <w:pStyle w:val="Ttulo1"/>
              <w:spacing w:before="0" w:beforeAutospacing="0" w:after="0" w:afterAutospacing="0"/>
              <w:jc w:val="both"/>
              <w:rPr>
                <w:rFonts w:eastAsia="Calibri"/>
                <w:strike/>
                <w:color w:val="000000" w:themeColor="text1"/>
                <w:sz w:val="24"/>
                <w:szCs w:val="24"/>
              </w:rPr>
            </w:pPr>
            <w:r w:rsidRPr="00271BE3">
              <w:rPr>
                <w:rFonts w:eastAsia="Calibri"/>
                <w:i/>
                <w:iCs/>
                <w:color w:val="000000" w:themeColor="text1"/>
                <w:sz w:val="24"/>
                <w:szCs w:val="24"/>
              </w:rPr>
              <w:t>Nota Explicativa:</w:t>
            </w:r>
            <w:r w:rsidRPr="00271BE3">
              <w:rPr>
                <w:rFonts w:eastAsia="Calibri"/>
                <w:color w:val="000000" w:themeColor="text1"/>
                <w:sz w:val="24"/>
                <w:szCs w:val="24"/>
              </w:rPr>
              <w:t xml:space="preserve"> </w:t>
            </w:r>
            <w:r w:rsidRPr="00271BE3">
              <w:rPr>
                <w:rFonts w:eastAsia="Calibri"/>
                <w:b w:val="0"/>
                <w:bCs w:val="0"/>
                <w:color w:val="000000" w:themeColor="text1"/>
                <w:sz w:val="24"/>
                <w:szCs w:val="24"/>
              </w:rPr>
              <w:t xml:space="preserve">O Procurador deverá atentar para o disposto na </w:t>
            </w:r>
            <w:hyperlink r:id="rId32">
              <w:r w:rsidR="003618F7" w:rsidRPr="00271BE3">
                <w:rPr>
                  <w:rStyle w:val="Hyperlink"/>
                  <w:rFonts w:eastAsia="Calibri"/>
                  <w:b w:val="0"/>
                  <w:bCs w:val="0"/>
                  <w:sz w:val="24"/>
                  <w:szCs w:val="24"/>
                </w:rPr>
                <w:t>Portaria nº 179, de 22 de abril de</w:t>
              </w:r>
              <w:r w:rsidR="5313487A" w:rsidRPr="00271BE3">
                <w:rPr>
                  <w:rStyle w:val="Hyperlink"/>
                  <w:rFonts w:eastAsia="Calibri"/>
                  <w:b w:val="0"/>
                  <w:bCs w:val="0"/>
                  <w:sz w:val="24"/>
                  <w:szCs w:val="24"/>
                </w:rPr>
                <w:t xml:space="preserve"> 2019</w:t>
              </w:r>
            </w:hyperlink>
            <w:r w:rsidRPr="00271BE3">
              <w:rPr>
                <w:rFonts w:eastAsia="Calibri"/>
                <w:b w:val="0"/>
                <w:bCs w:val="0"/>
                <w:color w:val="000000" w:themeColor="text1"/>
                <w:sz w:val="24"/>
                <w:szCs w:val="24"/>
              </w:rPr>
              <w:t xml:space="preserve">, alterada pela </w:t>
            </w:r>
            <w:r w:rsidR="51348711" w:rsidRPr="00271BE3">
              <w:rPr>
                <w:rFonts w:eastAsia="Calibri"/>
                <w:b w:val="0"/>
                <w:bCs w:val="0"/>
                <w:sz w:val="24"/>
                <w:szCs w:val="24"/>
              </w:rPr>
              <w:t>Portaria nº 5.168, de 2021</w:t>
            </w:r>
            <w:r w:rsidR="00D43422" w:rsidRPr="00271BE3">
              <w:rPr>
                <w:rFonts w:eastAsia="Calibri"/>
                <w:b w:val="0"/>
                <w:bCs w:val="0"/>
                <w:sz w:val="24"/>
                <w:szCs w:val="24"/>
              </w:rPr>
              <w:t>,</w:t>
            </w:r>
            <w:r w:rsidR="51348711" w:rsidRPr="00271BE3">
              <w:rPr>
                <w:rFonts w:eastAsia="Calibri"/>
                <w:b w:val="0"/>
                <w:bCs w:val="0"/>
                <w:color w:val="000000" w:themeColor="text1"/>
                <w:sz w:val="24"/>
                <w:szCs w:val="24"/>
              </w:rPr>
              <w:t xml:space="preserve"> e pela </w:t>
            </w:r>
            <w:r w:rsidR="51348711" w:rsidRPr="00271BE3">
              <w:rPr>
                <w:rFonts w:eastAsia="Calibri"/>
                <w:b w:val="0"/>
                <w:bCs w:val="0"/>
                <w:sz w:val="24"/>
                <w:szCs w:val="24"/>
              </w:rPr>
              <w:t>Portaria nº 8.963, de 2022</w:t>
            </w:r>
            <w:r w:rsidRPr="00271BE3">
              <w:rPr>
                <w:rFonts w:eastAsia="Calibri"/>
                <w:b w:val="0"/>
                <w:bCs w:val="0"/>
                <w:color w:val="000000" w:themeColor="text1"/>
                <w:sz w:val="24"/>
                <w:szCs w:val="24"/>
              </w:rPr>
              <w:t>, editada</w:t>
            </w:r>
            <w:r w:rsidR="23B8995D" w:rsidRPr="00271BE3">
              <w:rPr>
                <w:rFonts w:eastAsia="Calibri"/>
                <w:b w:val="0"/>
                <w:bCs w:val="0"/>
                <w:color w:val="000000" w:themeColor="text1"/>
                <w:sz w:val="24"/>
                <w:szCs w:val="24"/>
              </w:rPr>
              <w:t>s</w:t>
            </w:r>
            <w:r w:rsidRPr="00271BE3">
              <w:rPr>
                <w:rFonts w:eastAsia="Calibri"/>
                <w:b w:val="0"/>
                <w:bCs w:val="0"/>
                <w:color w:val="000000" w:themeColor="text1"/>
                <w:sz w:val="24"/>
                <w:szCs w:val="24"/>
              </w:rPr>
              <w:t xml:space="preserve"> pelo Ministro da Economia, verificando, à luz do</w:t>
            </w:r>
            <w:r w:rsidR="13BD3051" w:rsidRPr="00271BE3">
              <w:rPr>
                <w:rFonts w:eastAsia="Calibri"/>
                <w:b w:val="0"/>
                <w:bCs w:val="0"/>
                <w:color w:val="000000" w:themeColor="text1"/>
                <w:sz w:val="24"/>
                <w:szCs w:val="24"/>
              </w:rPr>
              <w:t>s</w:t>
            </w:r>
            <w:r w:rsidRPr="00271BE3">
              <w:rPr>
                <w:rFonts w:eastAsia="Calibri"/>
                <w:b w:val="0"/>
                <w:bCs w:val="0"/>
                <w:color w:val="000000" w:themeColor="text1"/>
                <w:sz w:val="24"/>
                <w:szCs w:val="24"/>
              </w:rPr>
              <w:t xml:space="preserve"> normativo</w:t>
            </w:r>
            <w:r w:rsidR="080B9520" w:rsidRPr="00271BE3">
              <w:rPr>
                <w:rFonts w:eastAsia="Calibri"/>
                <w:b w:val="0"/>
                <w:bCs w:val="0"/>
                <w:color w:val="000000" w:themeColor="text1"/>
                <w:sz w:val="24"/>
                <w:szCs w:val="24"/>
              </w:rPr>
              <w:t>s</w:t>
            </w:r>
            <w:r w:rsidRPr="00271BE3">
              <w:rPr>
                <w:rFonts w:eastAsia="Calibri"/>
                <w:b w:val="0"/>
                <w:bCs w:val="0"/>
                <w:color w:val="000000" w:themeColor="text1"/>
                <w:sz w:val="24"/>
                <w:szCs w:val="24"/>
              </w:rPr>
              <w:t>, se a contratação do objeto escolhido pela Administração encontra-se suspensa</w:t>
            </w:r>
            <w:r w:rsidR="004A66B9" w:rsidRPr="00271BE3">
              <w:rPr>
                <w:rFonts w:eastAsia="Calibri"/>
                <w:b w:val="0"/>
                <w:bCs w:val="0"/>
                <w:color w:val="000000" w:themeColor="text1"/>
                <w:sz w:val="24"/>
                <w:szCs w:val="24"/>
              </w:rPr>
              <w:t>.</w:t>
            </w:r>
          </w:p>
          <w:p w14:paraId="016F9035" w14:textId="2E5573E9" w:rsidR="66EBB3D6" w:rsidRPr="00271BE3" w:rsidRDefault="58AEEA8A"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Por ocasião da análise, deverá ser confirmada a vigência ou alteração da mencionada Portaria Ministeria</w:t>
            </w:r>
            <w:r w:rsidR="48C2CDF1" w:rsidRPr="00271BE3">
              <w:rPr>
                <w:rFonts w:ascii="Times New Roman" w:eastAsia="Calibri" w:hAnsi="Times New Roman" w:cs="Times New Roman"/>
                <w:color w:val="000000" w:themeColor="text1"/>
                <w:sz w:val="24"/>
                <w:szCs w:val="24"/>
              </w:rPr>
              <w:t>l</w:t>
            </w:r>
            <w:r w:rsidRPr="00271BE3">
              <w:rPr>
                <w:rFonts w:ascii="Times New Roman" w:eastAsia="Calibri" w:hAnsi="Times New Roman" w:cs="Times New Roman"/>
                <w:color w:val="000000" w:themeColor="text1"/>
                <w:sz w:val="24"/>
                <w:szCs w:val="24"/>
              </w:rPr>
              <w:t>.</w:t>
            </w:r>
          </w:p>
          <w:p w14:paraId="39A386BA" w14:textId="3E74BFE9" w:rsidR="66EBB3D6" w:rsidRPr="00271BE3" w:rsidRDefault="58AEEA8A"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t xml:space="preserve">O </w:t>
            </w:r>
            <w:r w:rsidR="00F60AD6" w:rsidRPr="00271BE3">
              <w:rPr>
                <w:rFonts w:ascii="Times New Roman" w:eastAsia="Calibri" w:hAnsi="Times New Roman" w:cs="Times New Roman"/>
                <w:color w:val="000000" w:themeColor="text1"/>
                <w:sz w:val="24"/>
                <w:szCs w:val="24"/>
              </w:rPr>
              <w:t>parágrafo</w:t>
            </w:r>
            <w:r w:rsidRPr="00271BE3">
              <w:rPr>
                <w:rFonts w:ascii="Times New Roman" w:eastAsia="Calibri" w:hAnsi="Times New Roman" w:cs="Times New Roman"/>
                <w:color w:val="000000" w:themeColor="text1"/>
                <w:sz w:val="24"/>
                <w:szCs w:val="24"/>
              </w:rPr>
              <w:t xml:space="preserve"> abaixo dever</w:t>
            </w:r>
            <w:r w:rsidR="000E7E87" w:rsidRPr="00271BE3">
              <w:rPr>
                <w:rFonts w:ascii="Times New Roman" w:eastAsia="Calibri" w:hAnsi="Times New Roman" w:cs="Times New Roman"/>
                <w:color w:val="000000" w:themeColor="text1"/>
                <w:sz w:val="24"/>
                <w:szCs w:val="24"/>
              </w:rPr>
              <w:t>á</w:t>
            </w:r>
            <w:r w:rsidRPr="00271BE3">
              <w:rPr>
                <w:rFonts w:ascii="Times New Roman" w:eastAsia="Calibri" w:hAnsi="Times New Roman" w:cs="Times New Roman"/>
                <w:color w:val="000000" w:themeColor="text1"/>
                <w:sz w:val="24"/>
                <w:szCs w:val="24"/>
              </w:rPr>
              <w:t xml:space="preserve"> ser utilizado apenas se incidir, no caso, hipótese de suspensão da contratação do objeto.</w:t>
            </w:r>
          </w:p>
        </w:tc>
      </w:tr>
    </w:tbl>
    <w:p w14:paraId="6FBD8997" w14:textId="6DDA1EAD" w:rsidR="66EBB3D6" w:rsidRPr="00271BE3" w:rsidRDefault="66EBB3D6" w:rsidP="00952A35">
      <w:pPr>
        <w:spacing w:after="0" w:line="240" w:lineRule="auto"/>
        <w:ind w:firstLine="1418"/>
        <w:jc w:val="both"/>
        <w:rPr>
          <w:rFonts w:ascii="Times New Roman" w:eastAsia="Calibri" w:hAnsi="Times New Roman" w:cs="Times New Roman"/>
          <w:color w:val="FF0000"/>
          <w:sz w:val="24"/>
          <w:szCs w:val="24"/>
          <w:highlight w:val="cyan"/>
        </w:rPr>
      </w:pPr>
    </w:p>
    <w:p w14:paraId="22870B50" w14:textId="363237F0" w:rsidR="00A90DC9" w:rsidRPr="00271BE3" w:rsidRDefault="662F590B" w:rsidP="00952A35">
      <w:pPr>
        <w:spacing w:after="0" w:line="240" w:lineRule="auto"/>
        <w:jc w:val="both"/>
        <w:rPr>
          <w:rFonts w:ascii="Times New Roman" w:eastAsia="Calibri" w:hAnsi="Times New Roman" w:cs="Times New Roman"/>
          <w:color w:val="FF0000"/>
          <w:sz w:val="24"/>
          <w:szCs w:val="24"/>
        </w:rPr>
      </w:pPr>
      <w:r w:rsidRPr="00271BE3">
        <w:rPr>
          <w:rFonts w:ascii="Times New Roman" w:eastAsia="Calibri" w:hAnsi="Times New Roman" w:cs="Times New Roman"/>
          <w:color w:val="FF0000"/>
          <w:sz w:val="24"/>
          <w:szCs w:val="24"/>
        </w:rPr>
        <w:t xml:space="preserve">No caso, percebe-se que a contratação do objeto pretendido se encontra suspensa nos termos do art. 1º da </w:t>
      </w:r>
      <w:hyperlink r:id="rId33">
        <w:r w:rsidRPr="00271BE3">
          <w:rPr>
            <w:rStyle w:val="Hyperlink"/>
            <w:rFonts w:ascii="Times New Roman" w:eastAsia="Calibri" w:hAnsi="Times New Roman" w:cs="Times New Roman"/>
            <w:color w:val="FF0000"/>
            <w:sz w:val="24"/>
            <w:szCs w:val="24"/>
            <w:u w:val="none"/>
          </w:rPr>
          <w:t>Portaria ME nº 179, de 22 de abril de 2019</w:t>
        </w:r>
      </w:hyperlink>
      <w:r w:rsidRPr="00271BE3">
        <w:rPr>
          <w:rFonts w:ascii="Times New Roman" w:eastAsia="Calibri" w:hAnsi="Times New Roman" w:cs="Times New Roman"/>
          <w:color w:val="FF0000"/>
          <w:sz w:val="24"/>
          <w:szCs w:val="24"/>
        </w:rPr>
        <w:t xml:space="preserve">. Desta forma, para que haja o prosseguimento da contratação, torna-se necessário juntar a autorização prevista no art. </w:t>
      </w:r>
      <w:r w:rsidR="4DC7EAF6" w:rsidRPr="00271BE3">
        <w:rPr>
          <w:rFonts w:ascii="Times New Roman" w:eastAsia="Calibri" w:hAnsi="Times New Roman" w:cs="Times New Roman"/>
          <w:color w:val="FF0000"/>
          <w:sz w:val="24"/>
          <w:szCs w:val="24"/>
        </w:rPr>
        <w:t>1º, §2º</w:t>
      </w:r>
      <w:r w:rsidR="0AC5CBEE" w:rsidRPr="00271BE3">
        <w:rPr>
          <w:rFonts w:ascii="Times New Roman" w:eastAsia="Calibri" w:hAnsi="Times New Roman" w:cs="Times New Roman"/>
          <w:color w:val="FF0000"/>
          <w:sz w:val="24"/>
          <w:szCs w:val="24"/>
        </w:rPr>
        <w:t>,</w:t>
      </w:r>
      <w:r w:rsidR="4DC7EAF6" w:rsidRPr="00271BE3">
        <w:rPr>
          <w:rFonts w:ascii="Times New Roman" w:eastAsia="Calibri" w:hAnsi="Times New Roman" w:cs="Times New Roman"/>
          <w:color w:val="FF0000"/>
          <w:sz w:val="24"/>
          <w:szCs w:val="24"/>
        </w:rPr>
        <w:t xml:space="preserve"> </w:t>
      </w:r>
      <w:r w:rsidRPr="00271BE3">
        <w:rPr>
          <w:rFonts w:ascii="Times New Roman" w:eastAsia="Calibri" w:hAnsi="Times New Roman" w:cs="Times New Roman"/>
          <w:color w:val="FF0000"/>
          <w:sz w:val="24"/>
          <w:szCs w:val="24"/>
        </w:rPr>
        <w:t>da mencionada Portaria.</w:t>
      </w:r>
    </w:p>
    <w:p w14:paraId="3ACD4C7B" w14:textId="77777777" w:rsidR="004423CE" w:rsidRPr="00271BE3" w:rsidRDefault="6817C2E8" w:rsidP="00952A35">
      <w:pPr>
        <w:spacing w:after="0" w:line="240" w:lineRule="auto"/>
        <w:jc w:val="both"/>
        <w:outlineLvl w:val="1"/>
        <w:rPr>
          <w:rFonts w:ascii="Times New Roman" w:eastAsia="Times New Roman" w:hAnsi="Times New Roman" w:cs="Times New Roman"/>
          <w:b/>
          <w:bCs/>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lastRenderedPageBreak/>
        <w:t>DA UTILIZAÇÃO DO PREGÃO ELETRÔNICO PARA SERVIÇOS COMUNS DE ENGENHARIA</w:t>
      </w:r>
    </w:p>
    <w:p w14:paraId="70FBEBDD"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0B946DAE" w14:textId="5FCA8522" w:rsidR="004423CE" w:rsidRPr="00271BE3" w:rsidRDefault="6817C2E8"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Times New Roman" w:hAnsi="Times New Roman" w:cs="Times New Roman"/>
          <w:color w:val="000000" w:themeColor="text1"/>
          <w:sz w:val="24"/>
          <w:szCs w:val="24"/>
          <w:lang w:eastAsia="pt-BR"/>
        </w:rPr>
        <w:t>Cumpre registrar que é possível a contratação de serviço</w:t>
      </w:r>
      <w:r w:rsidR="25E4C412" w:rsidRPr="00271BE3">
        <w:rPr>
          <w:rFonts w:ascii="Times New Roman" w:eastAsia="Times New Roman" w:hAnsi="Times New Roman" w:cs="Times New Roman"/>
          <w:color w:val="000000" w:themeColor="text1"/>
          <w:sz w:val="24"/>
          <w:szCs w:val="24"/>
          <w:lang w:eastAsia="pt-BR"/>
        </w:rPr>
        <w:t>s</w:t>
      </w:r>
      <w:r w:rsidRPr="00271BE3">
        <w:rPr>
          <w:rFonts w:ascii="Times New Roman" w:eastAsia="Times New Roman" w:hAnsi="Times New Roman" w:cs="Times New Roman"/>
          <w:color w:val="000000" w:themeColor="text1"/>
          <w:sz w:val="24"/>
          <w:szCs w:val="24"/>
          <w:lang w:eastAsia="pt-BR"/>
        </w:rPr>
        <w:t xml:space="preserve"> comu</w:t>
      </w:r>
      <w:r w:rsidR="792E0421" w:rsidRPr="00271BE3">
        <w:rPr>
          <w:rFonts w:ascii="Times New Roman" w:eastAsia="Times New Roman" w:hAnsi="Times New Roman" w:cs="Times New Roman"/>
          <w:color w:val="000000" w:themeColor="text1"/>
          <w:sz w:val="24"/>
          <w:szCs w:val="24"/>
          <w:lang w:eastAsia="pt-BR"/>
        </w:rPr>
        <w:t>ns</w:t>
      </w:r>
      <w:r w:rsidRPr="00271BE3">
        <w:rPr>
          <w:rFonts w:ascii="Times New Roman" w:eastAsia="Times New Roman" w:hAnsi="Times New Roman" w:cs="Times New Roman"/>
          <w:color w:val="000000" w:themeColor="text1"/>
          <w:sz w:val="24"/>
          <w:szCs w:val="24"/>
          <w:lang w:eastAsia="pt-BR"/>
        </w:rPr>
        <w:t xml:space="preserve"> de engenharia por meio de pregão, em razão do disposto no art. </w:t>
      </w:r>
      <w:r w:rsidR="3A964914" w:rsidRPr="00271BE3">
        <w:rPr>
          <w:rFonts w:ascii="Times New Roman" w:eastAsia="Times New Roman" w:hAnsi="Times New Roman" w:cs="Times New Roman"/>
          <w:color w:val="000000" w:themeColor="text1"/>
          <w:sz w:val="24"/>
          <w:szCs w:val="24"/>
          <w:lang w:eastAsia="pt-BR"/>
        </w:rPr>
        <w:t>29</w:t>
      </w:r>
      <w:r w:rsidRPr="00271BE3">
        <w:rPr>
          <w:rFonts w:ascii="Times New Roman" w:eastAsia="Times New Roman" w:hAnsi="Times New Roman" w:cs="Times New Roman"/>
          <w:color w:val="000000" w:themeColor="text1"/>
          <w:sz w:val="24"/>
          <w:szCs w:val="24"/>
          <w:lang w:eastAsia="pt-BR"/>
        </w:rPr>
        <w:t>, </w:t>
      </w:r>
      <w:r w:rsidR="59D62203" w:rsidRPr="00271BE3">
        <w:rPr>
          <w:rFonts w:ascii="Times New Roman" w:eastAsia="Times New Roman" w:hAnsi="Times New Roman" w:cs="Times New Roman"/>
          <w:color w:val="000000" w:themeColor="text1"/>
          <w:sz w:val="24"/>
          <w:szCs w:val="24"/>
          <w:lang w:eastAsia="pt-BR"/>
        </w:rPr>
        <w:t xml:space="preserve">parágrafo único, </w:t>
      </w:r>
      <w:r w:rsidRPr="00271BE3">
        <w:rPr>
          <w:rFonts w:ascii="Times New Roman" w:eastAsia="Times New Roman" w:hAnsi="Times New Roman" w:cs="Times New Roman"/>
          <w:color w:val="000000" w:themeColor="text1"/>
          <w:sz w:val="24"/>
          <w:szCs w:val="24"/>
          <w:lang w:eastAsia="pt-BR"/>
        </w:rPr>
        <w:t>d</w:t>
      </w:r>
      <w:r w:rsidR="2EF4EDB3" w:rsidRPr="00271BE3">
        <w:rPr>
          <w:rFonts w:ascii="Times New Roman" w:eastAsia="Times New Roman" w:hAnsi="Times New Roman" w:cs="Times New Roman"/>
          <w:color w:val="000000" w:themeColor="text1"/>
          <w:sz w:val="24"/>
          <w:szCs w:val="24"/>
          <w:lang w:eastAsia="pt-BR"/>
        </w:rPr>
        <w:t xml:space="preserve">a </w:t>
      </w:r>
      <w:r w:rsidR="2EF4EDB3" w:rsidRPr="00271BE3">
        <w:rPr>
          <w:rFonts w:ascii="Times New Roman" w:eastAsia="Calibri" w:hAnsi="Times New Roman" w:cs="Times New Roman"/>
          <w:sz w:val="24"/>
          <w:szCs w:val="24"/>
        </w:rPr>
        <w:t>L</w:t>
      </w:r>
      <w:r w:rsidR="00EF21D0" w:rsidRPr="00271BE3">
        <w:rPr>
          <w:rFonts w:ascii="Times New Roman" w:eastAsia="Calibri" w:hAnsi="Times New Roman" w:cs="Times New Roman"/>
          <w:sz w:val="24"/>
          <w:szCs w:val="24"/>
        </w:rPr>
        <w:t>ei</w:t>
      </w:r>
      <w:r w:rsidR="2EF4EDB3" w:rsidRPr="00271BE3">
        <w:rPr>
          <w:rFonts w:ascii="Times New Roman" w:eastAsia="Calibri" w:hAnsi="Times New Roman" w:cs="Times New Roman"/>
          <w:sz w:val="24"/>
          <w:szCs w:val="24"/>
        </w:rPr>
        <w:t xml:space="preserve"> </w:t>
      </w:r>
      <w:r w:rsidR="00EF21D0" w:rsidRPr="00271BE3">
        <w:rPr>
          <w:rFonts w:ascii="Times New Roman" w:eastAsia="Calibri" w:hAnsi="Times New Roman" w:cs="Times New Roman"/>
          <w:sz w:val="24"/>
          <w:szCs w:val="24"/>
        </w:rPr>
        <w:t>n</w:t>
      </w:r>
      <w:r w:rsidR="2EF4EDB3" w:rsidRPr="00271BE3">
        <w:rPr>
          <w:rFonts w:ascii="Times New Roman" w:eastAsia="Calibri" w:hAnsi="Times New Roman" w:cs="Times New Roman"/>
          <w:sz w:val="24"/>
          <w:szCs w:val="24"/>
        </w:rPr>
        <w:t xml:space="preserve">º 14.133, </w:t>
      </w:r>
      <w:r w:rsidR="00EF21D0" w:rsidRPr="00271BE3">
        <w:rPr>
          <w:rFonts w:ascii="Times New Roman" w:eastAsia="Calibri" w:hAnsi="Times New Roman" w:cs="Times New Roman"/>
          <w:sz w:val="24"/>
          <w:szCs w:val="24"/>
        </w:rPr>
        <w:t xml:space="preserve">de </w:t>
      </w:r>
      <w:r w:rsidR="2EF4EDB3" w:rsidRPr="00271BE3">
        <w:rPr>
          <w:rFonts w:ascii="Times New Roman" w:eastAsia="Calibri" w:hAnsi="Times New Roman" w:cs="Times New Roman"/>
          <w:sz w:val="24"/>
          <w:szCs w:val="24"/>
        </w:rPr>
        <w:t>2021</w:t>
      </w:r>
      <w:r w:rsidR="234C3669" w:rsidRPr="00271BE3">
        <w:rPr>
          <w:rFonts w:ascii="Times New Roman" w:eastAsia="Calibri" w:hAnsi="Times New Roman" w:cs="Times New Roman"/>
          <w:sz w:val="24"/>
          <w:szCs w:val="24"/>
        </w:rPr>
        <w:t>.</w:t>
      </w:r>
    </w:p>
    <w:p w14:paraId="3942B294" w14:textId="165F52C7" w:rsidR="79B9EDE3" w:rsidRPr="00271BE3" w:rsidRDefault="79B9EDE3" w:rsidP="00952A35">
      <w:pPr>
        <w:spacing w:after="0" w:line="240" w:lineRule="auto"/>
        <w:ind w:firstLine="1350"/>
        <w:jc w:val="both"/>
        <w:rPr>
          <w:rFonts w:ascii="Times New Roman" w:eastAsia="Times New Roman" w:hAnsi="Times New Roman" w:cs="Times New Roman"/>
          <w:color w:val="000000" w:themeColor="text1"/>
          <w:sz w:val="24"/>
          <w:szCs w:val="24"/>
          <w:lang w:eastAsia="pt-BR"/>
        </w:rPr>
      </w:pPr>
    </w:p>
    <w:p w14:paraId="75D02D1A" w14:textId="48C56A68" w:rsidR="004423CE" w:rsidRPr="00271BE3" w:rsidRDefault="6817C2E8" w:rsidP="00952A35">
      <w:pPr>
        <w:spacing w:after="0" w:line="240" w:lineRule="auto"/>
        <w:jc w:val="both"/>
        <w:rPr>
          <w:rFonts w:ascii="Times New Roman" w:eastAsiaTheme="minorEastAsia" w:hAnsi="Times New Roman" w:cs="Times New Roman"/>
          <w:color w:val="000000" w:themeColor="text1"/>
          <w:sz w:val="24"/>
          <w:szCs w:val="24"/>
          <w:lang w:eastAsia="pt-BR"/>
        </w:rPr>
      </w:pPr>
      <w:r w:rsidRPr="00271BE3">
        <w:rPr>
          <w:rFonts w:ascii="Times New Roman" w:eastAsiaTheme="minorEastAsia" w:hAnsi="Times New Roman" w:cs="Times New Roman"/>
          <w:color w:val="000000" w:themeColor="text1"/>
          <w:sz w:val="24"/>
          <w:szCs w:val="24"/>
          <w:lang w:eastAsia="pt-BR"/>
        </w:rPr>
        <w:t>De outro lado, anote-se que</w:t>
      </w:r>
      <w:r w:rsidR="49CD547F" w:rsidRPr="00271BE3">
        <w:rPr>
          <w:rFonts w:ascii="Times New Roman" w:eastAsiaTheme="minorEastAsia" w:hAnsi="Times New Roman" w:cs="Times New Roman"/>
          <w:color w:val="000000" w:themeColor="text1"/>
          <w:sz w:val="24"/>
          <w:szCs w:val="24"/>
          <w:lang w:eastAsia="pt-BR"/>
        </w:rPr>
        <w:t xml:space="preserve"> </w:t>
      </w:r>
      <w:r w:rsidR="6CBC8E01" w:rsidRPr="00271BE3">
        <w:rPr>
          <w:rFonts w:ascii="Times New Roman" w:eastAsiaTheme="minorEastAsia" w:hAnsi="Times New Roman" w:cs="Times New Roman"/>
          <w:color w:val="000000" w:themeColor="text1"/>
          <w:sz w:val="24"/>
          <w:szCs w:val="24"/>
          <w:lang w:eastAsia="pt-BR"/>
        </w:rPr>
        <w:t>o dispositivo legal acima</w:t>
      </w:r>
      <w:r w:rsidR="6D02CAC2" w:rsidRPr="00271BE3">
        <w:rPr>
          <w:rFonts w:ascii="Times New Roman" w:eastAsia="Calibri" w:hAnsi="Times New Roman" w:cs="Times New Roman"/>
          <w:sz w:val="24"/>
          <w:szCs w:val="24"/>
        </w:rPr>
        <w:t xml:space="preserve"> </w:t>
      </w:r>
      <w:r w:rsidRPr="00271BE3">
        <w:rPr>
          <w:rFonts w:ascii="Times New Roman" w:eastAsiaTheme="minorEastAsia" w:hAnsi="Times New Roman" w:cs="Times New Roman"/>
          <w:color w:val="000000" w:themeColor="text1"/>
          <w:sz w:val="24"/>
          <w:szCs w:val="24"/>
          <w:lang w:eastAsia="pt-BR"/>
        </w:rPr>
        <w:t>veda a utilização da modalidade de pregão para contratações de</w:t>
      </w:r>
      <w:r w:rsidR="71557F2A" w:rsidRPr="00271BE3">
        <w:rPr>
          <w:rFonts w:ascii="Times New Roman" w:eastAsiaTheme="minorEastAsia" w:hAnsi="Times New Roman" w:cs="Times New Roman"/>
          <w:color w:val="000000" w:themeColor="text1"/>
          <w:sz w:val="24"/>
          <w:szCs w:val="24"/>
          <w:lang w:eastAsia="pt-BR"/>
        </w:rPr>
        <w:t>:</w:t>
      </w:r>
    </w:p>
    <w:p w14:paraId="1AC6AE63" w14:textId="3888B68F" w:rsidR="004423CE" w:rsidRPr="00271BE3" w:rsidRDefault="004423CE" w:rsidP="00952A35">
      <w:pPr>
        <w:spacing w:after="0" w:line="240" w:lineRule="auto"/>
        <w:ind w:firstLine="1440"/>
        <w:jc w:val="both"/>
        <w:rPr>
          <w:rFonts w:ascii="Times New Roman" w:eastAsiaTheme="minorEastAsia" w:hAnsi="Times New Roman" w:cs="Times New Roman"/>
          <w:color w:val="000000" w:themeColor="text1"/>
          <w:sz w:val="24"/>
          <w:szCs w:val="24"/>
          <w:lang w:eastAsia="pt-BR"/>
        </w:rPr>
      </w:pPr>
    </w:p>
    <w:p w14:paraId="4B022341" w14:textId="23377D99" w:rsidR="004423CE" w:rsidRPr="0023515F" w:rsidRDefault="5FEDF1B3" w:rsidP="00952A35">
      <w:pPr>
        <w:pStyle w:val="PargrafodaLista"/>
        <w:numPr>
          <w:ilvl w:val="0"/>
          <w:numId w:val="19"/>
        </w:numPr>
        <w:tabs>
          <w:tab w:val="left" w:pos="2552"/>
        </w:tabs>
        <w:spacing w:after="0" w:line="240" w:lineRule="auto"/>
        <w:ind w:left="2268" w:firstLine="0"/>
        <w:jc w:val="both"/>
        <w:rPr>
          <w:rFonts w:ascii="Times New Roman" w:eastAsiaTheme="minorEastAsia" w:hAnsi="Times New Roman" w:cs="Times New Roman"/>
          <w:color w:val="000000" w:themeColor="text1"/>
          <w:sz w:val="20"/>
          <w:szCs w:val="20"/>
        </w:rPr>
      </w:pPr>
      <w:r w:rsidRPr="0023515F">
        <w:rPr>
          <w:rFonts w:ascii="Times New Roman" w:eastAsiaTheme="minorEastAsia" w:hAnsi="Times New Roman" w:cs="Times New Roman"/>
          <w:color w:val="000000" w:themeColor="text1"/>
          <w:sz w:val="20"/>
          <w:szCs w:val="20"/>
          <w:lang w:eastAsia="pt-BR"/>
        </w:rPr>
        <w:t>obra</w:t>
      </w:r>
      <w:r w:rsidR="0B85ACBD" w:rsidRPr="0023515F">
        <w:rPr>
          <w:rFonts w:ascii="Times New Roman" w:eastAsiaTheme="minorEastAsia" w:hAnsi="Times New Roman" w:cs="Times New Roman"/>
          <w:color w:val="000000" w:themeColor="text1"/>
          <w:sz w:val="20"/>
          <w:szCs w:val="20"/>
          <w:lang w:eastAsia="pt-BR"/>
        </w:rPr>
        <w:t xml:space="preserve"> </w:t>
      </w:r>
      <w:r w:rsidR="4DEFA53A" w:rsidRPr="0023515F">
        <w:rPr>
          <w:rFonts w:ascii="Times New Roman" w:eastAsiaTheme="minorEastAsia" w:hAnsi="Times New Roman" w:cs="Times New Roman"/>
          <w:color w:val="000000" w:themeColor="text1"/>
          <w:sz w:val="20"/>
          <w:szCs w:val="20"/>
          <w:lang w:eastAsia="pt-BR"/>
        </w:rPr>
        <w:t>(</w:t>
      </w:r>
      <w:r w:rsidR="0CA7ABB7" w:rsidRPr="0023515F">
        <w:rPr>
          <w:rFonts w:ascii="Times New Roman" w:eastAsiaTheme="minorEastAsia" w:hAnsi="Times New Roman" w:cs="Times New Roman"/>
          <w:color w:val="000000" w:themeColor="text1"/>
          <w:sz w:val="20"/>
          <w:szCs w:val="20"/>
          <w:lang w:eastAsia="pt-BR"/>
        </w:rPr>
        <w:t xml:space="preserve">definida no </w:t>
      </w:r>
      <w:r w:rsidR="4DEFA53A" w:rsidRPr="0023515F">
        <w:rPr>
          <w:rFonts w:ascii="Times New Roman" w:eastAsiaTheme="minorEastAsia" w:hAnsi="Times New Roman" w:cs="Times New Roman"/>
          <w:color w:val="000000" w:themeColor="text1"/>
          <w:sz w:val="20"/>
          <w:szCs w:val="20"/>
          <w:lang w:eastAsia="pt-BR"/>
        </w:rPr>
        <w:t xml:space="preserve">art. 6º, XII, </w:t>
      </w:r>
      <w:r w:rsidR="0F87783B" w:rsidRPr="0023515F">
        <w:rPr>
          <w:rFonts w:ascii="Times New Roman" w:eastAsiaTheme="minorEastAsia" w:hAnsi="Times New Roman" w:cs="Times New Roman"/>
          <w:color w:val="000000" w:themeColor="text1"/>
          <w:sz w:val="20"/>
          <w:szCs w:val="20"/>
          <w:lang w:eastAsia="pt-BR"/>
        </w:rPr>
        <w:t xml:space="preserve">da </w:t>
      </w:r>
      <w:r w:rsidR="4DEFA53A" w:rsidRPr="0023515F">
        <w:rPr>
          <w:rFonts w:ascii="Times New Roman" w:eastAsiaTheme="minorEastAsia" w:hAnsi="Times New Roman" w:cs="Times New Roman"/>
          <w:sz w:val="20"/>
          <w:szCs w:val="20"/>
        </w:rPr>
        <w:t>Lei nº 14.133</w:t>
      </w:r>
      <w:r w:rsidR="00854AB4" w:rsidRPr="0023515F">
        <w:rPr>
          <w:rFonts w:ascii="Times New Roman" w:eastAsiaTheme="minorEastAsia" w:hAnsi="Times New Roman" w:cs="Times New Roman"/>
          <w:sz w:val="20"/>
          <w:szCs w:val="20"/>
        </w:rPr>
        <w:t xml:space="preserve">, de </w:t>
      </w:r>
      <w:r w:rsidR="4DEFA53A" w:rsidRPr="0023515F">
        <w:rPr>
          <w:rFonts w:ascii="Times New Roman" w:eastAsiaTheme="minorEastAsia" w:hAnsi="Times New Roman" w:cs="Times New Roman"/>
          <w:sz w:val="20"/>
          <w:szCs w:val="20"/>
        </w:rPr>
        <w:t>2021)</w:t>
      </w:r>
      <w:r w:rsidR="52BF6F41" w:rsidRPr="0023515F">
        <w:rPr>
          <w:rFonts w:ascii="Times New Roman" w:eastAsiaTheme="minorEastAsia" w:hAnsi="Times New Roman" w:cs="Times New Roman"/>
          <w:color w:val="000000" w:themeColor="text1"/>
          <w:sz w:val="20"/>
          <w:szCs w:val="20"/>
          <w:lang w:eastAsia="pt-BR"/>
        </w:rPr>
        <w:t>;</w:t>
      </w:r>
      <w:r w:rsidRPr="0023515F">
        <w:rPr>
          <w:rFonts w:ascii="Times New Roman" w:eastAsiaTheme="minorEastAsia" w:hAnsi="Times New Roman" w:cs="Times New Roman"/>
          <w:color w:val="000000" w:themeColor="text1"/>
          <w:sz w:val="20"/>
          <w:szCs w:val="20"/>
          <w:lang w:eastAsia="pt-BR"/>
        </w:rPr>
        <w:t xml:space="preserve"> </w:t>
      </w:r>
    </w:p>
    <w:p w14:paraId="181FE39E" w14:textId="77777777" w:rsidR="000F4F07" w:rsidRDefault="205A9000" w:rsidP="00952A35">
      <w:pPr>
        <w:pStyle w:val="PargrafodaLista"/>
        <w:numPr>
          <w:ilvl w:val="0"/>
          <w:numId w:val="19"/>
        </w:numPr>
        <w:tabs>
          <w:tab w:val="left" w:pos="2552"/>
        </w:tabs>
        <w:spacing w:after="0" w:line="240" w:lineRule="auto"/>
        <w:ind w:left="2268" w:firstLine="0"/>
        <w:jc w:val="both"/>
        <w:rPr>
          <w:rFonts w:ascii="Times New Roman" w:eastAsiaTheme="minorEastAsia" w:hAnsi="Times New Roman" w:cs="Times New Roman"/>
          <w:color w:val="000000" w:themeColor="text1"/>
          <w:sz w:val="20"/>
          <w:szCs w:val="20"/>
        </w:rPr>
      </w:pPr>
      <w:r w:rsidRPr="0023515F">
        <w:rPr>
          <w:rFonts w:ascii="Times New Roman" w:eastAsiaTheme="minorEastAsia" w:hAnsi="Times New Roman" w:cs="Times New Roman"/>
          <w:color w:val="000000" w:themeColor="text1"/>
          <w:sz w:val="20"/>
          <w:szCs w:val="20"/>
        </w:rPr>
        <w:t>serviços técnicos especializados de natureza predominantemente intelectual</w:t>
      </w:r>
      <w:r w:rsidR="02735648" w:rsidRPr="0023515F">
        <w:rPr>
          <w:rFonts w:ascii="Times New Roman" w:eastAsiaTheme="minorEastAsia" w:hAnsi="Times New Roman" w:cs="Times New Roman"/>
          <w:color w:val="000000" w:themeColor="text1"/>
          <w:sz w:val="20"/>
          <w:szCs w:val="20"/>
        </w:rPr>
        <w:t xml:space="preserve"> </w:t>
      </w:r>
      <w:r w:rsidR="236E7928" w:rsidRPr="0023515F">
        <w:rPr>
          <w:rFonts w:ascii="Times New Roman" w:eastAsiaTheme="minorEastAsia" w:hAnsi="Times New Roman" w:cs="Times New Roman"/>
          <w:color w:val="000000" w:themeColor="text1"/>
          <w:sz w:val="20"/>
          <w:szCs w:val="20"/>
        </w:rPr>
        <w:t>(</w:t>
      </w:r>
      <w:r w:rsidR="6208E311" w:rsidRPr="0023515F">
        <w:rPr>
          <w:rFonts w:ascii="Times New Roman" w:eastAsiaTheme="minorEastAsia" w:hAnsi="Times New Roman" w:cs="Times New Roman"/>
          <w:color w:val="000000" w:themeColor="text1"/>
          <w:sz w:val="20"/>
          <w:szCs w:val="20"/>
        </w:rPr>
        <w:t>de</w:t>
      </w:r>
      <w:r w:rsidR="3D28A37E" w:rsidRPr="0023515F">
        <w:rPr>
          <w:rFonts w:ascii="Times New Roman" w:eastAsiaTheme="minorEastAsia" w:hAnsi="Times New Roman" w:cs="Times New Roman"/>
          <w:color w:val="000000" w:themeColor="text1"/>
          <w:sz w:val="20"/>
          <w:szCs w:val="20"/>
        </w:rPr>
        <w:t>scritos</w:t>
      </w:r>
      <w:r w:rsidR="6208E311" w:rsidRPr="0023515F">
        <w:rPr>
          <w:rFonts w:ascii="Times New Roman" w:eastAsiaTheme="minorEastAsia" w:hAnsi="Times New Roman" w:cs="Times New Roman"/>
          <w:color w:val="000000" w:themeColor="text1"/>
          <w:sz w:val="20"/>
          <w:szCs w:val="20"/>
        </w:rPr>
        <w:t xml:space="preserve"> no </w:t>
      </w:r>
      <w:r w:rsidR="236E7928" w:rsidRPr="0023515F">
        <w:rPr>
          <w:rFonts w:ascii="Times New Roman" w:eastAsiaTheme="minorEastAsia" w:hAnsi="Times New Roman" w:cs="Times New Roman"/>
          <w:color w:val="000000" w:themeColor="text1"/>
          <w:sz w:val="20"/>
          <w:szCs w:val="20"/>
        </w:rPr>
        <w:t>art. 6º,</w:t>
      </w:r>
      <w:r w:rsidR="15F44BB0" w:rsidRPr="0023515F">
        <w:rPr>
          <w:rFonts w:ascii="Times New Roman" w:eastAsiaTheme="minorEastAsia" w:hAnsi="Times New Roman" w:cs="Times New Roman"/>
          <w:color w:val="000000" w:themeColor="text1"/>
          <w:sz w:val="20"/>
          <w:szCs w:val="20"/>
        </w:rPr>
        <w:t xml:space="preserve"> </w:t>
      </w:r>
      <w:r w:rsidR="236E7928" w:rsidRPr="0023515F">
        <w:rPr>
          <w:rFonts w:ascii="Times New Roman" w:eastAsiaTheme="minorEastAsia" w:hAnsi="Times New Roman" w:cs="Times New Roman"/>
          <w:color w:val="000000" w:themeColor="text1"/>
          <w:sz w:val="20"/>
          <w:szCs w:val="20"/>
        </w:rPr>
        <w:t>XVIII</w:t>
      </w:r>
      <w:r w:rsidR="7D23D832" w:rsidRPr="0023515F">
        <w:rPr>
          <w:rFonts w:ascii="Times New Roman" w:eastAsiaTheme="minorEastAsia" w:hAnsi="Times New Roman" w:cs="Times New Roman"/>
          <w:color w:val="000000" w:themeColor="text1"/>
          <w:sz w:val="20"/>
          <w:szCs w:val="20"/>
        </w:rPr>
        <w:t xml:space="preserve">, </w:t>
      </w:r>
      <w:r w:rsidR="1EF06773" w:rsidRPr="0023515F">
        <w:rPr>
          <w:rFonts w:ascii="Times New Roman" w:eastAsiaTheme="minorEastAsia" w:hAnsi="Times New Roman" w:cs="Times New Roman"/>
          <w:color w:val="000000" w:themeColor="text1"/>
          <w:sz w:val="20"/>
          <w:szCs w:val="20"/>
        </w:rPr>
        <w:t xml:space="preserve">da </w:t>
      </w:r>
      <w:r w:rsidR="7D23D832" w:rsidRPr="0023515F">
        <w:rPr>
          <w:rFonts w:ascii="Times New Roman" w:eastAsiaTheme="minorEastAsia" w:hAnsi="Times New Roman" w:cs="Times New Roman"/>
          <w:sz w:val="20"/>
          <w:szCs w:val="20"/>
        </w:rPr>
        <w:t>Lei nº 14.133</w:t>
      </w:r>
      <w:r w:rsidR="00854AB4" w:rsidRPr="0023515F">
        <w:rPr>
          <w:rFonts w:ascii="Times New Roman" w:eastAsiaTheme="minorEastAsia" w:hAnsi="Times New Roman" w:cs="Times New Roman"/>
          <w:sz w:val="20"/>
          <w:szCs w:val="20"/>
        </w:rPr>
        <w:t xml:space="preserve">, de </w:t>
      </w:r>
      <w:r w:rsidR="7D23D832" w:rsidRPr="0023515F">
        <w:rPr>
          <w:rFonts w:ascii="Times New Roman" w:eastAsiaTheme="minorEastAsia" w:hAnsi="Times New Roman" w:cs="Times New Roman"/>
          <w:sz w:val="20"/>
          <w:szCs w:val="20"/>
        </w:rPr>
        <w:t>2021</w:t>
      </w:r>
      <w:r w:rsidR="236E7928" w:rsidRPr="0023515F">
        <w:rPr>
          <w:rFonts w:ascii="Times New Roman" w:eastAsiaTheme="minorEastAsia" w:hAnsi="Times New Roman" w:cs="Times New Roman"/>
          <w:color w:val="000000" w:themeColor="text1"/>
          <w:sz w:val="20"/>
          <w:szCs w:val="20"/>
        </w:rPr>
        <w:t>)</w:t>
      </w:r>
      <w:r w:rsidR="084CF379" w:rsidRPr="0023515F">
        <w:rPr>
          <w:rFonts w:ascii="Times New Roman" w:eastAsiaTheme="minorEastAsia" w:hAnsi="Times New Roman" w:cs="Times New Roman"/>
          <w:color w:val="000000" w:themeColor="text1"/>
          <w:sz w:val="20"/>
          <w:szCs w:val="20"/>
        </w:rPr>
        <w:t>;</w:t>
      </w:r>
      <w:r w:rsidRPr="0023515F">
        <w:rPr>
          <w:rFonts w:ascii="Times New Roman" w:eastAsiaTheme="minorEastAsia" w:hAnsi="Times New Roman" w:cs="Times New Roman"/>
          <w:color w:val="000000" w:themeColor="text1"/>
          <w:sz w:val="20"/>
          <w:szCs w:val="20"/>
        </w:rPr>
        <w:t xml:space="preserve"> </w:t>
      </w:r>
      <w:r w:rsidR="0C37F12C" w:rsidRPr="0023515F">
        <w:rPr>
          <w:rFonts w:ascii="Times New Roman" w:eastAsiaTheme="minorEastAsia" w:hAnsi="Times New Roman" w:cs="Times New Roman"/>
          <w:color w:val="000000" w:themeColor="text1"/>
          <w:sz w:val="20"/>
          <w:szCs w:val="20"/>
          <w:lang w:eastAsia="pt-BR"/>
        </w:rPr>
        <w:t>e</w:t>
      </w:r>
    </w:p>
    <w:p w14:paraId="12225F61" w14:textId="2EC008D7" w:rsidR="004423CE" w:rsidRPr="000F4F07" w:rsidRDefault="3F127472" w:rsidP="00952A35">
      <w:pPr>
        <w:pStyle w:val="PargrafodaLista"/>
        <w:numPr>
          <w:ilvl w:val="0"/>
          <w:numId w:val="19"/>
        </w:numPr>
        <w:tabs>
          <w:tab w:val="left" w:pos="2552"/>
        </w:tabs>
        <w:spacing w:after="0" w:line="240" w:lineRule="auto"/>
        <w:ind w:left="2268" w:firstLine="0"/>
        <w:jc w:val="both"/>
        <w:rPr>
          <w:rFonts w:ascii="Times New Roman" w:eastAsiaTheme="minorEastAsia" w:hAnsi="Times New Roman" w:cs="Times New Roman"/>
          <w:color w:val="000000" w:themeColor="text1"/>
          <w:sz w:val="20"/>
          <w:szCs w:val="20"/>
        </w:rPr>
      </w:pPr>
      <w:r w:rsidRPr="000F4F07">
        <w:rPr>
          <w:rFonts w:ascii="Times New Roman" w:eastAsiaTheme="minorEastAsia" w:hAnsi="Times New Roman" w:cs="Times New Roman"/>
          <w:color w:val="000000" w:themeColor="text1"/>
          <w:sz w:val="20"/>
          <w:szCs w:val="20"/>
          <w:lang w:eastAsia="pt-BR"/>
        </w:rPr>
        <w:t>serviço</w:t>
      </w:r>
      <w:r w:rsidR="7C7873CD" w:rsidRPr="000F4F07">
        <w:rPr>
          <w:rFonts w:ascii="Times New Roman" w:eastAsiaTheme="minorEastAsia" w:hAnsi="Times New Roman" w:cs="Times New Roman"/>
          <w:color w:val="000000" w:themeColor="text1"/>
          <w:sz w:val="20"/>
          <w:szCs w:val="20"/>
          <w:lang w:eastAsia="pt-BR"/>
        </w:rPr>
        <w:t>s</w:t>
      </w:r>
      <w:r w:rsidRPr="000F4F07">
        <w:rPr>
          <w:rFonts w:ascii="Times New Roman" w:eastAsiaTheme="minorEastAsia" w:hAnsi="Times New Roman" w:cs="Times New Roman"/>
          <w:color w:val="000000" w:themeColor="text1"/>
          <w:sz w:val="20"/>
          <w:szCs w:val="20"/>
          <w:lang w:eastAsia="pt-BR"/>
        </w:rPr>
        <w:t xml:space="preserve"> especia</w:t>
      </w:r>
      <w:r w:rsidR="0E051472" w:rsidRPr="000F4F07">
        <w:rPr>
          <w:rFonts w:ascii="Times New Roman" w:eastAsiaTheme="minorEastAsia" w:hAnsi="Times New Roman" w:cs="Times New Roman"/>
          <w:color w:val="000000" w:themeColor="text1"/>
          <w:sz w:val="20"/>
          <w:szCs w:val="20"/>
          <w:lang w:eastAsia="pt-BR"/>
        </w:rPr>
        <w:t>is</w:t>
      </w:r>
      <w:r w:rsidRPr="000F4F07">
        <w:rPr>
          <w:rFonts w:ascii="Times New Roman" w:eastAsiaTheme="minorEastAsia" w:hAnsi="Times New Roman" w:cs="Times New Roman"/>
          <w:color w:val="000000" w:themeColor="text1"/>
          <w:sz w:val="20"/>
          <w:szCs w:val="20"/>
          <w:lang w:eastAsia="pt-BR"/>
        </w:rPr>
        <w:t xml:space="preserve"> de engenharia </w:t>
      </w:r>
      <w:r w:rsidR="781E4516" w:rsidRPr="000F4F07">
        <w:rPr>
          <w:rFonts w:ascii="Times New Roman" w:eastAsiaTheme="minorEastAsia" w:hAnsi="Times New Roman" w:cs="Times New Roman"/>
          <w:color w:val="000000" w:themeColor="text1"/>
          <w:sz w:val="20"/>
          <w:szCs w:val="20"/>
          <w:lang w:eastAsia="pt-BR"/>
        </w:rPr>
        <w:t>(</w:t>
      </w:r>
      <w:r w:rsidR="2B2C103C" w:rsidRPr="000F4F07">
        <w:rPr>
          <w:rFonts w:ascii="Times New Roman" w:eastAsiaTheme="minorEastAsia" w:hAnsi="Times New Roman" w:cs="Times New Roman"/>
          <w:color w:val="000000" w:themeColor="text1"/>
          <w:sz w:val="20"/>
          <w:szCs w:val="20"/>
          <w:lang w:eastAsia="pt-BR"/>
        </w:rPr>
        <w:t>de</w:t>
      </w:r>
      <w:r w:rsidR="163967AA" w:rsidRPr="000F4F07">
        <w:rPr>
          <w:rFonts w:ascii="Times New Roman" w:eastAsiaTheme="minorEastAsia" w:hAnsi="Times New Roman" w:cs="Times New Roman"/>
          <w:color w:val="000000" w:themeColor="text1"/>
          <w:sz w:val="20"/>
          <w:szCs w:val="20"/>
          <w:lang w:eastAsia="pt-BR"/>
        </w:rPr>
        <w:t>finidos</w:t>
      </w:r>
      <w:r w:rsidR="5DCB3DDD" w:rsidRPr="000F4F07">
        <w:rPr>
          <w:rFonts w:ascii="Times New Roman" w:eastAsiaTheme="minorEastAsia" w:hAnsi="Times New Roman" w:cs="Times New Roman"/>
          <w:color w:val="000000" w:themeColor="text1"/>
          <w:sz w:val="20"/>
          <w:szCs w:val="20"/>
          <w:lang w:eastAsia="pt-BR"/>
        </w:rPr>
        <w:t xml:space="preserve"> no art. 6º, XXI, alínea “b”</w:t>
      </w:r>
      <w:r w:rsidR="3047DD4A" w:rsidRPr="000F4F07">
        <w:rPr>
          <w:rFonts w:ascii="Times New Roman" w:eastAsiaTheme="minorEastAsia" w:hAnsi="Times New Roman" w:cs="Times New Roman"/>
          <w:color w:val="000000" w:themeColor="text1"/>
          <w:sz w:val="20"/>
          <w:szCs w:val="20"/>
          <w:lang w:eastAsia="pt-BR"/>
        </w:rPr>
        <w:t xml:space="preserve">, da </w:t>
      </w:r>
      <w:r w:rsidR="3047DD4A" w:rsidRPr="000F4F07">
        <w:rPr>
          <w:rFonts w:ascii="Times New Roman" w:eastAsiaTheme="minorEastAsia" w:hAnsi="Times New Roman" w:cs="Times New Roman"/>
          <w:sz w:val="20"/>
          <w:szCs w:val="20"/>
        </w:rPr>
        <w:t>Lei nº 14.133</w:t>
      </w:r>
      <w:r w:rsidR="00854AB4" w:rsidRPr="000F4F07">
        <w:rPr>
          <w:rFonts w:ascii="Times New Roman" w:eastAsiaTheme="minorEastAsia" w:hAnsi="Times New Roman" w:cs="Times New Roman"/>
          <w:sz w:val="20"/>
          <w:szCs w:val="20"/>
        </w:rPr>
        <w:t xml:space="preserve">, de </w:t>
      </w:r>
      <w:r w:rsidR="3047DD4A" w:rsidRPr="000F4F07">
        <w:rPr>
          <w:rFonts w:ascii="Times New Roman" w:eastAsiaTheme="minorEastAsia" w:hAnsi="Times New Roman" w:cs="Times New Roman"/>
          <w:sz w:val="20"/>
          <w:szCs w:val="20"/>
        </w:rPr>
        <w:t>2021</w:t>
      </w:r>
      <w:r w:rsidR="32A6C957" w:rsidRPr="000F4F07">
        <w:rPr>
          <w:rFonts w:ascii="Times New Roman" w:eastAsiaTheme="minorEastAsia" w:hAnsi="Times New Roman" w:cs="Times New Roman"/>
          <w:color w:val="000000" w:themeColor="text1"/>
          <w:sz w:val="20"/>
          <w:szCs w:val="20"/>
          <w:lang w:eastAsia="pt-BR"/>
        </w:rPr>
        <w:t>, isto é, “</w:t>
      </w:r>
      <w:r w:rsidR="32A6C957" w:rsidRPr="000F4F07">
        <w:rPr>
          <w:rFonts w:ascii="Times New Roman" w:eastAsiaTheme="minorEastAsia" w:hAnsi="Times New Roman" w:cs="Times New Roman"/>
          <w:i/>
          <w:iCs/>
          <w:color w:val="000000" w:themeColor="text1"/>
          <w:sz w:val="20"/>
          <w:szCs w:val="20"/>
          <w:lang w:eastAsia="pt-BR"/>
        </w:rPr>
        <w:t>aquele que, por sua alta heterogeneidade ou complexidade, não pode se enquadrar na definição constante da alínea “a” deste inciso</w:t>
      </w:r>
      <w:r w:rsidR="1D3062AD" w:rsidRPr="000F4F07">
        <w:rPr>
          <w:rFonts w:ascii="Times New Roman" w:eastAsiaTheme="minorEastAsia" w:hAnsi="Times New Roman" w:cs="Times New Roman"/>
          <w:color w:val="000000" w:themeColor="text1"/>
          <w:sz w:val="20"/>
          <w:szCs w:val="20"/>
        </w:rPr>
        <w:t>”</w:t>
      </w:r>
      <w:r w:rsidR="461DB98C" w:rsidRPr="000F4F07">
        <w:rPr>
          <w:rFonts w:ascii="Times New Roman" w:eastAsiaTheme="minorEastAsia" w:hAnsi="Times New Roman" w:cs="Times New Roman"/>
          <w:color w:val="000000" w:themeColor="text1"/>
          <w:sz w:val="20"/>
          <w:szCs w:val="20"/>
        </w:rPr>
        <w:t>)</w:t>
      </w:r>
      <w:r w:rsidR="48DE7BEF" w:rsidRPr="000F4F07">
        <w:rPr>
          <w:rFonts w:ascii="Times New Roman" w:eastAsiaTheme="minorEastAsia" w:hAnsi="Times New Roman" w:cs="Times New Roman"/>
          <w:color w:val="000000" w:themeColor="text1"/>
          <w:sz w:val="20"/>
          <w:szCs w:val="20"/>
        </w:rPr>
        <w:t>.</w:t>
      </w:r>
    </w:p>
    <w:p w14:paraId="67D48B21" w14:textId="2B3BCEDE" w:rsidR="004423CE" w:rsidRPr="00271BE3" w:rsidRDefault="004423CE" w:rsidP="00952A35">
      <w:pPr>
        <w:spacing w:after="0" w:line="240" w:lineRule="auto"/>
        <w:ind w:left="900" w:firstLine="68"/>
        <w:jc w:val="both"/>
        <w:rPr>
          <w:rFonts w:ascii="Times New Roman" w:eastAsia="Calibri" w:hAnsi="Times New Roman" w:cs="Times New Roman"/>
          <w:color w:val="000000" w:themeColor="text1"/>
          <w:sz w:val="24"/>
          <w:szCs w:val="24"/>
        </w:rPr>
      </w:pPr>
    </w:p>
    <w:p w14:paraId="75029C0D" w14:textId="24A6785E" w:rsidR="108F4F82" w:rsidRPr="00271BE3" w:rsidRDefault="2F96675D" w:rsidP="00952A35">
      <w:pPr>
        <w:spacing w:after="0" w:line="240" w:lineRule="auto"/>
        <w:jc w:val="both"/>
        <w:rPr>
          <w:rFonts w:ascii="Times New Roman" w:eastAsia="Times New Roman" w:hAnsi="Times New Roman" w:cs="Times New Roman"/>
          <w:color w:val="000000" w:themeColor="text1"/>
          <w:sz w:val="24"/>
          <w:szCs w:val="24"/>
          <w:lang w:eastAsia="pt-BR"/>
        </w:rPr>
      </w:pPr>
      <w:r w:rsidRPr="00271BE3">
        <w:rPr>
          <w:rFonts w:ascii="Times New Roman" w:eastAsiaTheme="minorEastAsia" w:hAnsi="Times New Roman" w:cs="Times New Roman"/>
          <w:color w:val="FF0000"/>
          <w:sz w:val="24"/>
          <w:szCs w:val="24"/>
        </w:rPr>
        <w:t>São</w:t>
      </w:r>
      <w:r w:rsidRPr="00271BE3">
        <w:rPr>
          <w:rFonts w:ascii="Times New Roman" w:eastAsiaTheme="minorEastAsia" w:hAnsi="Times New Roman" w:cs="Times New Roman"/>
          <w:i/>
          <w:iCs/>
          <w:color w:val="FF0000"/>
          <w:sz w:val="24"/>
          <w:szCs w:val="24"/>
        </w:rPr>
        <w:t xml:space="preserve"> </w:t>
      </w:r>
      <w:r w:rsidRPr="00271BE3">
        <w:rPr>
          <w:rFonts w:ascii="Times New Roman" w:eastAsiaTheme="minorEastAsia" w:hAnsi="Times New Roman" w:cs="Times New Roman"/>
          <w:color w:val="FF0000"/>
          <w:sz w:val="24"/>
          <w:szCs w:val="24"/>
        </w:rPr>
        <w:t>considerados</w:t>
      </w:r>
      <w:r w:rsidRPr="00271BE3">
        <w:rPr>
          <w:rFonts w:ascii="Times New Roman" w:eastAsiaTheme="minorEastAsia" w:hAnsi="Times New Roman" w:cs="Times New Roman"/>
          <w:i/>
          <w:iCs/>
          <w:color w:val="FF0000"/>
          <w:sz w:val="24"/>
          <w:szCs w:val="24"/>
        </w:rPr>
        <w:t xml:space="preserve"> </w:t>
      </w:r>
      <w:r w:rsidR="008E7A9B" w:rsidRPr="00271BE3">
        <w:rPr>
          <w:rFonts w:ascii="Times New Roman" w:eastAsiaTheme="minorEastAsia" w:hAnsi="Times New Roman" w:cs="Times New Roman"/>
          <w:color w:val="FF0000"/>
          <w:sz w:val="24"/>
          <w:szCs w:val="24"/>
        </w:rPr>
        <w:t>serviços técnicos especializados de natureza predominantemente intelectual</w:t>
      </w:r>
      <w:r w:rsidR="109F6630" w:rsidRPr="00271BE3">
        <w:rPr>
          <w:rFonts w:ascii="Times New Roman" w:eastAsiaTheme="minorEastAsia" w:hAnsi="Times New Roman" w:cs="Times New Roman"/>
          <w:color w:val="FF0000"/>
          <w:sz w:val="24"/>
          <w:szCs w:val="24"/>
        </w:rPr>
        <w:t xml:space="preserve"> </w:t>
      </w:r>
      <w:r w:rsidR="008E7A9B" w:rsidRPr="00271BE3">
        <w:rPr>
          <w:rFonts w:ascii="Times New Roman" w:eastAsiaTheme="minorEastAsia" w:hAnsi="Times New Roman" w:cs="Times New Roman"/>
          <w:color w:val="FF0000"/>
          <w:sz w:val="24"/>
          <w:szCs w:val="24"/>
        </w:rPr>
        <w:t>aqueles realizados em trabalhos relativos a</w:t>
      </w:r>
      <w:r w:rsidR="5CBB40F1" w:rsidRPr="00271BE3">
        <w:rPr>
          <w:rFonts w:ascii="Times New Roman" w:eastAsiaTheme="minorEastAsia" w:hAnsi="Times New Roman" w:cs="Times New Roman"/>
          <w:color w:val="FF0000"/>
          <w:sz w:val="24"/>
          <w:szCs w:val="24"/>
        </w:rPr>
        <w:t>:</w:t>
      </w:r>
      <w:r w:rsidR="008E7A9B" w:rsidRPr="00271BE3">
        <w:rPr>
          <w:rFonts w:ascii="Times New Roman" w:eastAsiaTheme="minorEastAsia" w:hAnsi="Times New Roman" w:cs="Times New Roman"/>
          <w:color w:val="FF0000"/>
          <w:sz w:val="24"/>
          <w:szCs w:val="24"/>
        </w:rPr>
        <w:t xml:space="preserve"> </w:t>
      </w:r>
      <w:r w:rsidR="008E7A9B" w:rsidRPr="00271BE3">
        <w:rPr>
          <w:rFonts w:ascii="Times New Roman" w:eastAsiaTheme="minorEastAsia" w:hAnsi="Times New Roman" w:cs="Times New Roman"/>
          <w:i/>
          <w:iCs/>
          <w:color w:val="FF0000"/>
          <w:sz w:val="24"/>
          <w:szCs w:val="24"/>
        </w:rPr>
        <w:t>estudos técnicos, planejamentos, projetos básicos, projetos executivos</w:t>
      </w:r>
      <w:r w:rsidR="273F467E" w:rsidRPr="00271BE3">
        <w:rPr>
          <w:rFonts w:ascii="Times New Roman" w:eastAsiaTheme="minorEastAsia" w:hAnsi="Times New Roman" w:cs="Times New Roman"/>
          <w:i/>
          <w:iCs/>
          <w:color w:val="FF0000"/>
          <w:sz w:val="24"/>
          <w:szCs w:val="24"/>
        </w:rPr>
        <w:t>;</w:t>
      </w:r>
      <w:r w:rsidR="008E7A9B" w:rsidRPr="00271BE3">
        <w:rPr>
          <w:rFonts w:ascii="Times New Roman" w:eastAsiaTheme="minorEastAsia" w:hAnsi="Times New Roman" w:cs="Times New Roman"/>
          <w:i/>
          <w:iCs/>
          <w:color w:val="FF0000"/>
          <w:sz w:val="24"/>
          <w:szCs w:val="24"/>
        </w:rPr>
        <w:t xml:space="preserve"> pareceres, perícias e avaliações em geral;</w:t>
      </w:r>
      <w:r w:rsidR="0B32487E" w:rsidRPr="00271BE3">
        <w:rPr>
          <w:rFonts w:ascii="Times New Roman" w:eastAsiaTheme="minorEastAsia" w:hAnsi="Times New Roman" w:cs="Times New Roman"/>
          <w:i/>
          <w:iCs/>
          <w:color w:val="FF0000"/>
          <w:sz w:val="24"/>
          <w:szCs w:val="24"/>
        </w:rPr>
        <w:t xml:space="preserve"> assessorias e consultorias técnicas</w:t>
      </w:r>
      <w:r w:rsidR="7E2844EE" w:rsidRPr="00271BE3">
        <w:rPr>
          <w:rFonts w:ascii="Times New Roman" w:eastAsiaTheme="minorEastAsia" w:hAnsi="Times New Roman" w:cs="Times New Roman"/>
          <w:i/>
          <w:iCs/>
          <w:color w:val="FF0000"/>
          <w:sz w:val="24"/>
          <w:szCs w:val="24"/>
        </w:rPr>
        <w:t>;</w:t>
      </w:r>
      <w:r w:rsidR="0B32487E" w:rsidRPr="00271BE3">
        <w:rPr>
          <w:rFonts w:ascii="Times New Roman" w:eastAsiaTheme="minorEastAsia" w:hAnsi="Times New Roman" w:cs="Times New Roman"/>
          <w:i/>
          <w:iCs/>
          <w:color w:val="FF0000"/>
          <w:sz w:val="24"/>
          <w:szCs w:val="24"/>
        </w:rPr>
        <w:t xml:space="preserve"> fiscalização, supervisão e gerenciamento de obras e serviços; restauração de obras de arte e de bens de valor histórico</w:t>
      </w:r>
      <w:r w:rsidR="4FA1BAE2" w:rsidRPr="00271BE3">
        <w:rPr>
          <w:rFonts w:ascii="Times New Roman" w:eastAsiaTheme="minorEastAsia" w:hAnsi="Times New Roman" w:cs="Times New Roman"/>
          <w:i/>
          <w:iCs/>
          <w:color w:val="FF0000"/>
          <w:sz w:val="24"/>
          <w:szCs w:val="24"/>
        </w:rPr>
        <w:t xml:space="preserve">, </w:t>
      </w:r>
      <w:r w:rsidR="4FA1BAE2" w:rsidRPr="00271BE3">
        <w:rPr>
          <w:rFonts w:ascii="Times New Roman" w:eastAsiaTheme="minorEastAsia" w:hAnsi="Times New Roman" w:cs="Times New Roman"/>
          <w:color w:val="FF0000"/>
          <w:sz w:val="24"/>
          <w:szCs w:val="24"/>
        </w:rPr>
        <w:t>dentre outros</w:t>
      </w:r>
      <w:r w:rsidR="527A75F2" w:rsidRPr="00271BE3">
        <w:rPr>
          <w:rFonts w:ascii="Times New Roman" w:eastAsiaTheme="minorEastAsia" w:hAnsi="Times New Roman" w:cs="Times New Roman"/>
          <w:i/>
          <w:iCs/>
          <w:color w:val="FF0000"/>
          <w:sz w:val="24"/>
          <w:szCs w:val="24"/>
        </w:rPr>
        <w:t xml:space="preserve"> </w:t>
      </w:r>
      <w:r w:rsidR="008E7A9B" w:rsidRPr="00271BE3">
        <w:rPr>
          <w:rFonts w:ascii="Times New Roman" w:eastAsiaTheme="minorEastAsia" w:hAnsi="Times New Roman" w:cs="Times New Roman"/>
          <w:color w:val="FF0000"/>
          <w:sz w:val="24"/>
          <w:szCs w:val="24"/>
        </w:rPr>
        <w:t>(art. 6º, XVIII, da Lei nº 14.133</w:t>
      </w:r>
      <w:r w:rsidR="00854AB4" w:rsidRPr="00271BE3">
        <w:rPr>
          <w:rFonts w:ascii="Times New Roman" w:eastAsiaTheme="minorEastAsia" w:hAnsi="Times New Roman" w:cs="Times New Roman"/>
          <w:color w:val="FF0000"/>
          <w:sz w:val="24"/>
          <w:szCs w:val="24"/>
        </w:rPr>
        <w:t xml:space="preserve">, de </w:t>
      </w:r>
      <w:r w:rsidR="008E7A9B" w:rsidRPr="00271BE3">
        <w:rPr>
          <w:rFonts w:ascii="Times New Roman" w:eastAsiaTheme="minorEastAsia" w:hAnsi="Times New Roman" w:cs="Times New Roman"/>
          <w:color w:val="FF0000"/>
          <w:sz w:val="24"/>
          <w:szCs w:val="24"/>
        </w:rPr>
        <w:t>2021), o que demanda o exame e manifestação do setor técnico da Administração quanto à natureza do objeto, de modo a aferir a adequação da modalidade licitatória.</w:t>
      </w:r>
      <w:r w:rsidR="008E7A9B" w:rsidRPr="00271BE3">
        <w:rPr>
          <w:rFonts w:ascii="Times New Roman" w:eastAsia="Times New Roman" w:hAnsi="Times New Roman" w:cs="Times New Roman"/>
          <w:color w:val="000000" w:themeColor="text1"/>
          <w:sz w:val="24"/>
          <w:szCs w:val="24"/>
          <w:lang w:eastAsia="pt-BR"/>
        </w:rPr>
        <w:t> </w:t>
      </w:r>
    </w:p>
    <w:p w14:paraId="61D0C05F" w14:textId="696A5D28" w:rsidR="3BB4FC71" w:rsidRPr="00271BE3" w:rsidRDefault="3BB4FC71" w:rsidP="00952A35">
      <w:pPr>
        <w:spacing w:after="0" w:line="240" w:lineRule="auto"/>
        <w:jc w:val="both"/>
        <w:rPr>
          <w:rFonts w:ascii="Times New Roman" w:eastAsia="Calibri" w:hAnsi="Times New Roman" w:cs="Times New Roman"/>
          <w:color w:val="000000" w:themeColor="text1"/>
          <w:sz w:val="24"/>
          <w:szCs w:val="24"/>
          <w:highlight w:val="cyan"/>
        </w:rPr>
      </w:pPr>
    </w:p>
    <w:p w14:paraId="64B6B8EF" w14:textId="0F5A09BF" w:rsidR="004423CE" w:rsidRPr="00271BE3" w:rsidRDefault="3A8C1A68" w:rsidP="00952A35">
      <w:pPr>
        <w:spacing w:after="0" w:line="240" w:lineRule="auto"/>
        <w:jc w:val="both"/>
        <w:rPr>
          <w:rFonts w:ascii="Times New Roman" w:eastAsia="Calibri" w:hAnsi="Times New Roman" w:cs="Times New Roman"/>
          <w:color w:val="000000" w:themeColor="text1"/>
          <w:sz w:val="24"/>
          <w:szCs w:val="24"/>
          <w:highlight w:val="cyan"/>
        </w:rPr>
      </w:pPr>
      <w:r w:rsidRPr="00271BE3">
        <w:rPr>
          <w:rFonts w:ascii="Times New Roman" w:eastAsia="Calibri" w:hAnsi="Times New Roman" w:cs="Times New Roman"/>
          <w:color w:val="000000" w:themeColor="text1"/>
          <w:sz w:val="24"/>
          <w:szCs w:val="24"/>
          <w:highlight w:val="cyan"/>
        </w:rPr>
        <w:t>No caso, v</w:t>
      </w:r>
      <w:r w:rsidR="0E549DF3" w:rsidRPr="00271BE3">
        <w:rPr>
          <w:rFonts w:ascii="Times New Roman" w:eastAsia="Calibri" w:hAnsi="Times New Roman" w:cs="Times New Roman"/>
          <w:color w:val="000000" w:themeColor="text1"/>
          <w:sz w:val="24"/>
          <w:szCs w:val="24"/>
          <w:highlight w:val="cyan"/>
        </w:rPr>
        <w:t xml:space="preserve">ê-se que a escolha do Pregão Eletrônico, como modalidade de licitação, foi adequada, pois o serviço </w:t>
      </w:r>
      <w:r w:rsidR="1C5C0AAB" w:rsidRPr="00271BE3">
        <w:rPr>
          <w:rFonts w:ascii="Times New Roman" w:eastAsia="Calibri" w:hAnsi="Times New Roman" w:cs="Times New Roman"/>
          <w:color w:val="000000" w:themeColor="text1"/>
          <w:sz w:val="24"/>
          <w:szCs w:val="24"/>
          <w:highlight w:val="cyan"/>
        </w:rPr>
        <w:t xml:space="preserve">de engenharia </w:t>
      </w:r>
      <w:r w:rsidR="0E549DF3" w:rsidRPr="00271BE3">
        <w:rPr>
          <w:rFonts w:ascii="Times New Roman" w:eastAsia="Calibri" w:hAnsi="Times New Roman" w:cs="Times New Roman"/>
          <w:color w:val="000000" w:themeColor="text1"/>
          <w:sz w:val="24"/>
          <w:szCs w:val="24"/>
          <w:highlight w:val="cyan"/>
        </w:rPr>
        <w:t>a ser contratado foi qualificado como comum pela unidade técnica (</w:t>
      </w:r>
      <w:r w:rsidR="0E549DF3" w:rsidRPr="00271BE3">
        <w:rPr>
          <w:rFonts w:ascii="Times New Roman" w:eastAsia="Calibri" w:hAnsi="Times New Roman" w:cs="Times New Roman"/>
          <w:sz w:val="24"/>
          <w:szCs w:val="24"/>
          <w:highlight w:val="cyan"/>
        </w:rPr>
        <w:t>art. 6º, X</w:t>
      </w:r>
      <w:r w:rsidR="4CE35F63" w:rsidRPr="00271BE3">
        <w:rPr>
          <w:rFonts w:ascii="Times New Roman" w:eastAsia="Calibri" w:hAnsi="Times New Roman" w:cs="Times New Roman"/>
          <w:sz w:val="24"/>
          <w:szCs w:val="24"/>
          <w:highlight w:val="cyan"/>
        </w:rPr>
        <w:t>XI, alínea “a”</w:t>
      </w:r>
      <w:r w:rsidR="0E549DF3" w:rsidRPr="00271BE3">
        <w:rPr>
          <w:rFonts w:ascii="Times New Roman" w:eastAsia="Calibri" w:hAnsi="Times New Roman" w:cs="Times New Roman"/>
          <w:sz w:val="24"/>
          <w:szCs w:val="24"/>
          <w:highlight w:val="cyan"/>
        </w:rPr>
        <w:t xml:space="preserve">, </w:t>
      </w:r>
      <w:r w:rsidR="0E549DF3" w:rsidRPr="00271BE3">
        <w:rPr>
          <w:rFonts w:ascii="Times New Roman" w:eastAsia="Calibri" w:hAnsi="Times New Roman" w:cs="Times New Roman"/>
          <w:color w:val="000000" w:themeColor="text1"/>
          <w:sz w:val="24"/>
          <w:szCs w:val="24"/>
          <w:highlight w:val="cyan"/>
        </w:rPr>
        <w:t>e art. 29</w:t>
      </w:r>
      <w:r w:rsidR="0E549DF3" w:rsidRPr="00271BE3">
        <w:rPr>
          <w:rFonts w:ascii="Times New Roman" w:eastAsia="Calibri" w:hAnsi="Times New Roman" w:cs="Times New Roman"/>
          <w:sz w:val="24"/>
          <w:szCs w:val="24"/>
          <w:highlight w:val="cyan"/>
        </w:rPr>
        <w:t xml:space="preserve"> da</w:t>
      </w:r>
      <w:r w:rsidR="4475B438" w:rsidRPr="00271BE3">
        <w:rPr>
          <w:rFonts w:ascii="Times New Roman" w:eastAsia="Calibri" w:hAnsi="Times New Roman" w:cs="Times New Roman"/>
          <w:sz w:val="24"/>
          <w:szCs w:val="24"/>
          <w:highlight w:val="cyan"/>
        </w:rPr>
        <w:t xml:space="preserve"> Lei nº 14.133</w:t>
      </w:r>
      <w:r w:rsidR="00EC1025" w:rsidRPr="00271BE3">
        <w:rPr>
          <w:rFonts w:ascii="Times New Roman" w:eastAsia="Calibri" w:hAnsi="Times New Roman" w:cs="Times New Roman"/>
          <w:sz w:val="24"/>
          <w:szCs w:val="24"/>
          <w:highlight w:val="cyan"/>
        </w:rPr>
        <w:t xml:space="preserve">, de </w:t>
      </w:r>
      <w:r w:rsidR="4475B438" w:rsidRPr="00271BE3">
        <w:rPr>
          <w:rFonts w:ascii="Times New Roman" w:eastAsia="Calibri" w:hAnsi="Times New Roman" w:cs="Times New Roman"/>
          <w:sz w:val="24"/>
          <w:szCs w:val="24"/>
          <w:highlight w:val="cyan"/>
        </w:rPr>
        <w:t>2021</w:t>
      </w:r>
      <w:r w:rsidR="0E549DF3" w:rsidRPr="00271BE3">
        <w:rPr>
          <w:rFonts w:ascii="Times New Roman" w:eastAsia="Calibri" w:hAnsi="Times New Roman" w:cs="Times New Roman"/>
          <w:color w:val="000000" w:themeColor="text1"/>
          <w:sz w:val="24"/>
          <w:szCs w:val="24"/>
          <w:highlight w:val="cyan"/>
        </w:rPr>
        <w:t xml:space="preserve"> c/c Orientação Normativa AGU nº 54</w:t>
      </w:r>
      <w:r w:rsidR="008A21F9" w:rsidRPr="00271BE3">
        <w:rPr>
          <w:rFonts w:ascii="Times New Roman" w:eastAsia="Calibri" w:hAnsi="Times New Roman" w:cs="Times New Roman"/>
          <w:color w:val="000000" w:themeColor="text1"/>
          <w:sz w:val="24"/>
          <w:szCs w:val="24"/>
          <w:highlight w:val="cyan"/>
        </w:rPr>
        <w:t>, de 20</w:t>
      </w:r>
      <w:r w:rsidR="0E549DF3" w:rsidRPr="00271BE3">
        <w:rPr>
          <w:rFonts w:ascii="Times New Roman" w:eastAsia="Calibri" w:hAnsi="Times New Roman" w:cs="Times New Roman"/>
          <w:color w:val="000000" w:themeColor="text1"/>
          <w:sz w:val="24"/>
          <w:szCs w:val="24"/>
          <w:highlight w:val="cyan"/>
        </w:rPr>
        <w:t xml:space="preserve">14, </w:t>
      </w:r>
      <w:r w:rsidR="0E549DF3" w:rsidRPr="00271BE3">
        <w:rPr>
          <w:rFonts w:ascii="Times New Roman" w:eastAsia="Calibri" w:hAnsi="Times New Roman" w:cs="Times New Roman"/>
          <w:color w:val="FF0000"/>
          <w:sz w:val="24"/>
          <w:szCs w:val="24"/>
          <w:highlight w:val="cyan"/>
        </w:rPr>
        <w:t>item XXX do TR</w:t>
      </w:r>
      <w:r w:rsidR="0E549DF3" w:rsidRPr="00271BE3">
        <w:rPr>
          <w:rFonts w:ascii="Times New Roman" w:eastAsia="Calibri" w:hAnsi="Times New Roman" w:cs="Times New Roman"/>
          <w:color w:val="000000" w:themeColor="text1"/>
          <w:sz w:val="24"/>
          <w:szCs w:val="24"/>
          <w:highlight w:val="cyan"/>
        </w:rPr>
        <w:t>). Destaque-se que, à luz do art. 6º, XLI, da Lei nº 14.133</w:t>
      </w:r>
      <w:r w:rsidR="00EC1025" w:rsidRPr="00271BE3">
        <w:rPr>
          <w:rFonts w:ascii="Times New Roman" w:eastAsia="Calibri" w:hAnsi="Times New Roman" w:cs="Times New Roman"/>
          <w:color w:val="000000" w:themeColor="text1"/>
          <w:sz w:val="24"/>
          <w:szCs w:val="24"/>
          <w:highlight w:val="cyan"/>
        </w:rPr>
        <w:t xml:space="preserve">, de </w:t>
      </w:r>
      <w:r w:rsidR="0E549DF3" w:rsidRPr="00271BE3">
        <w:rPr>
          <w:rFonts w:ascii="Times New Roman" w:eastAsia="Calibri" w:hAnsi="Times New Roman" w:cs="Times New Roman"/>
          <w:color w:val="000000" w:themeColor="text1"/>
          <w:sz w:val="24"/>
          <w:szCs w:val="24"/>
          <w:highlight w:val="cyan"/>
        </w:rPr>
        <w:t>2021, somente é possível licitar o presente objeto sob o tipo menor preço ou maior desconto.</w:t>
      </w:r>
    </w:p>
    <w:p w14:paraId="5E125926" w14:textId="7D38085A" w:rsidR="004423CE" w:rsidRPr="00271BE3" w:rsidRDefault="31892794" w:rsidP="00952A35">
      <w:pPr>
        <w:spacing w:after="0" w:line="240" w:lineRule="auto"/>
        <w:ind w:firstLine="708"/>
        <w:jc w:val="both"/>
        <w:rPr>
          <w:rFonts w:ascii="Times New Roman" w:hAnsi="Times New Roman" w:cs="Times New Roman"/>
          <w:sz w:val="24"/>
          <w:szCs w:val="24"/>
          <w:highlight w:val="cyan"/>
        </w:rPr>
      </w:pPr>
      <w:r w:rsidRPr="00271BE3">
        <w:rPr>
          <w:rFonts w:ascii="Times New Roman" w:eastAsia="Calibri" w:hAnsi="Times New Roman" w:cs="Times New Roman"/>
          <w:b/>
          <w:bCs/>
          <w:color w:val="000000" w:themeColor="text1"/>
          <w:sz w:val="24"/>
          <w:szCs w:val="24"/>
          <w:highlight w:val="cyan"/>
          <w:u w:val="single"/>
        </w:rPr>
        <w:t>OU</w:t>
      </w:r>
    </w:p>
    <w:p w14:paraId="6547CFB7" w14:textId="02F194C1" w:rsidR="004423CE" w:rsidRPr="00271BE3" w:rsidRDefault="3C6AE2C5" w:rsidP="00C7461B">
      <w:pPr>
        <w:spacing w:after="0" w:line="240" w:lineRule="auto"/>
        <w:ind w:firstLine="708"/>
        <w:jc w:val="both"/>
        <w:rPr>
          <w:rFonts w:ascii="Times New Roman" w:hAnsi="Times New Roman" w:cs="Times New Roman"/>
          <w:sz w:val="24"/>
          <w:szCs w:val="24"/>
        </w:rPr>
      </w:pPr>
      <w:r w:rsidRPr="594C5555">
        <w:rPr>
          <w:rFonts w:ascii="Times New Roman" w:eastAsia="Calibri" w:hAnsi="Times New Roman" w:cs="Times New Roman"/>
          <w:color w:val="000000" w:themeColor="text1"/>
          <w:sz w:val="24"/>
          <w:szCs w:val="24"/>
          <w:highlight w:val="cyan"/>
        </w:rPr>
        <w:t>No caso</w:t>
      </w:r>
      <w:r w:rsidR="08D195F6" w:rsidRPr="594C5555">
        <w:rPr>
          <w:rFonts w:ascii="Times New Roman" w:eastAsia="Calibri" w:hAnsi="Times New Roman" w:cs="Times New Roman"/>
          <w:color w:val="000000" w:themeColor="text1"/>
          <w:sz w:val="24"/>
          <w:szCs w:val="24"/>
          <w:highlight w:val="cyan"/>
        </w:rPr>
        <w:t xml:space="preserve">, para que seja comprovada a adequação da modalidade escolhida para o processamento da licitação, </w:t>
      </w:r>
      <w:r w:rsidR="08D195F6" w:rsidRPr="594C5555">
        <w:rPr>
          <w:rFonts w:ascii="Times New Roman" w:eastAsia="Calibri" w:hAnsi="Times New Roman" w:cs="Times New Roman"/>
          <w:color w:val="000000" w:themeColor="text1"/>
          <w:sz w:val="24"/>
          <w:szCs w:val="24"/>
          <w:highlight w:val="cyan"/>
          <w:u w:val="single"/>
        </w:rPr>
        <w:t xml:space="preserve">deverá a Administração declarar </w:t>
      </w:r>
      <w:r w:rsidR="08D195F6" w:rsidRPr="594C5555">
        <w:rPr>
          <w:rFonts w:ascii="Times New Roman" w:eastAsia="Calibri" w:hAnsi="Times New Roman" w:cs="Times New Roman"/>
          <w:color w:val="000000" w:themeColor="text1"/>
          <w:sz w:val="24"/>
          <w:szCs w:val="24"/>
          <w:highlight w:val="cyan"/>
        </w:rPr>
        <w:t>expressamente nos autos que o objeto pode ser considerado como um serviço comum</w:t>
      </w:r>
      <w:r w:rsidR="04CD238C" w:rsidRPr="594C5555">
        <w:rPr>
          <w:rFonts w:ascii="Times New Roman" w:eastAsia="Calibri" w:hAnsi="Times New Roman" w:cs="Times New Roman"/>
          <w:color w:val="000000" w:themeColor="text1"/>
          <w:sz w:val="24"/>
          <w:szCs w:val="24"/>
          <w:highlight w:val="cyan"/>
        </w:rPr>
        <w:t xml:space="preserve"> de engenharia</w:t>
      </w:r>
      <w:r w:rsidR="08D195F6" w:rsidRPr="594C5555">
        <w:rPr>
          <w:rFonts w:ascii="Times New Roman" w:eastAsia="Calibri" w:hAnsi="Times New Roman" w:cs="Times New Roman"/>
          <w:color w:val="000000" w:themeColor="text1"/>
          <w:sz w:val="24"/>
          <w:szCs w:val="24"/>
          <w:highlight w:val="cyan"/>
        </w:rPr>
        <w:t>, atendendo aos requisitos do</w:t>
      </w:r>
      <w:r w:rsidR="08D195F6" w:rsidRPr="594C5555">
        <w:rPr>
          <w:rFonts w:ascii="Times New Roman" w:eastAsia="Calibri" w:hAnsi="Times New Roman" w:cs="Times New Roman"/>
          <w:sz w:val="24"/>
          <w:szCs w:val="24"/>
          <w:highlight w:val="cyan"/>
        </w:rPr>
        <w:t xml:space="preserve"> art. 6º, </w:t>
      </w:r>
      <w:r w:rsidR="44FD0FFA" w:rsidRPr="594C5555">
        <w:rPr>
          <w:rFonts w:ascii="Times New Roman" w:eastAsia="Calibri" w:hAnsi="Times New Roman" w:cs="Times New Roman"/>
          <w:sz w:val="24"/>
          <w:szCs w:val="24"/>
          <w:highlight w:val="cyan"/>
        </w:rPr>
        <w:t>XXI, “a”</w:t>
      </w:r>
      <w:r w:rsidR="08D195F6" w:rsidRPr="594C5555">
        <w:rPr>
          <w:rFonts w:ascii="Times New Roman" w:eastAsia="Calibri" w:hAnsi="Times New Roman" w:cs="Times New Roman"/>
          <w:sz w:val="24"/>
          <w:szCs w:val="24"/>
          <w:highlight w:val="cyan"/>
        </w:rPr>
        <w:t xml:space="preserve">, </w:t>
      </w:r>
      <w:r w:rsidR="08D195F6" w:rsidRPr="594C5555">
        <w:rPr>
          <w:rFonts w:ascii="Times New Roman" w:eastAsia="Calibri" w:hAnsi="Times New Roman" w:cs="Times New Roman"/>
          <w:color w:val="000000" w:themeColor="text1"/>
          <w:sz w:val="24"/>
          <w:szCs w:val="24"/>
          <w:highlight w:val="cyan"/>
        </w:rPr>
        <w:t>e art. 29</w:t>
      </w:r>
      <w:r w:rsidR="08D195F6" w:rsidRPr="594C5555">
        <w:rPr>
          <w:rFonts w:ascii="Times New Roman" w:eastAsia="Calibri" w:hAnsi="Times New Roman" w:cs="Times New Roman"/>
          <w:sz w:val="24"/>
          <w:szCs w:val="24"/>
          <w:highlight w:val="cyan"/>
        </w:rPr>
        <w:t xml:space="preserve"> da </w:t>
      </w:r>
      <w:r w:rsidR="1085E094" w:rsidRPr="594C5555">
        <w:rPr>
          <w:rFonts w:ascii="Times New Roman" w:eastAsia="Calibri" w:hAnsi="Times New Roman" w:cs="Times New Roman"/>
          <w:sz w:val="24"/>
          <w:szCs w:val="24"/>
          <w:highlight w:val="cyan"/>
        </w:rPr>
        <w:t>Lei nº 14.133</w:t>
      </w:r>
      <w:r w:rsidR="00EC1025" w:rsidRPr="594C5555">
        <w:rPr>
          <w:rFonts w:ascii="Times New Roman" w:eastAsia="Calibri" w:hAnsi="Times New Roman" w:cs="Times New Roman"/>
          <w:sz w:val="24"/>
          <w:szCs w:val="24"/>
          <w:highlight w:val="cyan"/>
        </w:rPr>
        <w:t xml:space="preserve">, de </w:t>
      </w:r>
      <w:r w:rsidR="1085E094" w:rsidRPr="594C5555">
        <w:rPr>
          <w:rFonts w:ascii="Times New Roman" w:eastAsia="Calibri" w:hAnsi="Times New Roman" w:cs="Times New Roman"/>
          <w:sz w:val="24"/>
          <w:szCs w:val="24"/>
          <w:highlight w:val="cyan"/>
        </w:rPr>
        <w:t>2021</w:t>
      </w:r>
      <w:r w:rsidR="08D195F6" w:rsidRPr="594C5555">
        <w:rPr>
          <w:rFonts w:ascii="Times New Roman" w:eastAsia="Calibri" w:hAnsi="Times New Roman" w:cs="Times New Roman"/>
          <w:color w:val="000000" w:themeColor="text1"/>
          <w:sz w:val="24"/>
          <w:szCs w:val="24"/>
          <w:highlight w:val="cyan"/>
        </w:rPr>
        <w:t xml:space="preserve"> c/c Orientação Normativa AGU nº 54</w:t>
      </w:r>
      <w:r w:rsidR="008A21F9" w:rsidRPr="594C5555">
        <w:rPr>
          <w:rFonts w:ascii="Times New Roman" w:eastAsia="Calibri" w:hAnsi="Times New Roman" w:cs="Times New Roman"/>
          <w:color w:val="000000" w:themeColor="text1"/>
          <w:sz w:val="24"/>
          <w:szCs w:val="24"/>
          <w:highlight w:val="cyan"/>
        </w:rPr>
        <w:t>, de 20</w:t>
      </w:r>
      <w:r w:rsidR="08D195F6" w:rsidRPr="594C5555">
        <w:rPr>
          <w:rFonts w:ascii="Times New Roman" w:eastAsia="Calibri" w:hAnsi="Times New Roman" w:cs="Times New Roman"/>
          <w:color w:val="000000" w:themeColor="text1"/>
          <w:sz w:val="24"/>
          <w:szCs w:val="24"/>
          <w:highlight w:val="cyan"/>
        </w:rPr>
        <w:t>14. Se esse for o caso, somente será possível licitar o presente objeto sob o tipo menor preço ou maior desconto (</w:t>
      </w:r>
      <w:r w:rsidR="08D195F6" w:rsidRPr="594C5555">
        <w:rPr>
          <w:rFonts w:ascii="Times New Roman" w:eastAsia="Calibri" w:hAnsi="Times New Roman" w:cs="Times New Roman"/>
          <w:sz w:val="24"/>
          <w:szCs w:val="24"/>
          <w:highlight w:val="cyan"/>
        </w:rPr>
        <w:t>art. 6º, XLI, da Lei nº 14.133</w:t>
      </w:r>
      <w:r w:rsidR="00EC1025" w:rsidRPr="594C5555">
        <w:rPr>
          <w:rFonts w:ascii="Times New Roman" w:eastAsia="Calibri" w:hAnsi="Times New Roman" w:cs="Times New Roman"/>
          <w:sz w:val="24"/>
          <w:szCs w:val="24"/>
          <w:highlight w:val="cyan"/>
        </w:rPr>
        <w:t xml:space="preserve">, de </w:t>
      </w:r>
      <w:r w:rsidR="08D195F6" w:rsidRPr="594C5555">
        <w:rPr>
          <w:rFonts w:ascii="Times New Roman" w:eastAsia="Calibri" w:hAnsi="Times New Roman" w:cs="Times New Roman"/>
          <w:sz w:val="24"/>
          <w:szCs w:val="24"/>
          <w:highlight w:val="cyan"/>
        </w:rPr>
        <w:t>2021</w:t>
      </w:r>
      <w:r w:rsidR="08D195F6" w:rsidRPr="594C5555">
        <w:rPr>
          <w:rFonts w:ascii="Times New Roman" w:eastAsia="Calibri" w:hAnsi="Times New Roman" w:cs="Times New Roman"/>
          <w:color w:val="000000" w:themeColor="text1"/>
          <w:sz w:val="24"/>
          <w:szCs w:val="24"/>
          <w:highlight w:val="cyan"/>
        </w:rPr>
        <w:t>).</w:t>
      </w:r>
      <w:r w:rsidR="08D195F6" w:rsidRPr="594C5555">
        <w:rPr>
          <w:rFonts w:ascii="Times New Roman" w:eastAsia="Times New Roman" w:hAnsi="Times New Roman" w:cs="Times New Roman"/>
          <w:color w:val="000000" w:themeColor="text1"/>
          <w:sz w:val="24"/>
          <w:szCs w:val="24"/>
          <w:lang w:eastAsia="pt-BR"/>
        </w:rPr>
        <w:t xml:space="preserve"> </w:t>
      </w:r>
    </w:p>
    <w:p w14:paraId="22BE26C0" w14:textId="77777777" w:rsidR="004423CE"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619ED3D2" w14:textId="77777777" w:rsidR="008A6DA8" w:rsidRDefault="008A6DA8">
      <w:pPr>
        <w:rPr>
          <w:rFonts w:ascii="Times New Roman" w:hAnsi="Times New Roman" w:cs="Times New Roman"/>
          <w:b/>
          <w:bCs/>
          <w:color w:val="FF0000"/>
          <w:sz w:val="24"/>
          <w:szCs w:val="24"/>
        </w:rPr>
      </w:pPr>
      <w:r>
        <w:rPr>
          <w:rFonts w:ascii="Times New Roman" w:hAnsi="Times New Roman" w:cs="Times New Roman"/>
          <w:b/>
          <w:bCs/>
          <w:color w:val="FF0000"/>
          <w:sz w:val="24"/>
          <w:szCs w:val="24"/>
        </w:rPr>
        <w:br w:type="page"/>
      </w:r>
    </w:p>
    <w:p w14:paraId="0E0E3FC0" w14:textId="3F98BD31" w:rsidR="00B73C04" w:rsidRPr="000F224A" w:rsidRDefault="00B73C04" w:rsidP="000F224A">
      <w:pPr>
        <w:rPr>
          <w:rFonts w:ascii="Times New Roman" w:eastAsia="Times New Roman" w:hAnsi="Times New Roman" w:cs="Times New Roman"/>
          <w:b/>
          <w:bCs/>
          <w:color w:val="FF0000"/>
          <w:sz w:val="24"/>
          <w:szCs w:val="24"/>
          <w:lang w:eastAsia="pt-BR"/>
        </w:rPr>
      </w:pPr>
      <w:r w:rsidRPr="000F224A">
        <w:rPr>
          <w:rFonts w:ascii="Times New Roman" w:hAnsi="Times New Roman" w:cs="Times New Roman"/>
          <w:b/>
          <w:bCs/>
          <w:color w:val="FF0000"/>
          <w:sz w:val="24"/>
          <w:szCs w:val="24"/>
        </w:rPr>
        <w:lastRenderedPageBreak/>
        <w:t>DO SISTEMA DE REGISTRO DE PREÇOS  </w:t>
      </w:r>
    </w:p>
    <w:p w14:paraId="53B060A5" w14:textId="77777777" w:rsidR="00B73C04" w:rsidRPr="002673A3" w:rsidRDefault="00B73C04" w:rsidP="00B73C04">
      <w:pPr>
        <w:pStyle w:val="paragraph"/>
        <w:spacing w:before="0" w:beforeAutospacing="0" w:after="0" w:afterAutospacing="0"/>
        <w:jc w:val="both"/>
        <w:textAlignment w:val="baseline"/>
        <w:rPr>
          <w:rFonts w:ascii="Segoe UI" w:hAnsi="Segoe UI" w:cs="Segoe UI"/>
          <w:sz w:val="18"/>
          <w:szCs w:val="18"/>
        </w:rPr>
      </w:pPr>
      <w:r w:rsidRPr="002673A3">
        <w:rPr>
          <w:rStyle w:val="eop"/>
          <w:color w:val="FF0000"/>
        </w:rPr>
        <w:t> </w:t>
      </w:r>
    </w:p>
    <w:p w14:paraId="3078871D" w14:textId="77777777" w:rsidR="00B73C04" w:rsidRPr="002673A3" w:rsidRDefault="00B73C04" w:rsidP="00B73C04">
      <w:pPr>
        <w:pStyle w:val="paragraph"/>
        <w:spacing w:before="0" w:beforeAutospacing="0" w:after="0" w:afterAutospacing="0"/>
        <w:jc w:val="both"/>
        <w:textAlignment w:val="baseline"/>
        <w:rPr>
          <w:color w:val="FF0000"/>
          <w:lang w:eastAsia="en-US"/>
        </w:rPr>
      </w:pPr>
      <w:r w:rsidRPr="002673A3">
        <w:rPr>
          <w:color w:val="FF0000"/>
          <w:lang w:eastAsia="en-US"/>
        </w:rPr>
        <w:t xml:space="preserve">O Sistema de Registro de Preços - SRP - </w:t>
      </w:r>
      <w:r w:rsidRPr="00B91579">
        <w:rPr>
          <w:b/>
          <w:bCs/>
          <w:color w:val="FF0000"/>
          <w:lang w:eastAsia="en-US"/>
        </w:rPr>
        <w:t>poderá</w:t>
      </w:r>
      <w:r w:rsidRPr="002673A3">
        <w:rPr>
          <w:color w:val="FF0000"/>
          <w:lang w:eastAsia="en-US"/>
        </w:rPr>
        <w:t xml:space="preserve"> ser adotado quando a Administração julgar pertinente, em especial (art. 3º do Decreto nº 11.462, de 2023): </w:t>
      </w:r>
    </w:p>
    <w:p w14:paraId="1AE42FF7" w14:textId="77777777" w:rsidR="00B73C04" w:rsidRPr="002673A3" w:rsidRDefault="00B73C04" w:rsidP="00B73C04">
      <w:pPr>
        <w:pStyle w:val="paragraph"/>
        <w:spacing w:before="0" w:beforeAutospacing="0" w:after="0" w:afterAutospacing="0"/>
        <w:ind w:left="1350"/>
        <w:jc w:val="both"/>
        <w:textAlignment w:val="baseline"/>
        <w:rPr>
          <w:color w:val="FF0000"/>
          <w:lang w:eastAsia="en-US"/>
        </w:rPr>
      </w:pPr>
    </w:p>
    <w:p w14:paraId="3F10D4B2" w14:textId="77777777" w:rsidR="00B73C04" w:rsidRPr="002673A3" w:rsidRDefault="00B73C04" w:rsidP="00B73C04">
      <w:pPr>
        <w:pStyle w:val="paragraph"/>
        <w:spacing w:before="0" w:beforeAutospacing="0" w:after="0" w:afterAutospacing="0"/>
        <w:ind w:left="2268"/>
        <w:jc w:val="both"/>
        <w:textAlignment w:val="baseline"/>
        <w:rPr>
          <w:color w:val="FF0000"/>
          <w:sz w:val="20"/>
          <w:szCs w:val="20"/>
        </w:rPr>
      </w:pPr>
      <w:r w:rsidRPr="002673A3">
        <w:rPr>
          <w:color w:val="FF0000"/>
          <w:sz w:val="20"/>
          <w:szCs w:val="20"/>
        </w:rPr>
        <w:t>I - quando, pelas características do objeto, houver necessidade de contratações permanentes ou frequentes;   </w:t>
      </w:r>
    </w:p>
    <w:p w14:paraId="03BC92D3" w14:textId="77777777" w:rsidR="00B73C04" w:rsidRPr="002673A3" w:rsidRDefault="00B73C04" w:rsidP="00B73C04">
      <w:pPr>
        <w:pStyle w:val="paragraph"/>
        <w:spacing w:before="0" w:beforeAutospacing="0" w:after="0" w:afterAutospacing="0"/>
        <w:ind w:left="2268"/>
        <w:jc w:val="both"/>
        <w:textAlignment w:val="baseline"/>
        <w:rPr>
          <w:color w:val="FF0000"/>
          <w:sz w:val="20"/>
          <w:szCs w:val="20"/>
        </w:rPr>
      </w:pPr>
      <w:r w:rsidRPr="002673A3">
        <w:rPr>
          <w:color w:val="FF0000"/>
          <w:sz w:val="20"/>
          <w:szCs w:val="20"/>
        </w:rPr>
        <w:t>II - quando for conveniente a aquisição de bens com previsão de entregas parceladas ou contratação de serviços remunerados por unidade de medida, como quantidade de horas de serviço, postos de trabalho ou em regime de tarefa;   </w:t>
      </w:r>
    </w:p>
    <w:p w14:paraId="74595A2D" w14:textId="77777777" w:rsidR="00B73C04" w:rsidRPr="002673A3" w:rsidRDefault="00B73C04" w:rsidP="00B73C04">
      <w:pPr>
        <w:pStyle w:val="paragraph"/>
        <w:spacing w:before="0" w:beforeAutospacing="0" w:after="0" w:afterAutospacing="0"/>
        <w:ind w:left="2268"/>
        <w:jc w:val="both"/>
        <w:textAlignment w:val="baseline"/>
        <w:rPr>
          <w:color w:val="FF0000"/>
          <w:sz w:val="20"/>
          <w:szCs w:val="20"/>
        </w:rPr>
      </w:pPr>
      <w:r w:rsidRPr="002673A3">
        <w:rPr>
          <w:color w:val="FF0000"/>
          <w:sz w:val="20"/>
          <w:szCs w:val="20"/>
        </w:rPr>
        <w:t>III - quando for conveniente para atendimento a mais de um órgão ou a mais de uma entidade, inclusive nas compras centralizadas;   </w:t>
      </w:r>
    </w:p>
    <w:p w14:paraId="22E57306" w14:textId="77777777" w:rsidR="00B73C04" w:rsidRPr="002673A3" w:rsidRDefault="00B73C04" w:rsidP="00B73C04">
      <w:pPr>
        <w:pStyle w:val="paragraph"/>
        <w:spacing w:before="0" w:beforeAutospacing="0" w:after="0" w:afterAutospacing="0"/>
        <w:ind w:left="2268"/>
        <w:jc w:val="both"/>
        <w:textAlignment w:val="baseline"/>
        <w:rPr>
          <w:color w:val="FF0000"/>
          <w:sz w:val="20"/>
          <w:szCs w:val="20"/>
        </w:rPr>
      </w:pPr>
      <w:r w:rsidRPr="002673A3">
        <w:rPr>
          <w:color w:val="FF0000"/>
          <w:sz w:val="20"/>
          <w:szCs w:val="20"/>
        </w:rPr>
        <w:t>IV - quando for atender a execução descentralizada de programa ou projeto federal, por meio de compra nacional ou da adesão de que trata o § 2º do art. 32; ou   </w:t>
      </w:r>
    </w:p>
    <w:p w14:paraId="577A7EA0" w14:textId="77777777" w:rsidR="00B73C04" w:rsidRPr="002673A3" w:rsidRDefault="00B73C04" w:rsidP="00B73C04">
      <w:pPr>
        <w:pStyle w:val="paragraph"/>
        <w:spacing w:before="0" w:beforeAutospacing="0" w:after="0" w:afterAutospacing="0"/>
        <w:ind w:left="2268"/>
        <w:jc w:val="both"/>
        <w:textAlignment w:val="baseline"/>
        <w:rPr>
          <w:color w:val="FF0000"/>
          <w:sz w:val="20"/>
          <w:szCs w:val="20"/>
        </w:rPr>
      </w:pPr>
      <w:r w:rsidRPr="002673A3">
        <w:rPr>
          <w:color w:val="FF0000"/>
          <w:sz w:val="20"/>
          <w:szCs w:val="20"/>
        </w:rPr>
        <w:t>V - quando, pela natureza do objeto, não for possível definir previamente o quantitativo a ser demandado pela Administração.</w:t>
      </w:r>
    </w:p>
    <w:p w14:paraId="1158AAFA" w14:textId="77777777" w:rsidR="00B73C04" w:rsidRPr="002673A3" w:rsidRDefault="00B73C04" w:rsidP="00B73C04">
      <w:pPr>
        <w:pStyle w:val="paragraph"/>
        <w:spacing w:before="0" w:beforeAutospacing="0" w:after="0" w:afterAutospacing="0"/>
        <w:ind w:left="2268"/>
        <w:jc w:val="both"/>
        <w:textAlignment w:val="baseline"/>
        <w:rPr>
          <w:color w:val="FF0000"/>
          <w:sz w:val="20"/>
          <w:szCs w:val="20"/>
        </w:rPr>
      </w:pPr>
      <w:r w:rsidRPr="002673A3">
        <w:rPr>
          <w:color w:val="FF0000"/>
          <w:sz w:val="20"/>
          <w:szCs w:val="20"/>
        </w:rPr>
        <w:t>Parágrafo único.  </w:t>
      </w:r>
      <w:r w:rsidRPr="002673A3">
        <w:rPr>
          <w:color w:val="FF0000"/>
          <w:sz w:val="20"/>
          <w:szCs w:val="20"/>
          <w:u w:val="single"/>
        </w:rPr>
        <w:t xml:space="preserve">O SRP poderá ser utilizado para a contratação de execução de </w:t>
      </w:r>
      <w:r w:rsidRPr="002673A3">
        <w:rPr>
          <w:b/>
          <w:bCs/>
          <w:color w:val="FF0000"/>
          <w:sz w:val="20"/>
          <w:szCs w:val="20"/>
          <w:u w:val="single"/>
        </w:rPr>
        <w:t>obras e serviços de engenharia</w:t>
      </w:r>
      <w:r w:rsidRPr="002673A3">
        <w:rPr>
          <w:color w:val="FF0000"/>
          <w:sz w:val="20"/>
          <w:szCs w:val="20"/>
          <w:u w:val="single"/>
        </w:rPr>
        <w:t xml:space="preserve">, desde que atendidos os seguintes </w:t>
      </w:r>
      <w:r w:rsidRPr="002673A3">
        <w:rPr>
          <w:b/>
          <w:bCs/>
          <w:color w:val="FF0000"/>
          <w:sz w:val="20"/>
          <w:szCs w:val="20"/>
          <w:u w:val="single"/>
        </w:rPr>
        <w:t>requisitos</w:t>
      </w:r>
      <w:r w:rsidRPr="002673A3">
        <w:rPr>
          <w:color w:val="FF0000"/>
          <w:sz w:val="20"/>
          <w:szCs w:val="20"/>
        </w:rPr>
        <w:t>:</w:t>
      </w:r>
    </w:p>
    <w:p w14:paraId="11A3ED0C" w14:textId="77777777" w:rsidR="00B73C04" w:rsidRPr="002673A3" w:rsidRDefault="00B73C04" w:rsidP="00B73C04">
      <w:pPr>
        <w:pStyle w:val="paragraph"/>
        <w:spacing w:before="0" w:beforeAutospacing="0" w:after="0" w:afterAutospacing="0"/>
        <w:ind w:left="2268"/>
        <w:jc w:val="both"/>
        <w:textAlignment w:val="baseline"/>
        <w:rPr>
          <w:color w:val="FF0000"/>
          <w:sz w:val="20"/>
          <w:szCs w:val="20"/>
        </w:rPr>
      </w:pPr>
      <w:r w:rsidRPr="002673A3">
        <w:rPr>
          <w:color w:val="FF0000"/>
          <w:sz w:val="20"/>
          <w:szCs w:val="20"/>
        </w:rPr>
        <w:t>I - existência de termo de referência, anteprojeto, projeto básico ou projeto executivo padronizados, sem complexidade técnica e operacional; e</w:t>
      </w:r>
    </w:p>
    <w:p w14:paraId="58C9AFFD" w14:textId="77777777" w:rsidR="00B73C04" w:rsidRPr="002673A3" w:rsidRDefault="00B73C04" w:rsidP="00B73C04">
      <w:pPr>
        <w:pStyle w:val="paragraph"/>
        <w:spacing w:before="0" w:beforeAutospacing="0" w:after="0" w:afterAutospacing="0"/>
        <w:ind w:left="2268"/>
        <w:jc w:val="both"/>
        <w:textAlignment w:val="baseline"/>
        <w:rPr>
          <w:color w:val="FF0000"/>
          <w:sz w:val="20"/>
          <w:szCs w:val="20"/>
          <w:shd w:val="clear" w:color="auto" w:fill="00FF00"/>
        </w:rPr>
      </w:pPr>
      <w:r w:rsidRPr="002673A3">
        <w:rPr>
          <w:color w:val="FF0000"/>
          <w:sz w:val="20"/>
          <w:szCs w:val="20"/>
        </w:rPr>
        <w:t>II - necessidade permanente ou frequente de obra ou serviço a ser contratado.</w:t>
      </w:r>
    </w:p>
    <w:p w14:paraId="4C715374" w14:textId="77777777" w:rsidR="00B73C04" w:rsidRPr="002673A3" w:rsidRDefault="00B73C04" w:rsidP="00B73C04">
      <w:pPr>
        <w:spacing w:after="0" w:line="240" w:lineRule="auto"/>
        <w:jc w:val="both"/>
        <w:textAlignment w:val="baseline"/>
        <w:rPr>
          <w:rStyle w:val="eop"/>
          <w:color w:val="FF0000"/>
        </w:rPr>
      </w:pPr>
      <w:r w:rsidRPr="002673A3">
        <w:rPr>
          <w:rStyle w:val="eop"/>
          <w:color w:val="FF0000"/>
        </w:rPr>
        <w:t> </w:t>
      </w:r>
      <w:r w:rsidRPr="002673A3">
        <w:rPr>
          <w:rFonts w:ascii="Times New Roman" w:eastAsia="Times New Roman" w:hAnsi="Times New Roman" w:cs="Times New Roman"/>
          <w:color w:val="FF0000"/>
          <w:sz w:val="24"/>
          <w:szCs w:val="24"/>
        </w:rPr>
        <w:t xml:space="preserve"> </w:t>
      </w:r>
    </w:p>
    <w:p w14:paraId="329B5B1D" w14:textId="77777777" w:rsidR="00B73C04" w:rsidRPr="002673A3" w:rsidRDefault="00B73C04" w:rsidP="00B73C04">
      <w:pPr>
        <w:spacing w:after="0" w:line="240" w:lineRule="auto"/>
        <w:jc w:val="both"/>
        <w:textAlignment w:val="baseline"/>
      </w:pPr>
      <w:r w:rsidRPr="002673A3">
        <w:rPr>
          <w:rFonts w:ascii="Times New Roman" w:eastAsia="Times New Roman" w:hAnsi="Times New Roman" w:cs="Times New Roman"/>
          <w:color w:val="FF0000"/>
          <w:sz w:val="24"/>
          <w:szCs w:val="24"/>
        </w:rPr>
        <w:t xml:space="preserve"> </w:t>
      </w:r>
    </w:p>
    <w:p w14:paraId="0D033670" w14:textId="77777777" w:rsidR="00B73C04" w:rsidRPr="002673A3" w:rsidRDefault="00B73C04" w:rsidP="00B73C04">
      <w:pPr>
        <w:spacing w:after="0" w:line="240" w:lineRule="auto"/>
        <w:jc w:val="both"/>
        <w:textAlignment w:val="baseline"/>
      </w:pPr>
      <w:r w:rsidRPr="002673A3">
        <w:rPr>
          <w:rFonts w:ascii="Times New Roman" w:eastAsia="Times New Roman" w:hAnsi="Times New Roman" w:cs="Times New Roman"/>
          <w:color w:val="FF0000"/>
          <w:sz w:val="24"/>
          <w:szCs w:val="24"/>
        </w:rPr>
        <w:t xml:space="preserve">No caso, verifica-se que a Administração indicou, às fls./no doc. SEI n. </w:t>
      </w:r>
      <w:proofErr w:type="spellStart"/>
      <w:r w:rsidRPr="002673A3">
        <w:rPr>
          <w:rFonts w:ascii="Times New Roman" w:eastAsia="Times New Roman" w:hAnsi="Times New Roman" w:cs="Times New Roman"/>
          <w:color w:val="FF0000"/>
          <w:sz w:val="24"/>
          <w:szCs w:val="24"/>
        </w:rPr>
        <w:t>xxxx</w:t>
      </w:r>
      <w:proofErr w:type="spellEnd"/>
      <w:r w:rsidRPr="002673A3">
        <w:rPr>
          <w:rFonts w:ascii="Times New Roman" w:eastAsia="Times New Roman" w:hAnsi="Times New Roman" w:cs="Times New Roman"/>
          <w:color w:val="FF0000"/>
          <w:sz w:val="24"/>
          <w:szCs w:val="24"/>
        </w:rPr>
        <w:t xml:space="preserve">, que o SRP foi adotado em razão de </w:t>
      </w:r>
      <w:proofErr w:type="spellStart"/>
      <w:r w:rsidRPr="002673A3">
        <w:rPr>
          <w:rFonts w:ascii="Times New Roman" w:eastAsia="Times New Roman" w:hAnsi="Times New Roman" w:cs="Times New Roman"/>
          <w:color w:val="FF0000"/>
          <w:sz w:val="24"/>
          <w:szCs w:val="24"/>
        </w:rPr>
        <w:t>xxxxxx</w:t>
      </w:r>
      <w:proofErr w:type="spellEnd"/>
      <w:r w:rsidRPr="002673A3">
        <w:rPr>
          <w:rFonts w:ascii="Times New Roman" w:eastAsia="Times New Roman" w:hAnsi="Times New Roman" w:cs="Times New Roman"/>
          <w:color w:val="FF0000"/>
          <w:sz w:val="24"/>
          <w:szCs w:val="24"/>
        </w:rPr>
        <w:t xml:space="preserve">, enquadrando a contratação no art. 3º, caput, </w:t>
      </w:r>
      <w:r w:rsidRPr="002673A3">
        <w:rPr>
          <w:rFonts w:ascii="Times New Roman" w:eastAsia="Times New Roman" w:hAnsi="Times New Roman" w:cs="Times New Roman"/>
          <w:b/>
          <w:bCs/>
          <w:color w:val="FF0000"/>
          <w:sz w:val="24"/>
          <w:szCs w:val="24"/>
          <w:u w:val="single"/>
        </w:rPr>
        <w:t>E/OU</w:t>
      </w:r>
      <w:r w:rsidRPr="002673A3">
        <w:rPr>
          <w:rFonts w:ascii="Times New Roman" w:eastAsia="Times New Roman" w:hAnsi="Times New Roman" w:cs="Times New Roman"/>
          <w:color w:val="FF0000"/>
          <w:sz w:val="24"/>
          <w:szCs w:val="24"/>
        </w:rPr>
        <w:t xml:space="preserve"> inciso </w:t>
      </w:r>
      <w:proofErr w:type="spellStart"/>
      <w:r w:rsidRPr="002673A3">
        <w:rPr>
          <w:rFonts w:ascii="Times New Roman" w:eastAsia="Times New Roman" w:hAnsi="Times New Roman" w:cs="Times New Roman"/>
          <w:color w:val="FF0000"/>
          <w:sz w:val="24"/>
          <w:szCs w:val="24"/>
        </w:rPr>
        <w:t>xx</w:t>
      </w:r>
      <w:proofErr w:type="spellEnd"/>
      <w:r w:rsidRPr="002673A3">
        <w:rPr>
          <w:rFonts w:ascii="Times New Roman" w:eastAsia="Times New Roman" w:hAnsi="Times New Roman" w:cs="Times New Roman"/>
          <w:color w:val="FF0000"/>
          <w:sz w:val="24"/>
          <w:szCs w:val="24"/>
        </w:rPr>
        <w:t xml:space="preserve">, do Decreto nº 11.462, de 2023. Pelo exposto, considera-se cabível a adoção do SRP. </w:t>
      </w:r>
    </w:p>
    <w:p w14:paraId="4F4C246E" w14:textId="77777777" w:rsidR="00B73C04" w:rsidRPr="002673A3" w:rsidRDefault="00B73C04" w:rsidP="00B73C04">
      <w:pPr>
        <w:spacing w:after="0" w:line="240" w:lineRule="auto"/>
        <w:ind w:firstLine="1410"/>
        <w:jc w:val="both"/>
        <w:textAlignment w:val="baseline"/>
      </w:pPr>
      <w:r w:rsidRPr="002673A3">
        <w:rPr>
          <w:rFonts w:ascii="Times New Roman" w:eastAsia="Times New Roman" w:hAnsi="Times New Roman" w:cs="Times New Roman"/>
          <w:color w:val="000000" w:themeColor="text1"/>
          <w:sz w:val="24"/>
          <w:szCs w:val="24"/>
        </w:rPr>
        <w:t xml:space="preserve"> </w:t>
      </w:r>
    </w:p>
    <w:p w14:paraId="371E5D36" w14:textId="77777777" w:rsidR="00B73C04" w:rsidRPr="00B91579" w:rsidRDefault="00B73C04" w:rsidP="00722706">
      <w:pPr>
        <w:spacing w:after="0" w:line="240" w:lineRule="auto"/>
        <w:jc w:val="both"/>
        <w:textAlignment w:val="baseline"/>
        <w:rPr>
          <w:rFonts w:ascii="Times New Roman" w:eastAsia="Times New Roman" w:hAnsi="Times New Roman" w:cs="Times New Roman"/>
          <w:color w:val="FF0000"/>
          <w:sz w:val="24"/>
          <w:szCs w:val="24"/>
          <w:highlight w:val="cyan"/>
        </w:rPr>
      </w:pPr>
      <w:r w:rsidRPr="00B91579">
        <w:rPr>
          <w:rFonts w:ascii="Times New Roman" w:eastAsia="Times New Roman" w:hAnsi="Times New Roman" w:cs="Times New Roman"/>
          <w:color w:val="FF0000"/>
          <w:sz w:val="24"/>
          <w:szCs w:val="24"/>
          <w:highlight w:val="cyan"/>
        </w:rPr>
        <w:t xml:space="preserve">Adicionalmente, cabe à Administração atender aos requisitos do art. 3º, parágrafo único, do Decreto nº 11.462, de 2023, o que restou justificado nos autos (fls. SEI) </w:t>
      </w:r>
      <w:r w:rsidRPr="00B91579">
        <w:rPr>
          <w:rFonts w:ascii="Times New Roman" w:eastAsia="Times New Roman" w:hAnsi="Times New Roman" w:cs="Times New Roman"/>
          <w:b/>
          <w:bCs/>
          <w:color w:val="FF0000"/>
          <w:sz w:val="24"/>
          <w:szCs w:val="24"/>
          <w:highlight w:val="cyan"/>
          <w:u w:val="single"/>
        </w:rPr>
        <w:t>OU</w:t>
      </w:r>
      <w:r w:rsidRPr="00B91579">
        <w:rPr>
          <w:rFonts w:ascii="Times New Roman" w:eastAsia="Times New Roman" w:hAnsi="Times New Roman" w:cs="Times New Roman"/>
          <w:color w:val="FF0000"/>
          <w:sz w:val="24"/>
          <w:szCs w:val="24"/>
          <w:highlight w:val="cyan"/>
        </w:rPr>
        <w:t xml:space="preserve"> </w:t>
      </w:r>
      <w:r w:rsidRPr="00A777F1">
        <w:rPr>
          <w:rFonts w:ascii="Times New Roman" w:eastAsia="Times New Roman" w:hAnsi="Times New Roman" w:cs="Times New Roman"/>
          <w:b/>
          <w:bCs/>
          <w:color w:val="FF0000"/>
          <w:sz w:val="24"/>
          <w:szCs w:val="24"/>
          <w:highlight w:val="cyan"/>
        </w:rPr>
        <w:t xml:space="preserve">o que não restou justificado nos autos, </w:t>
      </w:r>
      <w:r w:rsidRPr="00A777F1">
        <w:rPr>
          <w:rFonts w:ascii="Times New Roman" w:eastAsia="Times New Roman" w:hAnsi="Times New Roman" w:cs="Times New Roman"/>
          <w:b/>
          <w:bCs/>
          <w:color w:val="FF0000"/>
          <w:sz w:val="24"/>
          <w:szCs w:val="24"/>
          <w:highlight w:val="cyan"/>
          <w:u w:val="single"/>
        </w:rPr>
        <w:t>demandando o saneamento da instrução processual</w:t>
      </w:r>
      <w:r w:rsidRPr="00B91579">
        <w:rPr>
          <w:rFonts w:ascii="Times New Roman" w:eastAsia="Times New Roman" w:hAnsi="Times New Roman" w:cs="Times New Roman"/>
          <w:color w:val="FF0000"/>
          <w:sz w:val="24"/>
          <w:szCs w:val="24"/>
          <w:highlight w:val="cyan"/>
        </w:rPr>
        <w:t>.</w:t>
      </w:r>
    </w:p>
    <w:p w14:paraId="238F7A34" w14:textId="5BF49EDF" w:rsidR="00B73C04" w:rsidRPr="00B91579" w:rsidRDefault="00B73C04" w:rsidP="00722706">
      <w:pPr>
        <w:spacing w:after="0" w:line="240" w:lineRule="auto"/>
        <w:ind w:firstLine="709"/>
        <w:jc w:val="both"/>
        <w:textAlignment w:val="baseline"/>
        <w:rPr>
          <w:rFonts w:ascii="Times New Roman" w:eastAsia="Times New Roman" w:hAnsi="Times New Roman" w:cs="Times New Roman"/>
          <w:b/>
          <w:bCs/>
          <w:color w:val="FF0000"/>
          <w:sz w:val="24"/>
          <w:szCs w:val="24"/>
          <w:highlight w:val="cyan"/>
          <w:u w:val="single"/>
        </w:rPr>
      </w:pPr>
      <w:r w:rsidRPr="594C5555">
        <w:rPr>
          <w:rFonts w:ascii="Times New Roman" w:eastAsia="Times New Roman" w:hAnsi="Times New Roman" w:cs="Times New Roman"/>
          <w:b/>
          <w:bCs/>
          <w:color w:val="FF0000"/>
          <w:sz w:val="24"/>
          <w:szCs w:val="24"/>
          <w:highlight w:val="cyan"/>
          <w:u w:val="single"/>
        </w:rPr>
        <w:t>OU</w:t>
      </w:r>
    </w:p>
    <w:p w14:paraId="5B4CD412" w14:textId="1860C1F7" w:rsidR="00B73C04" w:rsidRPr="00C70073" w:rsidRDefault="00B73C04" w:rsidP="00C7461B">
      <w:pPr>
        <w:spacing w:after="0" w:line="240" w:lineRule="auto"/>
        <w:ind w:firstLine="708"/>
        <w:jc w:val="both"/>
        <w:textAlignment w:val="baseline"/>
        <w:rPr>
          <w:rFonts w:ascii="Times New Roman" w:eastAsia="Times New Roman" w:hAnsi="Times New Roman" w:cs="Times New Roman"/>
          <w:b/>
          <w:bCs/>
          <w:color w:val="FF0000"/>
          <w:sz w:val="24"/>
          <w:szCs w:val="24"/>
          <w:highlight w:val="cyan"/>
          <w:u w:val="single"/>
        </w:rPr>
      </w:pPr>
      <w:r w:rsidRPr="594C5555">
        <w:rPr>
          <w:rFonts w:ascii="Times New Roman" w:eastAsia="Times New Roman" w:hAnsi="Times New Roman" w:cs="Times New Roman"/>
          <w:color w:val="FF0000"/>
          <w:sz w:val="24"/>
          <w:szCs w:val="24"/>
          <w:highlight w:val="cyan"/>
        </w:rPr>
        <w:t xml:space="preserve">No caso, verifica-se que </w:t>
      </w:r>
      <w:r w:rsidRPr="594C5555">
        <w:rPr>
          <w:rFonts w:ascii="Times New Roman" w:eastAsia="Times New Roman" w:hAnsi="Times New Roman" w:cs="Times New Roman"/>
          <w:color w:val="FF0000"/>
          <w:sz w:val="24"/>
          <w:szCs w:val="24"/>
          <w:highlight w:val="cyan"/>
          <w:u w:val="single"/>
        </w:rPr>
        <w:t>a Administração não apresentou justificativa da pertinência de adoção do SRP nem fez o devido enquadramento nas hipóteses previstas, inclusive quanto ao atendimento dos requisitos do art. 3º, parágrafo único, do Decreto nº 11.462, de 2023</w:t>
      </w:r>
      <w:r w:rsidRPr="594C5555">
        <w:rPr>
          <w:rFonts w:ascii="Times New Roman" w:eastAsia="Times New Roman" w:hAnsi="Times New Roman" w:cs="Times New Roman"/>
          <w:color w:val="FF0000"/>
          <w:sz w:val="24"/>
          <w:szCs w:val="24"/>
          <w:highlight w:val="cyan"/>
        </w:rPr>
        <w:t>, razão pela qual não se faz possível conferir a adequação da escolha,</w:t>
      </w:r>
      <w:r w:rsidRPr="594C5555">
        <w:rPr>
          <w:rFonts w:ascii="Times New Roman" w:eastAsia="Times New Roman" w:hAnsi="Times New Roman" w:cs="Times New Roman"/>
          <w:b/>
          <w:bCs/>
          <w:color w:val="FF0000"/>
          <w:sz w:val="24"/>
          <w:szCs w:val="24"/>
          <w:highlight w:val="cyan"/>
          <w:u w:val="single"/>
        </w:rPr>
        <w:t xml:space="preserve"> devendo tal motivação ser apresentada.    </w:t>
      </w:r>
    </w:p>
    <w:p w14:paraId="2D708B82" w14:textId="77777777" w:rsidR="00B73C04" w:rsidRPr="002673A3" w:rsidRDefault="00B73C04" w:rsidP="00B73C04">
      <w:pPr>
        <w:spacing w:after="0" w:line="240" w:lineRule="auto"/>
        <w:ind w:firstLine="1410"/>
        <w:jc w:val="both"/>
        <w:textAlignment w:val="baseline"/>
      </w:pPr>
      <w:r w:rsidRPr="002673A3">
        <w:rPr>
          <w:rFonts w:ascii="Times New Roman" w:eastAsia="Times New Roman" w:hAnsi="Times New Roman" w:cs="Times New Roman"/>
          <w:color w:val="000000" w:themeColor="text1"/>
          <w:sz w:val="24"/>
          <w:szCs w:val="24"/>
        </w:rPr>
        <w:t xml:space="preserve"> </w:t>
      </w:r>
    </w:p>
    <w:p w14:paraId="51A4D351" w14:textId="77777777" w:rsidR="00B73C04" w:rsidRPr="002673A3" w:rsidRDefault="00B73C04" w:rsidP="00B73C04">
      <w:pPr>
        <w:spacing w:after="0" w:line="240" w:lineRule="auto"/>
        <w:ind w:firstLine="1410"/>
        <w:jc w:val="both"/>
        <w:textAlignment w:val="baseline"/>
      </w:pPr>
      <w:r w:rsidRPr="002673A3">
        <w:rPr>
          <w:rFonts w:ascii="Times New Roman" w:eastAsia="Times New Roman" w:hAnsi="Times New Roman" w:cs="Times New Roman"/>
          <w:color w:val="000000" w:themeColor="text1"/>
          <w:sz w:val="24"/>
          <w:szCs w:val="24"/>
        </w:rPr>
        <w:t xml:space="preserve"> </w:t>
      </w:r>
    </w:p>
    <w:p w14:paraId="3B4BA324" w14:textId="25310305" w:rsidR="00B73C04" w:rsidRPr="002673A3" w:rsidRDefault="00B73C04" w:rsidP="00722706">
      <w:pPr>
        <w:spacing w:after="0" w:line="240" w:lineRule="auto"/>
        <w:jc w:val="both"/>
        <w:textAlignment w:val="baseline"/>
      </w:pPr>
      <w:r w:rsidRPr="002673A3">
        <w:rPr>
          <w:rFonts w:ascii="Times New Roman" w:eastAsia="Times New Roman" w:hAnsi="Times New Roman" w:cs="Times New Roman"/>
          <w:b/>
          <w:bCs/>
          <w:color w:val="FF0000"/>
          <w:sz w:val="24"/>
          <w:szCs w:val="24"/>
        </w:rPr>
        <w:t>DA INTENÇÃO DE REGISTRO DE PREÇOS</w:t>
      </w:r>
    </w:p>
    <w:p w14:paraId="291A85E8" w14:textId="7419F411" w:rsidR="00B73C04" w:rsidRPr="002673A3" w:rsidRDefault="00B73C04" w:rsidP="0048137E">
      <w:pPr>
        <w:spacing w:after="0" w:line="240" w:lineRule="auto"/>
        <w:ind w:firstLine="1410"/>
        <w:jc w:val="both"/>
        <w:textAlignment w:val="baseline"/>
      </w:pPr>
      <w:r w:rsidRPr="002673A3">
        <w:rPr>
          <w:rFonts w:ascii="Times New Roman" w:eastAsia="Times New Roman" w:hAnsi="Times New Roman" w:cs="Times New Roman"/>
          <w:color w:val="FF0000"/>
          <w:sz w:val="24"/>
          <w:szCs w:val="24"/>
        </w:rPr>
        <w:t xml:space="preserve">  </w:t>
      </w:r>
    </w:p>
    <w:p w14:paraId="798FDDE2" w14:textId="4C5629BA" w:rsidR="00B73C04" w:rsidRPr="002673A3" w:rsidRDefault="00B73C04" w:rsidP="00B73C04">
      <w:pPr>
        <w:spacing w:after="0" w:line="240" w:lineRule="auto"/>
        <w:jc w:val="both"/>
        <w:textAlignment w:val="baseline"/>
      </w:pPr>
      <w:r w:rsidRPr="002673A3">
        <w:rPr>
          <w:rFonts w:ascii="Times New Roman" w:eastAsia="Times New Roman" w:hAnsi="Times New Roman" w:cs="Times New Roman"/>
          <w:color w:val="FF0000"/>
          <w:sz w:val="24"/>
          <w:szCs w:val="24"/>
        </w:rPr>
        <w:t>Nos termos do art. 86 da Lei nº 14.133</w:t>
      </w:r>
      <w:r w:rsidR="00131FD4">
        <w:rPr>
          <w:rFonts w:ascii="Times New Roman" w:eastAsia="Times New Roman" w:hAnsi="Times New Roman" w:cs="Times New Roman"/>
          <w:color w:val="FF0000"/>
          <w:sz w:val="24"/>
          <w:szCs w:val="24"/>
        </w:rPr>
        <w:t xml:space="preserve">, de </w:t>
      </w:r>
      <w:r w:rsidRPr="002673A3">
        <w:rPr>
          <w:rFonts w:ascii="Times New Roman" w:eastAsia="Times New Roman" w:hAnsi="Times New Roman" w:cs="Times New Roman"/>
          <w:color w:val="FF0000"/>
          <w:sz w:val="24"/>
          <w:szCs w:val="24"/>
        </w:rPr>
        <w:t>2021</w:t>
      </w:r>
      <w:r w:rsidR="00131FD4">
        <w:rPr>
          <w:rFonts w:ascii="Times New Roman" w:eastAsia="Times New Roman" w:hAnsi="Times New Roman" w:cs="Times New Roman"/>
          <w:color w:val="FF0000"/>
          <w:sz w:val="24"/>
          <w:szCs w:val="24"/>
        </w:rPr>
        <w:t>,</w:t>
      </w:r>
      <w:r w:rsidRPr="002673A3">
        <w:rPr>
          <w:rFonts w:ascii="Times New Roman" w:eastAsia="Times New Roman" w:hAnsi="Times New Roman" w:cs="Times New Roman"/>
          <w:color w:val="FF0000"/>
          <w:sz w:val="24"/>
          <w:szCs w:val="24"/>
        </w:rPr>
        <w:t xml:space="preserve"> e art. 9º do Decreto nº 11.462, de 2023, a adoção do Sistema de Registro de Preços pressupõe, como regra geral, a divulgação da intenção de registro de preços perante possíveis órgãos participantes. </w:t>
      </w:r>
    </w:p>
    <w:p w14:paraId="1F4027AE" w14:textId="77777777" w:rsidR="00B73C04" w:rsidRPr="002673A3" w:rsidRDefault="00B73C04" w:rsidP="00B73C04">
      <w:pPr>
        <w:spacing w:after="0" w:line="240" w:lineRule="auto"/>
        <w:jc w:val="both"/>
        <w:textAlignment w:val="baseline"/>
      </w:pPr>
      <w:r w:rsidRPr="002673A3">
        <w:rPr>
          <w:rFonts w:ascii="Times New Roman" w:eastAsia="Times New Roman" w:hAnsi="Times New Roman" w:cs="Times New Roman"/>
          <w:color w:val="FF0000"/>
          <w:sz w:val="24"/>
          <w:szCs w:val="24"/>
        </w:rPr>
        <w:t xml:space="preserve"> </w:t>
      </w:r>
    </w:p>
    <w:p w14:paraId="7B3F0C5C" w14:textId="614E77BB" w:rsidR="00B73C04" w:rsidRPr="002673A3" w:rsidRDefault="00B73C04" w:rsidP="00B73C04">
      <w:pPr>
        <w:spacing w:after="0" w:line="240" w:lineRule="auto"/>
        <w:jc w:val="both"/>
        <w:textAlignment w:val="baseline"/>
      </w:pPr>
      <w:r w:rsidRPr="002673A3">
        <w:rPr>
          <w:rFonts w:ascii="Times New Roman" w:eastAsia="Times New Roman" w:hAnsi="Times New Roman" w:cs="Times New Roman"/>
          <w:color w:val="FF0000"/>
          <w:sz w:val="24"/>
          <w:szCs w:val="24"/>
        </w:rPr>
        <w:t>Será dispensável essa divulgação quando o órgão ou a entidade gerenciadora for o único contratante (art. 86, §1º, da Lei nº 14.133</w:t>
      </w:r>
      <w:r w:rsidR="00131FD4">
        <w:rPr>
          <w:rFonts w:ascii="Times New Roman" w:eastAsia="Times New Roman" w:hAnsi="Times New Roman" w:cs="Times New Roman"/>
          <w:color w:val="FF0000"/>
          <w:sz w:val="24"/>
          <w:szCs w:val="24"/>
        </w:rPr>
        <w:t xml:space="preserve">, de </w:t>
      </w:r>
      <w:r w:rsidRPr="002673A3">
        <w:rPr>
          <w:rFonts w:ascii="Times New Roman" w:eastAsia="Times New Roman" w:hAnsi="Times New Roman" w:cs="Times New Roman"/>
          <w:color w:val="FF0000"/>
          <w:sz w:val="24"/>
          <w:szCs w:val="24"/>
        </w:rPr>
        <w:t>2021</w:t>
      </w:r>
      <w:r w:rsidR="00131FD4">
        <w:rPr>
          <w:rFonts w:ascii="Times New Roman" w:eastAsia="Times New Roman" w:hAnsi="Times New Roman" w:cs="Times New Roman"/>
          <w:color w:val="FF0000"/>
          <w:sz w:val="24"/>
          <w:szCs w:val="24"/>
        </w:rPr>
        <w:t>,</w:t>
      </w:r>
      <w:r w:rsidRPr="002673A3">
        <w:rPr>
          <w:rFonts w:ascii="Times New Roman" w:eastAsia="Times New Roman" w:hAnsi="Times New Roman" w:cs="Times New Roman"/>
          <w:color w:val="FF0000"/>
          <w:sz w:val="24"/>
          <w:szCs w:val="24"/>
        </w:rPr>
        <w:t xml:space="preserve"> e art. 9º, § 2º, do Decreto nº 11.462, de 2023). </w:t>
      </w:r>
    </w:p>
    <w:p w14:paraId="3CCA1092" w14:textId="77777777" w:rsidR="00B73C04" w:rsidRPr="002673A3" w:rsidRDefault="00B73C04" w:rsidP="00B73C04">
      <w:pPr>
        <w:spacing w:after="0" w:line="240" w:lineRule="auto"/>
        <w:jc w:val="both"/>
        <w:textAlignment w:val="baseline"/>
      </w:pPr>
      <w:r w:rsidRPr="002673A3">
        <w:rPr>
          <w:rFonts w:ascii="Times New Roman" w:eastAsia="Times New Roman" w:hAnsi="Times New Roman" w:cs="Times New Roman"/>
          <w:color w:val="FF0000"/>
          <w:sz w:val="24"/>
          <w:szCs w:val="24"/>
        </w:rPr>
        <w:t xml:space="preserve"> </w:t>
      </w:r>
    </w:p>
    <w:p w14:paraId="2EEA814A" w14:textId="053FDBBF" w:rsidR="00B73C04" w:rsidRPr="002673A3" w:rsidRDefault="00B73C04" w:rsidP="00B73C04">
      <w:pPr>
        <w:spacing w:after="0" w:line="240" w:lineRule="auto"/>
        <w:jc w:val="both"/>
        <w:textAlignment w:val="baseline"/>
      </w:pPr>
      <w:r w:rsidRPr="002673A3">
        <w:rPr>
          <w:rFonts w:ascii="Times New Roman" w:eastAsia="Times New Roman" w:hAnsi="Times New Roman" w:cs="Times New Roman"/>
          <w:color w:val="FF0000"/>
          <w:sz w:val="24"/>
          <w:szCs w:val="24"/>
        </w:rPr>
        <w:t xml:space="preserve">Em se tratando de registro de preços com indicação limitada a unidades de contratação, sem indicação do total a ser adquirido, nas hipóteses do art. 4º, do Decreto nº 11.462, de 2023 (item </w:t>
      </w:r>
      <w:r w:rsidRPr="002673A3">
        <w:rPr>
          <w:rFonts w:ascii="Times New Roman" w:eastAsia="Times New Roman" w:hAnsi="Times New Roman" w:cs="Times New Roman"/>
          <w:color w:val="FF0000"/>
          <w:sz w:val="24"/>
          <w:szCs w:val="24"/>
        </w:rPr>
        <w:lastRenderedPageBreak/>
        <w:t xml:space="preserve">XX do termo de referência), </w:t>
      </w:r>
      <w:r w:rsidRPr="002673A3">
        <w:rPr>
          <w:rFonts w:ascii="Times New Roman" w:eastAsia="Times New Roman" w:hAnsi="Times New Roman" w:cs="Times New Roman"/>
          <w:b/>
          <w:bCs/>
          <w:color w:val="FF0000"/>
          <w:sz w:val="24"/>
          <w:szCs w:val="24"/>
        </w:rPr>
        <w:t>é vedada a participação</w:t>
      </w:r>
      <w:r w:rsidRPr="002673A3">
        <w:rPr>
          <w:rFonts w:ascii="Times New Roman" w:eastAsia="Times New Roman" w:hAnsi="Times New Roman" w:cs="Times New Roman"/>
          <w:color w:val="FF0000"/>
          <w:sz w:val="24"/>
          <w:szCs w:val="24"/>
        </w:rPr>
        <w:t xml:space="preserve"> de outro órgão ou entidade na ata (art. 82, § 4º, da Lei nº 14.133</w:t>
      </w:r>
      <w:r w:rsidR="00131FD4">
        <w:rPr>
          <w:rFonts w:ascii="Times New Roman" w:eastAsia="Times New Roman" w:hAnsi="Times New Roman" w:cs="Times New Roman"/>
          <w:color w:val="FF0000"/>
          <w:sz w:val="24"/>
          <w:szCs w:val="24"/>
        </w:rPr>
        <w:t xml:space="preserve">, de </w:t>
      </w:r>
      <w:r w:rsidRPr="002673A3">
        <w:rPr>
          <w:rFonts w:ascii="Times New Roman" w:eastAsia="Times New Roman" w:hAnsi="Times New Roman" w:cs="Times New Roman"/>
          <w:color w:val="FF0000"/>
          <w:sz w:val="24"/>
          <w:szCs w:val="24"/>
        </w:rPr>
        <w:t>2021</w:t>
      </w:r>
      <w:r w:rsidR="00131FD4">
        <w:rPr>
          <w:rFonts w:ascii="Times New Roman" w:eastAsia="Times New Roman" w:hAnsi="Times New Roman" w:cs="Times New Roman"/>
          <w:color w:val="FF0000"/>
          <w:sz w:val="24"/>
          <w:szCs w:val="24"/>
        </w:rPr>
        <w:t>,</w:t>
      </w:r>
      <w:r w:rsidRPr="002673A3">
        <w:rPr>
          <w:rFonts w:ascii="Times New Roman" w:eastAsia="Times New Roman" w:hAnsi="Times New Roman" w:cs="Times New Roman"/>
          <w:color w:val="FF0000"/>
          <w:sz w:val="24"/>
          <w:szCs w:val="24"/>
        </w:rPr>
        <w:t xml:space="preserve"> e artigo 4º, parágrafo único, do Decreto nº 11.462, de 2023). </w:t>
      </w:r>
    </w:p>
    <w:p w14:paraId="756EBBF6" w14:textId="77777777" w:rsidR="00B73C04" w:rsidRPr="002673A3" w:rsidRDefault="00B73C04" w:rsidP="00B73C04">
      <w:pPr>
        <w:spacing w:after="0" w:line="240" w:lineRule="auto"/>
        <w:ind w:firstLine="1410"/>
        <w:jc w:val="both"/>
        <w:textAlignment w:val="baseline"/>
      </w:pPr>
      <w:r w:rsidRPr="002673A3">
        <w:rPr>
          <w:rFonts w:ascii="Times New Roman" w:eastAsia="Times New Roman" w:hAnsi="Times New Roman" w:cs="Times New Roman"/>
          <w:color w:val="FF0000"/>
          <w:sz w:val="24"/>
          <w:szCs w:val="24"/>
        </w:rPr>
        <w:t xml:space="preserve"> </w:t>
      </w:r>
    </w:p>
    <w:p w14:paraId="342DC288" w14:textId="77777777" w:rsidR="00B73C04" w:rsidRPr="002673A3" w:rsidRDefault="00B73C04" w:rsidP="00B73C04">
      <w:pPr>
        <w:spacing w:after="0" w:line="240" w:lineRule="auto"/>
        <w:jc w:val="both"/>
        <w:textAlignment w:val="baseline"/>
      </w:pPr>
      <w:r w:rsidRPr="00131FD4">
        <w:rPr>
          <w:rFonts w:ascii="Times New Roman" w:eastAsia="Times New Roman" w:hAnsi="Times New Roman" w:cs="Times New Roman"/>
          <w:color w:val="FF0000"/>
          <w:sz w:val="24"/>
          <w:szCs w:val="24"/>
          <w:highlight w:val="cyan"/>
        </w:rPr>
        <w:t xml:space="preserve">Às fls. XXX/No doc. SEI n. XXXX, percebe-se que houve a referida divulgação. </w:t>
      </w:r>
      <w:r w:rsidRPr="002673A3">
        <w:rPr>
          <w:rFonts w:ascii="Times New Roman" w:eastAsia="Times New Roman" w:hAnsi="Times New Roman" w:cs="Times New Roman"/>
          <w:color w:val="FF0000"/>
          <w:sz w:val="24"/>
          <w:szCs w:val="24"/>
        </w:rPr>
        <w:t xml:space="preserve"> </w:t>
      </w:r>
    </w:p>
    <w:p w14:paraId="5A8CA01D" w14:textId="77777777" w:rsidR="00B73C04" w:rsidRPr="00131FD4" w:rsidRDefault="00B73C04" w:rsidP="00722706">
      <w:pPr>
        <w:spacing w:after="0" w:line="240" w:lineRule="auto"/>
        <w:ind w:firstLine="709"/>
        <w:jc w:val="both"/>
        <w:textAlignment w:val="baseline"/>
        <w:rPr>
          <w:rFonts w:ascii="Times New Roman" w:eastAsia="Times New Roman" w:hAnsi="Times New Roman" w:cs="Times New Roman"/>
          <w:b/>
          <w:bCs/>
          <w:color w:val="FF0000"/>
          <w:sz w:val="24"/>
          <w:szCs w:val="24"/>
          <w:highlight w:val="cyan"/>
          <w:u w:val="single"/>
        </w:rPr>
      </w:pPr>
      <w:r w:rsidRPr="00131FD4">
        <w:rPr>
          <w:rFonts w:ascii="Times New Roman" w:eastAsia="Times New Roman" w:hAnsi="Times New Roman" w:cs="Times New Roman"/>
          <w:b/>
          <w:bCs/>
          <w:color w:val="FF0000"/>
          <w:sz w:val="24"/>
          <w:szCs w:val="24"/>
          <w:highlight w:val="cyan"/>
          <w:u w:val="single"/>
        </w:rPr>
        <w:t>OU</w:t>
      </w:r>
    </w:p>
    <w:p w14:paraId="4B8EB92C" w14:textId="77777777" w:rsidR="00B73C04" w:rsidRPr="00131FD4" w:rsidRDefault="00B73C04" w:rsidP="00C7461B">
      <w:pPr>
        <w:spacing w:after="0" w:line="240" w:lineRule="auto"/>
        <w:ind w:firstLine="708"/>
        <w:jc w:val="both"/>
        <w:textAlignment w:val="baseline"/>
        <w:rPr>
          <w:rFonts w:ascii="Times New Roman" w:eastAsia="Times New Roman" w:hAnsi="Times New Roman" w:cs="Times New Roman"/>
          <w:color w:val="FF0000"/>
          <w:sz w:val="24"/>
          <w:szCs w:val="24"/>
          <w:highlight w:val="cyan"/>
        </w:rPr>
      </w:pPr>
      <w:r w:rsidRPr="594C5555">
        <w:rPr>
          <w:rFonts w:ascii="Times New Roman" w:eastAsia="Times New Roman" w:hAnsi="Times New Roman" w:cs="Times New Roman"/>
          <w:color w:val="FF0000"/>
          <w:sz w:val="24"/>
          <w:szCs w:val="24"/>
          <w:highlight w:val="cyan"/>
        </w:rPr>
        <w:t xml:space="preserve">No caso, apesar de não ter havido a referida divulgação, foi informado que o órgão ou a entidade gerenciadora é o único contratante (fls. XXX/ no doc. SEI n. XXXX ). </w:t>
      </w:r>
    </w:p>
    <w:p w14:paraId="6B192C93" w14:textId="68503C02" w:rsidR="000F224A" w:rsidRPr="008A6DA8" w:rsidRDefault="00B73C04" w:rsidP="008A6DA8">
      <w:pPr>
        <w:spacing w:after="0" w:line="240" w:lineRule="auto"/>
        <w:ind w:firstLine="709"/>
        <w:jc w:val="both"/>
        <w:textAlignment w:val="baseline"/>
        <w:rPr>
          <w:rFonts w:ascii="Times New Roman" w:eastAsia="Times New Roman" w:hAnsi="Times New Roman" w:cs="Times New Roman"/>
          <w:b/>
          <w:bCs/>
          <w:color w:val="FF0000"/>
          <w:sz w:val="24"/>
          <w:szCs w:val="24"/>
          <w:highlight w:val="cyan"/>
          <w:u w:val="single"/>
        </w:rPr>
      </w:pPr>
      <w:r w:rsidRPr="00131FD4">
        <w:rPr>
          <w:rFonts w:ascii="Times New Roman" w:eastAsia="Times New Roman" w:hAnsi="Times New Roman" w:cs="Times New Roman"/>
          <w:b/>
          <w:bCs/>
          <w:color w:val="FF0000"/>
          <w:sz w:val="24"/>
          <w:szCs w:val="24"/>
          <w:highlight w:val="cyan"/>
          <w:u w:val="single"/>
        </w:rPr>
        <w:t>OU</w:t>
      </w:r>
    </w:p>
    <w:p w14:paraId="75E650B6" w14:textId="568FF0E4" w:rsidR="00B73C04" w:rsidRPr="00131FD4" w:rsidRDefault="00B73C04" w:rsidP="00C7461B">
      <w:pPr>
        <w:spacing w:after="0" w:line="240" w:lineRule="auto"/>
        <w:ind w:firstLine="708"/>
        <w:jc w:val="both"/>
        <w:textAlignment w:val="baseline"/>
        <w:rPr>
          <w:rFonts w:ascii="Times New Roman" w:eastAsia="Times New Roman" w:hAnsi="Times New Roman" w:cs="Times New Roman"/>
          <w:color w:val="FF0000"/>
          <w:sz w:val="24"/>
          <w:szCs w:val="24"/>
          <w:highlight w:val="cyan"/>
        </w:rPr>
      </w:pPr>
      <w:r w:rsidRPr="594C5555">
        <w:rPr>
          <w:rFonts w:ascii="Times New Roman" w:eastAsia="Times New Roman" w:hAnsi="Times New Roman" w:cs="Times New Roman"/>
          <w:color w:val="FF0000"/>
          <w:sz w:val="24"/>
          <w:szCs w:val="24"/>
          <w:highlight w:val="cyan"/>
        </w:rPr>
        <w:t>No caso, não consta a divulgação da intenção de registro de preços, nem informação de que o órgão ou a entidade gerenciadora é o único contratante</w:t>
      </w:r>
      <w:r w:rsidRPr="594C5555">
        <w:rPr>
          <w:rFonts w:ascii="Times New Roman" w:eastAsia="Times New Roman" w:hAnsi="Times New Roman" w:cs="Times New Roman"/>
          <w:b/>
          <w:bCs/>
          <w:color w:val="FF0000"/>
          <w:sz w:val="24"/>
          <w:szCs w:val="24"/>
          <w:highlight w:val="cyan"/>
          <w:u w:val="single"/>
        </w:rPr>
        <w:t>, razão pela qual deve ser realizada a intenção de registro de preços ou justificada a não divulgação do ato,</w:t>
      </w:r>
      <w:r w:rsidRPr="594C5555">
        <w:rPr>
          <w:rFonts w:ascii="Times New Roman" w:eastAsia="Times New Roman" w:hAnsi="Times New Roman" w:cs="Times New Roman"/>
          <w:color w:val="FF0000"/>
          <w:sz w:val="24"/>
          <w:szCs w:val="24"/>
          <w:highlight w:val="cyan"/>
        </w:rPr>
        <w:t xml:space="preserve"> na forma art. 86, § 1º, da Lei nº 14.133</w:t>
      </w:r>
      <w:r w:rsidR="00131FD4" w:rsidRPr="594C5555">
        <w:rPr>
          <w:rFonts w:ascii="Times New Roman" w:eastAsia="Times New Roman" w:hAnsi="Times New Roman" w:cs="Times New Roman"/>
          <w:color w:val="FF0000"/>
          <w:sz w:val="24"/>
          <w:szCs w:val="24"/>
          <w:highlight w:val="cyan"/>
        </w:rPr>
        <w:t xml:space="preserve">, de </w:t>
      </w:r>
      <w:r w:rsidRPr="594C5555">
        <w:rPr>
          <w:rFonts w:ascii="Times New Roman" w:eastAsia="Times New Roman" w:hAnsi="Times New Roman" w:cs="Times New Roman"/>
          <w:color w:val="FF0000"/>
          <w:sz w:val="24"/>
          <w:szCs w:val="24"/>
          <w:highlight w:val="cyan"/>
        </w:rPr>
        <w:t>2021</w:t>
      </w:r>
      <w:r w:rsidR="00131FD4" w:rsidRPr="594C5555">
        <w:rPr>
          <w:rFonts w:ascii="Times New Roman" w:eastAsia="Times New Roman" w:hAnsi="Times New Roman" w:cs="Times New Roman"/>
          <w:color w:val="FF0000"/>
          <w:sz w:val="24"/>
          <w:szCs w:val="24"/>
          <w:highlight w:val="cyan"/>
        </w:rPr>
        <w:t>,</w:t>
      </w:r>
      <w:r w:rsidRPr="594C5555">
        <w:rPr>
          <w:rFonts w:ascii="Times New Roman" w:eastAsia="Times New Roman" w:hAnsi="Times New Roman" w:cs="Times New Roman"/>
          <w:color w:val="FF0000"/>
          <w:sz w:val="24"/>
          <w:szCs w:val="24"/>
          <w:highlight w:val="cyan"/>
        </w:rPr>
        <w:t xml:space="preserve"> e art. 9º, § 2º, do Decreto nº 11.462, de 2023.</w:t>
      </w:r>
    </w:p>
    <w:p w14:paraId="21BDEBDD" w14:textId="77777777" w:rsidR="00B73C04" w:rsidRPr="00271BE3" w:rsidRDefault="00B73C04" w:rsidP="00952A35">
      <w:pPr>
        <w:spacing w:after="0" w:line="240" w:lineRule="auto"/>
        <w:ind w:firstLine="1418"/>
        <w:jc w:val="both"/>
        <w:rPr>
          <w:rFonts w:ascii="Times New Roman" w:eastAsia="Times New Roman" w:hAnsi="Times New Roman" w:cs="Times New Roman"/>
          <w:color w:val="000000"/>
          <w:sz w:val="24"/>
          <w:szCs w:val="24"/>
          <w:lang w:eastAsia="pt-BR"/>
        </w:rPr>
      </w:pPr>
    </w:p>
    <w:p w14:paraId="73E1680B" w14:textId="77777777" w:rsidR="004423CE" w:rsidRPr="00271BE3" w:rsidRDefault="6817C2E8" w:rsidP="00952A35">
      <w:pPr>
        <w:spacing w:after="0" w:line="240" w:lineRule="auto"/>
        <w:jc w:val="both"/>
        <w:outlineLvl w:val="1"/>
        <w:rPr>
          <w:rFonts w:ascii="Times New Roman" w:eastAsia="Times New Roman" w:hAnsi="Times New Roman" w:cs="Times New Roman"/>
          <w:b/>
          <w:bCs/>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PLANEJAMENTO DA CONTRATAÇÃO</w:t>
      </w:r>
    </w:p>
    <w:p w14:paraId="29615519" w14:textId="77777777" w:rsidR="004423CE" w:rsidRDefault="79B9EDE3" w:rsidP="00952A35">
      <w:pPr>
        <w:spacing w:after="0" w:line="240" w:lineRule="auto"/>
        <w:ind w:firstLine="1440"/>
        <w:jc w:val="both"/>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14BBB1AD" w14:textId="77777777" w:rsidR="00486768" w:rsidRPr="00FB7FC5" w:rsidRDefault="00486768" w:rsidP="00486768">
      <w:pPr>
        <w:spacing w:after="0" w:line="240" w:lineRule="auto"/>
        <w:jc w:val="both"/>
        <w:outlineLvl w:val="1"/>
        <w:rPr>
          <w:rFonts w:ascii="Times New Roman" w:hAnsi="Times New Roman" w:cs="Times New Roman"/>
          <w:b/>
          <w:bCs/>
          <w:sz w:val="24"/>
          <w:szCs w:val="24"/>
        </w:rPr>
      </w:pPr>
      <w:r w:rsidRPr="00FB7FC5">
        <w:rPr>
          <w:rFonts w:ascii="Times New Roman" w:hAnsi="Times New Roman" w:cs="Times New Roman"/>
          <w:b/>
          <w:bCs/>
          <w:sz w:val="24"/>
          <w:szCs w:val="24"/>
        </w:rPr>
        <w:t>Da recomendação para adoção do Instrumento de Padronização dos Procedimentos de Contratação (IPP)</w:t>
      </w:r>
    </w:p>
    <w:p w14:paraId="7F9BFE54" w14:textId="77777777" w:rsidR="00486768" w:rsidRPr="00FB7FC5" w:rsidRDefault="00486768" w:rsidP="00486768">
      <w:pPr>
        <w:spacing w:after="0" w:line="240" w:lineRule="auto"/>
        <w:jc w:val="both"/>
        <w:outlineLvl w:val="1"/>
        <w:rPr>
          <w:rFonts w:ascii="Times New Roman" w:hAnsi="Times New Roman" w:cs="Times New Roman"/>
          <w:b/>
          <w:bCs/>
          <w:sz w:val="24"/>
          <w:szCs w:val="24"/>
        </w:rPr>
      </w:pPr>
    </w:p>
    <w:p w14:paraId="1E78DD78" w14:textId="77777777" w:rsidR="00486768" w:rsidRPr="00FB7FC5" w:rsidRDefault="00486768" w:rsidP="00486768">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A Advocacia-Geral da União (AGU)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1DD50F4D" w14:textId="77777777" w:rsidR="00486768" w:rsidRPr="00FB7FC5" w:rsidRDefault="00486768" w:rsidP="00486768">
      <w:pPr>
        <w:spacing w:after="0" w:line="240" w:lineRule="auto"/>
        <w:jc w:val="both"/>
        <w:outlineLvl w:val="1"/>
        <w:rPr>
          <w:rFonts w:ascii="Times New Roman" w:hAnsi="Times New Roman" w:cs="Times New Roman"/>
          <w:sz w:val="24"/>
          <w:szCs w:val="24"/>
        </w:rPr>
      </w:pPr>
    </w:p>
    <w:p w14:paraId="11B8B41F" w14:textId="63D26E3C" w:rsidR="00486768" w:rsidRPr="00FB7FC5" w:rsidRDefault="00486768" w:rsidP="00486768">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Recomenda-se que o planejamento da contratação seja realizado em conformidade com as diretrizes constantes do referido instrumento, que se encontra disponível em: https://www.gov.br/agu/ptbr/comunicacao/noticias/instrumento-de-padronizacao-dos-procedimentos.pdf ou em </w:t>
      </w:r>
      <w:r w:rsidRPr="005D3B70">
        <w:rPr>
          <w:rFonts w:ascii="Times New Roman" w:hAnsi="Times New Roman" w:cs="Times New Roman"/>
          <w:sz w:val="24"/>
          <w:szCs w:val="24"/>
        </w:rPr>
        <w:t>https://www.gov.br/compras/pt-br/acesso-a-informacao/manuais/manual-fase-interna</w:t>
      </w:r>
      <w:r w:rsidRPr="00FB7FC5">
        <w:rPr>
          <w:rFonts w:ascii="Times New Roman" w:hAnsi="Times New Roman" w:cs="Times New Roman"/>
          <w:sz w:val="24"/>
          <w:szCs w:val="24"/>
        </w:rPr>
        <w:t>.</w:t>
      </w:r>
    </w:p>
    <w:p w14:paraId="75E2D71C" w14:textId="77777777" w:rsidR="00486768" w:rsidRPr="00FB7FC5" w:rsidRDefault="00486768" w:rsidP="00486768">
      <w:pPr>
        <w:spacing w:after="0" w:line="240" w:lineRule="auto"/>
        <w:jc w:val="both"/>
        <w:outlineLvl w:val="1"/>
        <w:rPr>
          <w:rFonts w:ascii="Times New Roman" w:hAnsi="Times New Roman" w:cs="Times New Roman"/>
          <w:sz w:val="24"/>
          <w:szCs w:val="24"/>
        </w:rPr>
      </w:pPr>
    </w:p>
    <w:p w14:paraId="6D06DFEE" w14:textId="4CCF5435" w:rsidR="00486768" w:rsidRDefault="00486768" w:rsidP="00486768">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48DE40DB" w14:textId="77777777" w:rsidR="008A6DA8" w:rsidRPr="00FB7FC5" w:rsidRDefault="008A6DA8" w:rsidP="00486768">
      <w:pPr>
        <w:spacing w:after="0" w:line="240" w:lineRule="auto"/>
        <w:jc w:val="both"/>
        <w:outlineLvl w:val="1"/>
        <w:rPr>
          <w:rFonts w:ascii="Times New Roman" w:hAnsi="Times New Roman" w:cs="Times New Roman"/>
          <w:sz w:val="24"/>
          <w:szCs w:val="24"/>
        </w:rPr>
      </w:pPr>
    </w:p>
    <w:p w14:paraId="3BC99A68" w14:textId="3557DFF0" w:rsidR="00486768" w:rsidRPr="00A53227" w:rsidRDefault="00486768" w:rsidP="14878130">
      <w:pPr>
        <w:spacing w:after="0" w:line="240" w:lineRule="auto"/>
        <w:jc w:val="both"/>
        <w:outlineLvl w:val="1"/>
        <w:rPr>
          <w:rFonts w:ascii="Times New Roman" w:eastAsia="Times New Roman" w:hAnsi="Times New Roman" w:cs="Times New Roman"/>
          <w:b/>
          <w:bCs/>
          <w:sz w:val="24"/>
          <w:szCs w:val="24"/>
          <w:lang w:eastAsia="pt-BR"/>
        </w:rPr>
      </w:pPr>
      <w:r w:rsidRPr="14878130">
        <w:rPr>
          <w:rFonts w:ascii="Times New Roman" w:hAnsi="Times New Roman" w:cs="Times New Roman"/>
          <w:sz w:val="24"/>
          <w:szCs w:val="24"/>
        </w:rPr>
        <w:t xml:space="preserve">Oportuno registrar que </w:t>
      </w:r>
      <w:r w:rsidR="11FC2754" w:rsidRPr="14878130">
        <w:rPr>
          <w:rFonts w:ascii="Times New Roman" w:hAnsi="Times New Roman" w:cs="Times New Roman"/>
          <w:sz w:val="24"/>
          <w:szCs w:val="24"/>
        </w:rPr>
        <w:t>apesar de o documento não</w:t>
      </w:r>
      <w:r w:rsidRPr="14878130">
        <w:rPr>
          <w:rFonts w:ascii="Times New Roman" w:hAnsi="Times New Roman" w:cs="Times New Roman"/>
          <w:sz w:val="24"/>
          <w:szCs w:val="24"/>
        </w:rPr>
        <w:t xml:space="preserve"> aborda</w:t>
      </w:r>
      <w:r w:rsidR="15FE5AE9" w:rsidRPr="14878130">
        <w:rPr>
          <w:rFonts w:ascii="Times New Roman" w:hAnsi="Times New Roman" w:cs="Times New Roman"/>
          <w:sz w:val="24"/>
          <w:szCs w:val="24"/>
        </w:rPr>
        <w:t>r</w:t>
      </w:r>
      <w:r w:rsidRPr="14878130">
        <w:rPr>
          <w:rFonts w:ascii="Times New Roman" w:hAnsi="Times New Roman" w:cs="Times New Roman"/>
          <w:sz w:val="24"/>
          <w:szCs w:val="24"/>
        </w:rPr>
        <w:t xml:space="preserve"> as especificidades das contratações de obras e serviços de engenharia, é recomendável a observância da legislação específica, adotando o IPP de forma subsidiária.</w:t>
      </w:r>
    </w:p>
    <w:p w14:paraId="4CE8A982" w14:textId="7CF195A2" w:rsidR="00486768" w:rsidRPr="00271BE3" w:rsidRDefault="00486768" w:rsidP="00486768">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160A7787" w14:textId="25617A19" w:rsidR="004423CE" w:rsidRPr="000F224A" w:rsidRDefault="6817C2E8" w:rsidP="000F224A">
      <w:pPr>
        <w:rPr>
          <w:rFonts w:ascii="Times New Roman" w:eastAsia="Times New Roman" w:hAnsi="Times New Roman" w:cs="Times New Roman"/>
          <w:b/>
          <w:bCs/>
          <w:color w:val="000000" w:themeColor="text1"/>
          <w:sz w:val="24"/>
          <w:szCs w:val="24"/>
          <w:lang w:eastAsia="pt-BR"/>
        </w:rPr>
      </w:pPr>
      <w:r w:rsidRPr="00271BE3">
        <w:rPr>
          <w:rFonts w:ascii="Times New Roman" w:eastAsia="Times New Roman" w:hAnsi="Times New Roman" w:cs="Times New Roman"/>
          <w:b/>
          <w:bCs/>
          <w:color w:val="000000" w:themeColor="text1"/>
          <w:sz w:val="24"/>
          <w:szCs w:val="24"/>
          <w:lang w:eastAsia="pt-BR"/>
        </w:rPr>
        <w:t>Documentos necessários ao planejamento da contratação</w:t>
      </w:r>
    </w:p>
    <w:p w14:paraId="748DD3C2" w14:textId="310BD0DB" w:rsidR="79B9EDE3" w:rsidRPr="00271BE3" w:rsidRDefault="79B9EDE3" w:rsidP="00952A35">
      <w:pPr>
        <w:spacing w:after="0" w:line="240" w:lineRule="auto"/>
        <w:ind w:firstLine="1418"/>
        <w:jc w:val="both"/>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color w:val="000000" w:themeColor="text1"/>
          <w:sz w:val="24"/>
          <w:szCs w:val="24"/>
          <w:lang w:eastAsia="pt-BR"/>
        </w:rPr>
        <w:t> </w:t>
      </w:r>
      <w:r w:rsidR="22815209" w:rsidRPr="00271BE3">
        <w:rPr>
          <w:rFonts w:ascii="Times New Roman" w:eastAsia="Calibri" w:hAnsi="Times New Roman" w:cs="Times New Roman"/>
          <w:color w:val="000000" w:themeColor="text1"/>
          <w:sz w:val="24"/>
          <w:szCs w:val="24"/>
        </w:rPr>
        <w:t xml:space="preserve"> </w:t>
      </w:r>
    </w:p>
    <w:p w14:paraId="795D76F1" w14:textId="642882DE" w:rsidR="22815209" w:rsidRDefault="67764C19"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De acordo com a Lei nº 14.133</w:t>
      </w:r>
      <w:r w:rsidR="009B389A" w:rsidRPr="00271BE3">
        <w:rPr>
          <w:rFonts w:ascii="Times New Roman" w:eastAsia="Calibri" w:hAnsi="Times New Roman" w:cs="Times New Roman"/>
          <w:color w:val="000000" w:themeColor="text1"/>
          <w:sz w:val="24"/>
          <w:szCs w:val="24"/>
        </w:rPr>
        <w:t xml:space="preserve">, de </w:t>
      </w:r>
      <w:r w:rsidRPr="00271BE3">
        <w:rPr>
          <w:rFonts w:ascii="Times New Roman" w:eastAsia="Calibri" w:hAnsi="Times New Roman" w:cs="Times New Roman"/>
          <w:color w:val="000000" w:themeColor="text1"/>
          <w:sz w:val="24"/>
          <w:szCs w:val="24"/>
        </w:rPr>
        <w:t xml:space="preserve">2021, </w:t>
      </w:r>
      <w:r w:rsidRPr="00271BE3">
        <w:rPr>
          <w:rFonts w:ascii="Times New Roman" w:eastAsia="Calibri" w:hAnsi="Times New Roman" w:cs="Times New Roman"/>
          <w:color w:val="333333"/>
          <w:sz w:val="24"/>
          <w:szCs w:val="24"/>
        </w:rPr>
        <w:t xml:space="preserve">a </w:t>
      </w:r>
      <w:r w:rsidRPr="00271BE3">
        <w:rPr>
          <w:rFonts w:ascii="Times New Roman" w:eastAsia="Calibri" w:hAnsi="Times New Roman" w:cs="Times New Roman"/>
          <w:color w:val="000000" w:themeColor="text1"/>
          <w:sz w:val="24"/>
          <w:szCs w:val="24"/>
        </w:rPr>
        <w:t xml:space="preserve">IN SEGES </w:t>
      </w:r>
      <w:r w:rsidR="00197CAC" w:rsidRPr="00271BE3">
        <w:rPr>
          <w:rFonts w:ascii="Times New Roman" w:eastAsia="Calibri" w:hAnsi="Times New Roman" w:cs="Times New Roman"/>
          <w:color w:val="000000" w:themeColor="text1"/>
          <w:sz w:val="24"/>
          <w:szCs w:val="24"/>
        </w:rPr>
        <w:t>nº</w:t>
      </w:r>
      <w:r w:rsidRPr="00271BE3">
        <w:rPr>
          <w:rFonts w:ascii="Times New Roman" w:eastAsia="Calibri" w:hAnsi="Times New Roman" w:cs="Times New Roman"/>
          <w:color w:val="000000" w:themeColor="text1"/>
          <w:sz w:val="24"/>
          <w:szCs w:val="24"/>
        </w:rPr>
        <w:t xml:space="preserve"> 58</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22,</w:t>
      </w:r>
      <w:r w:rsidRPr="00271BE3">
        <w:rPr>
          <w:rFonts w:ascii="Times New Roman" w:eastAsia="Calibri" w:hAnsi="Times New Roman" w:cs="Times New Roman"/>
          <w:color w:val="333333"/>
          <w:sz w:val="24"/>
          <w:szCs w:val="24"/>
        </w:rPr>
        <w:t xml:space="preserve"> a </w:t>
      </w:r>
      <w:r w:rsidRPr="00271BE3">
        <w:rPr>
          <w:rFonts w:ascii="Times New Roman" w:eastAsia="Calibri" w:hAnsi="Times New Roman" w:cs="Times New Roman"/>
          <w:color w:val="000000" w:themeColor="text1"/>
          <w:sz w:val="24"/>
          <w:szCs w:val="24"/>
        </w:rPr>
        <w:t xml:space="preserve">IN SEGES/ME </w:t>
      </w:r>
      <w:r w:rsidR="00197CAC" w:rsidRPr="00271BE3">
        <w:rPr>
          <w:rFonts w:ascii="Times New Roman" w:eastAsia="Calibri" w:hAnsi="Times New Roman" w:cs="Times New Roman"/>
          <w:color w:val="000000" w:themeColor="text1"/>
          <w:sz w:val="24"/>
          <w:szCs w:val="24"/>
        </w:rPr>
        <w:t>nº</w:t>
      </w:r>
      <w:r w:rsidRPr="00271BE3">
        <w:rPr>
          <w:rFonts w:ascii="Times New Roman" w:eastAsia="Calibri" w:hAnsi="Times New Roman" w:cs="Times New Roman"/>
          <w:color w:val="000000" w:themeColor="text1"/>
          <w:sz w:val="24"/>
          <w:szCs w:val="24"/>
        </w:rPr>
        <w:t xml:space="preserve"> 81</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22 e a IN SEGES/MP nº 05</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 xml:space="preserve">17, aplicável, no que couber, por força da IN SEGES/ME </w:t>
      </w:r>
      <w:r w:rsidR="00197CAC" w:rsidRPr="00271BE3">
        <w:rPr>
          <w:rFonts w:ascii="Times New Roman" w:eastAsia="Calibri" w:hAnsi="Times New Roman" w:cs="Times New Roman"/>
          <w:color w:val="000000" w:themeColor="text1"/>
          <w:sz w:val="24"/>
          <w:szCs w:val="24"/>
        </w:rPr>
        <w:t>nº</w:t>
      </w:r>
      <w:r w:rsidRPr="00271BE3">
        <w:rPr>
          <w:rFonts w:ascii="Times New Roman" w:eastAsia="Calibri" w:hAnsi="Times New Roman" w:cs="Times New Roman"/>
          <w:color w:val="000000" w:themeColor="text1"/>
          <w:sz w:val="24"/>
          <w:szCs w:val="24"/>
        </w:rPr>
        <w:t xml:space="preserve"> 98</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22, a Administração Pública deverá produzir os documentos abaixo durante a fase de planejamento da contratação:</w:t>
      </w:r>
    </w:p>
    <w:p w14:paraId="6F8B0B32" w14:textId="77777777" w:rsidR="0023515F" w:rsidRPr="00271BE3" w:rsidRDefault="0023515F" w:rsidP="00952A35">
      <w:pPr>
        <w:spacing w:after="0" w:line="240" w:lineRule="auto"/>
        <w:jc w:val="both"/>
        <w:rPr>
          <w:rFonts w:ascii="Times New Roman" w:eastAsia="Calibri" w:hAnsi="Times New Roman" w:cs="Times New Roman"/>
          <w:color w:val="000000" w:themeColor="text1"/>
          <w:sz w:val="24"/>
          <w:szCs w:val="24"/>
        </w:rPr>
      </w:pPr>
    </w:p>
    <w:p w14:paraId="60DAB480" w14:textId="0DF9A355" w:rsidR="22815209" w:rsidRPr="0023515F" w:rsidRDefault="67764C19" w:rsidP="00952A35">
      <w:pPr>
        <w:spacing w:after="0" w:line="240" w:lineRule="auto"/>
        <w:ind w:left="2268"/>
        <w:jc w:val="both"/>
        <w:rPr>
          <w:rFonts w:ascii="Times New Roman" w:hAnsi="Times New Roman" w:cs="Times New Roman"/>
          <w:sz w:val="20"/>
          <w:szCs w:val="20"/>
        </w:rPr>
      </w:pPr>
      <w:r w:rsidRPr="0023515F">
        <w:rPr>
          <w:rFonts w:ascii="Times New Roman" w:eastAsia="Calibri" w:hAnsi="Times New Roman" w:cs="Times New Roman"/>
          <w:color w:val="000000" w:themeColor="text1"/>
          <w:sz w:val="20"/>
          <w:szCs w:val="20"/>
        </w:rPr>
        <w:t>a) documento para formalização da demanda;</w:t>
      </w:r>
    </w:p>
    <w:p w14:paraId="0A1DB6C5" w14:textId="77777777" w:rsidR="0023515F" w:rsidRDefault="67764C19" w:rsidP="00952A35">
      <w:pPr>
        <w:spacing w:after="0" w:line="240" w:lineRule="auto"/>
        <w:ind w:left="2268"/>
        <w:jc w:val="both"/>
        <w:rPr>
          <w:rFonts w:ascii="Times New Roman" w:hAnsi="Times New Roman" w:cs="Times New Roman"/>
          <w:sz w:val="20"/>
          <w:szCs w:val="20"/>
        </w:rPr>
      </w:pPr>
      <w:r w:rsidRPr="0023515F">
        <w:rPr>
          <w:rFonts w:ascii="Times New Roman" w:eastAsia="Calibri" w:hAnsi="Times New Roman" w:cs="Times New Roman"/>
          <w:color w:val="000000" w:themeColor="text1"/>
          <w:sz w:val="20"/>
          <w:szCs w:val="20"/>
        </w:rPr>
        <w:t>b) estudo técnico preliminar;</w:t>
      </w:r>
    </w:p>
    <w:p w14:paraId="7459006B" w14:textId="768FEA55" w:rsidR="22815209" w:rsidRPr="0023515F" w:rsidRDefault="67764C19" w:rsidP="00952A35">
      <w:pPr>
        <w:spacing w:after="0" w:line="240" w:lineRule="auto"/>
        <w:ind w:left="2268"/>
        <w:jc w:val="both"/>
        <w:rPr>
          <w:rFonts w:ascii="Times New Roman" w:hAnsi="Times New Roman" w:cs="Times New Roman"/>
          <w:sz w:val="20"/>
          <w:szCs w:val="20"/>
        </w:rPr>
      </w:pPr>
      <w:r w:rsidRPr="0023515F">
        <w:rPr>
          <w:rFonts w:ascii="Times New Roman" w:eastAsia="Calibri" w:hAnsi="Times New Roman" w:cs="Times New Roman"/>
          <w:color w:val="000000" w:themeColor="text1"/>
          <w:sz w:val="20"/>
          <w:szCs w:val="20"/>
        </w:rPr>
        <w:t>c) mapa de risco;</w:t>
      </w:r>
    </w:p>
    <w:p w14:paraId="42C46E8F" w14:textId="691AED2B" w:rsidR="22815209" w:rsidRDefault="67764C19" w:rsidP="00952A35">
      <w:pPr>
        <w:spacing w:after="0" w:line="240" w:lineRule="auto"/>
        <w:ind w:left="2268"/>
        <w:jc w:val="both"/>
        <w:rPr>
          <w:rFonts w:ascii="Times New Roman" w:eastAsia="Calibri" w:hAnsi="Times New Roman" w:cs="Times New Roman"/>
          <w:color w:val="000000" w:themeColor="text1"/>
          <w:sz w:val="20"/>
          <w:szCs w:val="20"/>
        </w:rPr>
      </w:pPr>
      <w:r w:rsidRPr="0023515F">
        <w:rPr>
          <w:rFonts w:ascii="Times New Roman" w:eastAsia="Calibri" w:hAnsi="Times New Roman" w:cs="Times New Roman"/>
          <w:color w:val="000000" w:themeColor="text1"/>
          <w:sz w:val="20"/>
          <w:szCs w:val="20"/>
        </w:rPr>
        <w:lastRenderedPageBreak/>
        <w:t xml:space="preserve">d) termo de referência. </w:t>
      </w:r>
    </w:p>
    <w:p w14:paraId="691BC157" w14:textId="77777777" w:rsidR="00E25BE2" w:rsidRPr="0023515F" w:rsidRDefault="00E25BE2" w:rsidP="00952A35">
      <w:pPr>
        <w:spacing w:after="0" w:line="240" w:lineRule="auto"/>
        <w:ind w:left="2268"/>
        <w:jc w:val="both"/>
        <w:rPr>
          <w:rFonts w:ascii="Times New Roman" w:hAnsi="Times New Roman" w:cs="Times New Roman"/>
          <w:sz w:val="20"/>
          <w:szCs w:val="20"/>
        </w:rPr>
      </w:pPr>
    </w:p>
    <w:p w14:paraId="27839AC3" w14:textId="0B1065D3" w:rsidR="22815209" w:rsidRDefault="7C1E3415" w:rsidP="00952A35">
      <w:pPr>
        <w:spacing w:after="0" w:line="240" w:lineRule="auto"/>
        <w:jc w:val="both"/>
        <w:rPr>
          <w:rFonts w:ascii="Times New Roman" w:eastAsia="Calibri" w:hAnsi="Times New Roman" w:cs="Times New Roman"/>
          <w:color w:val="FF0000"/>
          <w:sz w:val="24"/>
          <w:szCs w:val="24"/>
          <w:highlight w:val="cyan"/>
        </w:rPr>
      </w:pPr>
      <w:r w:rsidRPr="00540918">
        <w:rPr>
          <w:rFonts w:ascii="Times New Roman" w:eastAsia="Calibri" w:hAnsi="Times New Roman" w:cs="Times New Roman"/>
          <w:sz w:val="24"/>
          <w:szCs w:val="24"/>
        </w:rPr>
        <w:t>Dito isso, percebe-se que os documentos foram juntados</w:t>
      </w:r>
      <w:r w:rsidR="10F87E3C" w:rsidRPr="00540918">
        <w:rPr>
          <w:rFonts w:ascii="Times New Roman" w:eastAsia="Calibri" w:hAnsi="Times New Roman" w:cs="Times New Roman"/>
          <w:sz w:val="24"/>
          <w:szCs w:val="24"/>
        </w:rPr>
        <w:t xml:space="preserve"> aos autos</w:t>
      </w:r>
      <w:r w:rsidRPr="00540918">
        <w:rPr>
          <w:rFonts w:ascii="Times New Roman" w:eastAsia="Calibri" w:hAnsi="Times New Roman" w:cs="Times New Roman"/>
          <w:sz w:val="24"/>
          <w:szCs w:val="24"/>
        </w:rPr>
        <w:t>,</w:t>
      </w:r>
      <w:r w:rsidR="4EE48128" w:rsidRPr="00540918">
        <w:rPr>
          <w:rFonts w:ascii="Times New Roman" w:eastAsia="Calibri" w:hAnsi="Times New Roman" w:cs="Times New Roman"/>
          <w:sz w:val="24"/>
          <w:szCs w:val="24"/>
        </w:rPr>
        <w:t xml:space="preserve"> </w:t>
      </w:r>
      <w:r w:rsidR="4EE48128" w:rsidRPr="00540918">
        <w:rPr>
          <w:rFonts w:ascii="Times New Roman" w:eastAsia="Calibri" w:hAnsi="Times New Roman" w:cs="Times New Roman"/>
          <w:color w:val="FF0000"/>
          <w:sz w:val="24"/>
          <w:szCs w:val="24"/>
          <w:highlight w:val="cyan"/>
        </w:rPr>
        <w:t>conforme consta do relatório do presente parecer</w:t>
      </w:r>
      <w:r w:rsidR="28CC53BB" w:rsidRPr="00540918">
        <w:rPr>
          <w:rFonts w:ascii="Times New Roman" w:eastAsia="Calibri" w:hAnsi="Times New Roman" w:cs="Times New Roman"/>
          <w:color w:val="FF0000"/>
          <w:sz w:val="24"/>
          <w:szCs w:val="24"/>
          <w:highlight w:val="cyan"/>
        </w:rPr>
        <w:t xml:space="preserve"> </w:t>
      </w:r>
      <w:r w:rsidR="108CEFF3" w:rsidRPr="00540918">
        <w:rPr>
          <w:rFonts w:ascii="Times New Roman" w:eastAsia="Calibri" w:hAnsi="Times New Roman" w:cs="Times New Roman"/>
          <w:color w:val="FF0000"/>
          <w:sz w:val="24"/>
          <w:szCs w:val="24"/>
          <w:highlight w:val="cyan"/>
        </w:rPr>
        <w:t>OU</w:t>
      </w:r>
      <w:r w:rsidRPr="00540918">
        <w:rPr>
          <w:rFonts w:ascii="Times New Roman" w:eastAsia="Calibri" w:hAnsi="Times New Roman" w:cs="Times New Roman"/>
          <w:color w:val="FF0000"/>
          <w:sz w:val="24"/>
          <w:szCs w:val="24"/>
          <w:highlight w:val="cyan"/>
        </w:rPr>
        <w:t xml:space="preserve"> às fls. XXX/</w:t>
      </w:r>
      <w:r w:rsidR="628366AB" w:rsidRPr="00540918">
        <w:rPr>
          <w:rFonts w:ascii="Times New Roman" w:eastAsia="Calibri" w:hAnsi="Times New Roman" w:cs="Times New Roman"/>
          <w:color w:val="FF0000"/>
          <w:sz w:val="24"/>
          <w:szCs w:val="24"/>
          <w:highlight w:val="cyan"/>
        </w:rPr>
        <w:t>n</w:t>
      </w:r>
      <w:r w:rsidRPr="00540918">
        <w:rPr>
          <w:rFonts w:ascii="Times New Roman" w:eastAsia="Calibri" w:hAnsi="Times New Roman" w:cs="Times New Roman"/>
          <w:color w:val="FF0000"/>
          <w:sz w:val="24"/>
          <w:szCs w:val="24"/>
          <w:highlight w:val="cyan"/>
        </w:rPr>
        <w:t xml:space="preserve">os docs. SEI n. XXX. </w:t>
      </w:r>
    </w:p>
    <w:p w14:paraId="2E0D791E" w14:textId="77777777" w:rsidR="00540918" w:rsidRPr="00271BE3" w:rsidRDefault="00540918" w:rsidP="00952A35">
      <w:pPr>
        <w:spacing w:after="0" w:line="240" w:lineRule="auto"/>
        <w:jc w:val="both"/>
        <w:rPr>
          <w:rFonts w:ascii="Times New Roman" w:eastAsia="Calibri" w:hAnsi="Times New Roman" w:cs="Times New Roman"/>
          <w:color w:val="000000" w:themeColor="text1"/>
          <w:sz w:val="24"/>
          <w:szCs w:val="24"/>
          <w:highlight w:val="cyan"/>
        </w:rPr>
      </w:pPr>
    </w:p>
    <w:p w14:paraId="3D35C547" w14:textId="1897B7F0" w:rsidR="22815209" w:rsidRPr="00271BE3" w:rsidRDefault="67764C19"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Embora sejam documentos de natureza essencialmente técnica, faremos algumas observações a título de orientação jurídica.</w:t>
      </w:r>
    </w:p>
    <w:p w14:paraId="00D20C50" w14:textId="10308F4B" w:rsidR="004423CE" w:rsidRPr="00271BE3" w:rsidRDefault="004423CE" w:rsidP="00A44284">
      <w:pPr>
        <w:spacing w:after="0" w:line="240" w:lineRule="auto"/>
        <w:jc w:val="both"/>
        <w:rPr>
          <w:rFonts w:ascii="Times New Roman" w:eastAsia="Times New Roman" w:hAnsi="Times New Roman" w:cs="Times New Roman"/>
          <w:color w:val="000000"/>
          <w:sz w:val="24"/>
          <w:szCs w:val="24"/>
          <w:lang w:eastAsia="pt-BR"/>
        </w:rPr>
      </w:pPr>
    </w:p>
    <w:p w14:paraId="152F0174" w14:textId="39B6E407" w:rsidR="004423CE" w:rsidRPr="00271BE3" w:rsidRDefault="6817C2E8"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Documento para formalização da demanda e estudos preliminares: principais elementos</w:t>
      </w:r>
    </w:p>
    <w:p w14:paraId="47576EF2" w14:textId="77777777" w:rsidR="004423CE" w:rsidRPr="00271BE3" w:rsidRDefault="79B9EDE3"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675C9098" w14:textId="28E6BD2C" w:rsidR="004423CE" w:rsidRPr="00271BE3" w:rsidRDefault="3FC4966E" w:rsidP="00952A35">
      <w:pPr>
        <w:spacing w:after="0" w:line="240" w:lineRule="auto"/>
        <w:jc w:val="both"/>
        <w:rPr>
          <w:rFonts w:ascii="Times New Roman" w:eastAsia="Calibri" w:hAnsi="Times New Roman" w:cs="Times New Roman"/>
          <w:color w:val="000000" w:themeColor="text1"/>
          <w:sz w:val="24"/>
          <w:szCs w:val="24"/>
          <w:highlight w:val="cyan"/>
        </w:rPr>
      </w:pPr>
      <w:r w:rsidRPr="00271BE3">
        <w:rPr>
          <w:rFonts w:ascii="Times New Roman" w:eastAsia="Calibri" w:hAnsi="Times New Roman" w:cs="Times New Roman"/>
          <w:color w:val="000000" w:themeColor="text1"/>
          <w:sz w:val="24"/>
          <w:szCs w:val="24"/>
          <w:highlight w:val="cyan"/>
        </w:rPr>
        <w:t xml:space="preserve">Da análise do documento de formalização da demanda, percebe-se que foram previstos os conteúdos do art. 8º do </w:t>
      </w:r>
      <w:r w:rsidR="00BA09E9" w:rsidRPr="00271BE3">
        <w:rPr>
          <w:rFonts w:ascii="Times New Roman" w:eastAsia="Calibri" w:hAnsi="Times New Roman" w:cs="Times New Roman"/>
          <w:sz w:val="24"/>
          <w:szCs w:val="24"/>
          <w:highlight w:val="cyan"/>
        </w:rPr>
        <w:t>Decreto n</w:t>
      </w:r>
      <w:r w:rsidRPr="00271BE3">
        <w:rPr>
          <w:rFonts w:ascii="Times New Roman" w:eastAsia="Calibri" w:hAnsi="Times New Roman" w:cs="Times New Roman"/>
          <w:sz w:val="24"/>
          <w:szCs w:val="24"/>
          <w:highlight w:val="cyan"/>
        </w:rPr>
        <w:t xml:space="preserve">º 10.947, </w:t>
      </w:r>
      <w:r w:rsidR="00BA09E9" w:rsidRPr="00271BE3">
        <w:rPr>
          <w:rFonts w:ascii="Times New Roman" w:eastAsia="Calibri" w:hAnsi="Times New Roman" w:cs="Times New Roman"/>
          <w:sz w:val="24"/>
          <w:szCs w:val="24"/>
          <w:highlight w:val="cyan"/>
        </w:rPr>
        <w:t>de</w:t>
      </w:r>
      <w:r w:rsidRPr="00271BE3">
        <w:rPr>
          <w:rFonts w:ascii="Times New Roman" w:eastAsia="Calibri" w:hAnsi="Times New Roman" w:cs="Times New Roman"/>
          <w:sz w:val="24"/>
          <w:szCs w:val="24"/>
          <w:highlight w:val="cyan"/>
        </w:rPr>
        <w:t xml:space="preserve"> 2022</w:t>
      </w:r>
      <w:r w:rsidRPr="00271BE3">
        <w:rPr>
          <w:rFonts w:ascii="Times New Roman" w:eastAsia="Calibri" w:hAnsi="Times New Roman" w:cs="Times New Roman"/>
          <w:color w:val="000000" w:themeColor="text1"/>
          <w:sz w:val="24"/>
          <w:szCs w:val="24"/>
          <w:highlight w:val="cyan"/>
        </w:rPr>
        <w:t>, especialmente a justificativa da necessidade da contratação, o nome da área requisitante ou técnica com a identificação do responsável e a indicação da data pretendida para a conclusão da contratação.</w:t>
      </w:r>
    </w:p>
    <w:p w14:paraId="66BB2798" w14:textId="52A821D7" w:rsidR="004423CE" w:rsidRPr="00952A35" w:rsidRDefault="3FC4966E" w:rsidP="00952A35">
      <w:pPr>
        <w:spacing w:after="0" w:line="240" w:lineRule="auto"/>
        <w:ind w:firstLine="708"/>
        <w:jc w:val="both"/>
        <w:rPr>
          <w:rFonts w:ascii="Times New Roman" w:eastAsia="Calibri" w:hAnsi="Times New Roman" w:cs="Times New Roman"/>
          <w:b/>
          <w:bCs/>
          <w:color w:val="000000" w:themeColor="text1"/>
          <w:sz w:val="24"/>
          <w:szCs w:val="24"/>
          <w:highlight w:val="cyan"/>
          <w:u w:val="single"/>
        </w:rPr>
      </w:pPr>
      <w:r w:rsidRPr="00952A35">
        <w:rPr>
          <w:rFonts w:ascii="Times New Roman" w:eastAsia="Calibri" w:hAnsi="Times New Roman" w:cs="Times New Roman"/>
          <w:b/>
          <w:bCs/>
          <w:color w:val="000000" w:themeColor="text1"/>
          <w:sz w:val="24"/>
          <w:szCs w:val="24"/>
          <w:highlight w:val="cyan"/>
          <w:u w:val="single"/>
        </w:rPr>
        <w:t>OU</w:t>
      </w:r>
    </w:p>
    <w:p w14:paraId="61904271" w14:textId="60503ED7" w:rsidR="004423CE" w:rsidRPr="00271BE3" w:rsidRDefault="3FC4966E" w:rsidP="00133ACF">
      <w:pPr>
        <w:spacing w:after="0" w:line="240" w:lineRule="auto"/>
        <w:ind w:firstLine="708"/>
        <w:jc w:val="both"/>
        <w:rPr>
          <w:rFonts w:ascii="Times New Roman" w:eastAsia="Calibri" w:hAnsi="Times New Roman" w:cs="Times New Roman"/>
          <w:color w:val="FF0000"/>
          <w:sz w:val="24"/>
          <w:szCs w:val="24"/>
          <w:highlight w:val="cyan"/>
        </w:rPr>
      </w:pPr>
      <w:r w:rsidRPr="594C5555">
        <w:rPr>
          <w:rFonts w:ascii="Times New Roman" w:eastAsia="Calibri" w:hAnsi="Times New Roman" w:cs="Times New Roman"/>
          <w:color w:val="000000" w:themeColor="text1"/>
          <w:sz w:val="24"/>
          <w:szCs w:val="24"/>
          <w:highlight w:val="cyan"/>
        </w:rPr>
        <w:t xml:space="preserve">Da análise do documento de formalização da demanda, percebe-se que </w:t>
      </w:r>
      <w:r w:rsidRPr="594C5555">
        <w:rPr>
          <w:rFonts w:ascii="Times New Roman" w:eastAsia="Calibri" w:hAnsi="Times New Roman" w:cs="Times New Roman"/>
          <w:color w:val="000000" w:themeColor="text1"/>
          <w:sz w:val="24"/>
          <w:szCs w:val="24"/>
          <w:highlight w:val="cyan"/>
          <w:u w:val="single"/>
        </w:rPr>
        <w:t>não foram previstos</w:t>
      </w:r>
      <w:r w:rsidRPr="594C5555">
        <w:rPr>
          <w:rFonts w:ascii="Times New Roman" w:eastAsia="Calibri" w:hAnsi="Times New Roman" w:cs="Times New Roman"/>
          <w:color w:val="000000" w:themeColor="text1"/>
          <w:sz w:val="24"/>
          <w:szCs w:val="24"/>
          <w:highlight w:val="cyan"/>
        </w:rPr>
        <w:t xml:space="preserve"> todos os conteúdos do art. 8º do </w:t>
      </w:r>
      <w:r w:rsidR="00BA09E9" w:rsidRPr="594C5555">
        <w:rPr>
          <w:rFonts w:ascii="Times New Roman" w:eastAsia="Calibri" w:hAnsi="Times New Roman" w:cs="Times New Roman"/>
          <w:sz w:val="24"/>
          <w:szCs w:val="24"/>
          <w:highlight w:val="cyan"/>
        </w:rPr>
        <w:t>Decreto n</w:t>
      </w:r>
      <w:r w:rsidRPr="594C5555">
        <w:rPr>
          <w:rFonts w:ascii="Times New Roman" w:eastAsia="Calibri" w:hAnsi="Times New Roman" w:cs="Times New Roman"/>
          <w:sz w:val="24"/>
          <w:szCs w:val="24"/>
          <w:highlight w:val="cyan"/>
        </w:rPr>
        <w:t xml:space="preserve">º 10.947, </w:t>
      </w:r>
      <w:r w:rsidR="00BA09E9" w:rsidRPr="594C5555">
        <w:rPr>
          <w:rFonts w:ascii="Times New Roman" w:eastAsia="Calibri" w:hAnsi="Times New Roman" w:cs="Times New Roman"/>
          <w:sz w:val="24"/>
          <w:szCs w:val="24"/>
          <w:highlight w:val="cyan"/>
        </w:rPr>
        <w:t>de</w:t>
      </w:r>
      <w:r w:rsidRPr="594C5555">
        <w:rPr>
          <w:rFonts w:ascii="Times New Roman" w:eastAsia="Calibri" w:hAnsi="Times New Roman" w:cs="Times New Roman"/>
          <w:sz w:val="24"/>
          <w:szCs w:val="24"/>
          <w:highlight w:val="cyan"/>
        </w:rPr>
        <w:t xml:space="preserve"> 2022</w:t>
      </w:r>
      <w:r w:rsidRPr="594C5555">
        <w:rPr>
          <w:rFonts w:ascii="Times New Roman" w:eastAsia="Calibri" w:hAnsi="Times New Roman" w:cs="Times New Roman"/>
          <w:color w:val="000000" w:themeColor="text1"/>
          <w:sz w:val="24"/>
          <w:szCs w:val="24"/>
          <w:highlight w:val="cyan"/>
        </w:rPr>
        <w:t xml:space="preserve">. Pelo exposto, </w:t>
      </w:r>
      <w:r w:rsidRPr="594C5555">
        <w:rPr>
          <w:rFonts w:ascii="Times New Roman" w:eastAsia="Calibri" w:hAnsi="Times New Roman" w:cs="Times New Roman"/>
          <w:color w:val="000000" w:themeColor="text1"/>
          <w:sz w:val="24"/>
          <w:szCs w:val="24"/>
          <w:highlight w:val="cyan"/>
          <w:u w:val="single"/>
        </w:rPr>
        <w:t>deverá a Administração</w:t>
      </w:r>
      <w:r w:rsidRPr="594C5555">
        <w:rPr>
          <w:rFonts w:ascii="Times New Roman" w:eastAsia="Calibri" w:hAnsi="Times New Roman" w:cs="Times New Roman"/>
          <w:color w:val="FF0000"/>
          <w:sz w:val="24"/>
          <w:szCs w:val="24"/>
          <w:highlight w:val="cyan"/>
        </w:rPr>
        <w:t xml:space="preserve"> justificar a necessidade da contratação / indicar a data pretendida para a conclusão da contratação / informar o nome da área requisitante ou técnica com a identificação do responsável.</w:t>
      </w:r>
    </w:p>
    <w:p w14:paraId="44BB5075" w14:textId="04D64DF3" w:rsidR="76E478C8" w:rsidRPr="00271BE3" w:rsidRDefault="76E478C8" w:rsidP="00952A35">
      <w:pPr>
        <w:spacing w:after="0" w:line="240" w:lineRule="auto"/>
        <w:ind w:firstLine="1440"/>
        <w:jc w:val="both"/>
        <w:rPr>
          <w:rFonts w:ascii="Times New Roman" w:eastAsia="Calibri" w:hAnsi="Times New Roman" w:cs="Times New Roman"/>
          <w:color w:val="000000" w:themeColor="text1"/>
          <w:sz w:val="24"/>
          <w:szCs w:val="24"/>
        </w:rPr>
      </w:pPr>
    </w:p>
    <w:p w14:paraId="1079E35D" w14:textId="60585FD6" w:rsidR="004423CE" w:rsidRPr="00271BE3" w:rsidRDefault="3FC4966E"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t xml:space="preserve">Quanto aos estudos preliminares, a equipe de planejamento deverá certificar-se de que trazem os conteúdos previstos no art. 9º, da IN </w:t>
      </w:r>
      <w:r w:rsidR="004B73AD" w:rsidRPr="00271BE3">
        <w:rPr>
          <w:rFonts w:ascii="Times New Roman" w:eastAsia="Calibri" w:hAnsi="Times New Roman" w:cs="Times New Roman"/>
          <w:color w:val="000000" w:themeColor="text1"/>
          <w:sz w:val="24"/>
          <w:szCs w:val="24"/>
        </w:rPr>
        <w:t xml:space="preserve">SEGES </w:t>
      </w:r>
      <w:r w:rsidRPr="00271BE3">
        <w:rPr>
          <w:rFonts w:ascii="Times New Roman" w:eastAsia="Calibri" w:hAnsi="Times New Roman" w:cs="Times New Roman"/>
          <w:color w:val="000000" w:themeColor="text1"/>
          <w:sz w:val="24"/>
          <w:szCs w:val="24"/>
        </w:rPr>
        <w:t>nº 58</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22. Tal dispositivo estabelece que os estudos preliminares, obrigatoriamente, deverão conter:</w:t>
      </w:r>
    </w:p>
    <w:p w14:paraId="334680A6" w14:textId="0C16BAE3" w:rsidR="76E478C8" w:rsidRPr="00271BE3" w:rsidRDefault="76E478C8" w:rsidP="00952A35">
      <w:pPr>
        <w:spacing w:after="0" w:line="240" w:lineRule="auto"/>
        <w:ind w:left="1440"/>
        <w:jc w:val="both"/>
        <w:rPr>
          <w:rFonts w:ascii="Times New Roman" w:eastAsia="Calibri" w:hAnsi="Times New Roman" w:cs="Times New Roman"/>
          <w:color w:val="000000" w:themeColor="text1"/>
          <w:sz w:val="24"/>
          <w:szCs w:val="24"/>
        </w:rPr>
      </w:pPr>
    </w:p>
    <w:p w14:paraId="44E152B7" w14:textId="77777777" w:rsidR="004B5672" w:rsidRPr="006566AB" w:rsidRDefault="2C06DF87" w:rsidP="00952A35">
      <w:pPr>
        <w:pStyle w:val="PargrafodaLista"/>
        <w:numPr>
          <w:ilvl w:val="0"/>
          <w:numId w:val="2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6566AB">
        <w:rPr>
          <w:rFonts w:ascii="Times New Roman" w:eastAsia="Calibri" w:hAnsi="Times New Roman" w:cs="Times New Roman"/>
          <w:color w:val="000000" w:themeColor="text1"/>
          <w:sz w:val="20"/>
          <w:szCs w:val="20"/>
        </w:rPr>
        <w:t xml:space="preserve">descrição da necessidade da contratação, considerado o problema a ser resolvido sob a perspectiva do interesse público (inc. I); </w:t>
      </w:r>
    </w:p>
    <w:p w14:paraId="1860A602" w14:textId="77777777" w:rsidR="004B5672" w:rsidRPr="006566AB" w:rsidRDefault="2C06DF87" w:rsidP="00952A35">
      <w:pPr>
        <w:pStyle w:val="PargrafodaLista"/>
        <w:numPr>
          <w:ilvl w:val="0"/>
          <w:numId w:val="2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6566AB">
        <w:rPr>
          <w:rFonts w:ascii="Times New Roman" w:eastAsia="Calibri" w:hAnsi="Times New Roman" w:cs="Times New Roman"/>
          <w:color w:val="000000" w:themeColor="text1"/>
          <w:sz w:val="20"/>
          <w:szCs w:val="20"/>
        </w:rPr>
        <w:t xml:space="preserve">estimativa das quantidades a serem contratadas, acompanhada das memórias de cálculo e dos documentos que lhe dão suporte, considerando a interdependência com outras contratações, de modo a possibilitar economia de escala (inc. V); </w:t>
      </w:r>
    </w:p>
    <w:p w14:paraId="5931847F" w14:textId="77777777" w:rsidR="004B5672" w:rsidRPr="006566AB" w:rsidRDefault="2C06DF87" w:rsidP="00952A35">
      <w:pPr>
        <w:pStyle w:val="PargrafodaLista"/>
        <w:numPr>
          <w:ilvl w:val="0"/>
          <w:numId w:val="2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6566AB">
        <w:rPr>
          <w:rFonts w:ascii="Times New Roman" w:eastAsia="Calibri" w:hAnsi="Times New Roman" w:cs="Times New Roman"/>
          <w:color w:val="000000" w:themeColor="text1"/>
          <w:sz w:val="20"/>
          <w:szCs w:val="20"/>
        </w:rPr>
        <w:t xml:space="preserve">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 VI); </w:t>
      </w:r>
    </w:p>
    <w:p w14:paraId="34EAD882" w14:textId="77777777" w:rsidR="004B5672" w:rsidRPr="006566AB" w:rsidRDefault="2C06DF87" w:rsidP="00952A35">
      <w:pPr>
        <w:pStyle w:val="PargrafodaLista"/>
        <w:numPr>
          <w:ilvl w:val="0"/>
          <w:numId w:val="2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6566AB">
        <w:rPr>
          <w:rFonts w:ascii="Times New Roman" w:eastAsia="Calibri" w:hAnsi="Times New Roman" w:cs="Times New Roman"/>
          <w:color w:val="000000" w:themeColor="text1"/>
          <w:sz w:val="20"/>
          <w:szCs w:val="20"/>
        </w:rPr>
        <w:t xml:space="preserve">justificativas para o parcelamento ou não da solução (inc. VII); </w:t>
      </w:r>
    </w:p>
    <w:p w14:paraId="3F8FB15F" w14:textId="59F8B2A9" w:rsidR="004423CE" w:rsidRDefault="3FC4966E" w:rsidP="00952A35">
      <w:pPr>
        <w:pStyle w:val="PargrafodaLista"/>
        <w:numPr>
          <w:ilvl w:val="0"/>
          <w:numId w:val="2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6566AB">
        <w:rPr>
          <w:rFonts w:ascii="Times New Roman" w:eastAsia="Calibri" w:hAnsi="Times New Roman" w:cs="Times New Roman"/>
          <w:color w:val="000000" w:themeColor="text1"/>
          <w:sz w:val="20"/>
          <w:szCs w:val="20"/>
        </w:rPr>
        <w:t>posicionamento conclusivo sobre a adequação da contratação para o atendimento da necessidade a que se destina (inc. XIII).</w:t>
      </w:r>
    </w:p>
    <w:p w14:paraId="42A46639" w14:textId="77777777" w:rsidR="00133ACF" w:rsidRPr="006566AB" w:rsidRDefault="00133ACF" w:rsidP="00133ACF">
      <w:pPr>
        <w:pStyle w:val="PargrafodaLista"/>
        <w:tabs>
          <w:tab w:val="left" w:pos="2552"/>
        </w:tabs>
        <w:spacing w:after="0" w:line="240" w:lineRule="auto"/>
        <w:ind w:left="2268"/>
        <w:jc w:val="both"/>
        <w:rPr>
          <w:rFonts w:ascii="Times New Roman" w:eastAsia="Calibri" w:hAnsi="Times New Roman" w:cs="Times New Roman"/>
          <w:color w:val="000000" w:themeColor="text1"/>
          <w:sz w:val="20"/>
          <w:szCs w:val="20"/>
        </w:rPr>
      </w:pPr>
    </w:p>
    <w:p w14:paraId="2FD87F61" w14:textId="721D3B0D" w:rsidR="004423CE" w:rsidRPr="00271BE3" w:rsidRDefault="3FC4966E"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sz w:val="24"/>
          <w:szCs w:val="24"/>
        </w:rPr>
        <w:t xml:space="preserve">Eventual não previsão de qualquer dos conteúdos descritos </w:t>
      </w:r>
      <w:r w:rsidRPr="00271BE3">
        <w:rPr>
          <w:rFonts w:ascii="Times New Roman" w:eastAsia="Calibri" w:hAnsi="Times New Roman" w:cs="Times New Roman"/>
          <w:color w:val="000000" w:themeColor="text1"/>
          <w:sz w:val="24"/>
          <w:szCs w:val="24"/>
        </w:rPr>
        <w:t>art. 9º, da IN SEGES nº 58</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22</w:t>
      </w:r>
      <w:r w:rsidRPr="00271BE3">
        <w:rPr>
          <w:rFonts w:ascii="Times New Roman" w:eastAsia="Calibri" w:hAnsi="Times New Roman" w:cs="Times New Roman"/>
          <w:sz w:val="24"/>
          <w:szCs w:val="24"/>
        </w:rPr>
        <w:t>, deverá ser devidamente justificada no próprio documento, consoante</w:t>
      </w:r>
      <w:r w:rsidRPr="00271BE3">
        <w:rPr>
          <w:rFonts w:ascii="Times New Roman" w:eastAsia="Calibri" w:hAnsi="Times New Roman" w:cs="Times New Roman"/>
          <w:color w:val="000000" w:themeColor="text1"/>
          <w:sz w:val="24"/>
          <w:szCs w:val="24"/>
        </w:rPr>
        <w:t xml:space="preserve"> art. 9º, § 1º, da IN SEGES nº 58</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22</w:t>
      </w:r>
      <w:r w:rsidRPr="00271BE3">
        <w:rPr>
          <w:rFonts w:ascii="Times New Roman" w:eastAsia="Calibri" w:hAnsi="Times New Roman" w:cs="Times New Roman"/>
          <w:sz w:val="24"/>
          <w:szCs w:val="24"/>
        </w:rPr>
        <w:t xml:space="preserve">.   </w:t>
      </w:r>
    </w:p>
    <w:p w14:paraId="59759217" w14:textId="3C62F729" w:rsidR="004423CE" w:rsidRPr="00271BE3" w:rsidRDefault="004423CE" w:rsidP="00952A35">
      <w:pPr>
        <w:spacing w:after="0" w:line="240" w:lineRule="auto"/>
        <w:ind w:firstLine="1440"/>
        <w:jc w:val="both"/>
        <w:rPr>
          <w:rFonts w:ascii="Times New Roman" w:eastAsiaTheme="minorEastAsia" w:hAnsi="Times New Roman" w:cs="Times New Roman"/>
          <w:color w:val="000000" w:themeColor="text1"/>
          <w:sz w:val="24"/>
          <w:szCs w:val="24"/>
        </w:rPr>
      </w:pPr>
    </w:p>
    <w:p w14:paraId="766877E6" w14:textId="63D26B55" w:rsidR="004423CE" w:rsidRPr="00271BE3" w:rsidRDefault="15139F10" w:rsidP="00952A35">
      <w:pPr>
        <w:spacing w:after="0" w:line="240" w:lineRule="auto"/>
        <w:jc w:val="both"/>
        <w:rPr>
          <w:rFonts w:ascii="Times New Roman" w:eastAsiaTheme="minorEastAsia" w:hAnsi="Times New Roman" w:cs="Times New Roman"/>
          <w:color w:val="000000" w:themeColor="text1"/>
          <w:sz w:val="24"/>
          <w:szCs w:val="24"/>
        </w:rPr>
      </w:pPr>
      <w:r w:rsidRPr="00271BE3">
        <w:rPr>
          <w:rFonts w:ascii="Times New Roman" w:eastAsiaTheme="minorEastAsia" w:hAnsi="Times New Roman" w:cs="Times New Roman"/>
          <w:color w:val="000000" w:themeColor="text1"/>
          <w:sz w:val="24"/>
          <w:szCs w:val="24"/>
        </w:rPr>
        <w:t>No</w:t>
      </w:r>
      <w:r w:rsidR="55CA2692" w:rsidRPr="00271BE3">
        <w:rPr>
          <w:rFonts w:ascii="Times New Roman" w:eastAsiaTheme="minorEastAsia" w:hAnsi="Times New Roman" w:cs="Times New Roman"/>
          <w:color w:val="000000" w:themeColor="text1"/>
          <w:sz w:val="24"/>
          <w:szCs w:val="24"/>
        </w:rPr>
        <w:t xml:space="preserve"> estudo técnico preliminar para contratação de serviços comuns de engenharia, se demonstrada a inexistência de prejuízo para a aferição dos padrões de desempenho e qualidade almejados, a especificação do objeto poderá ser realizada apenas em termo de referência, dispensada a elaboração de projetos (art</w:t>
      </w:r>
      <w:r w:rsidR="5031A02E" w:rsidRPr="00271BE3">
        <w:rPr>
          <w:rFonts w:ascii="Times New Roman" w:eastAsiaTheme="minorEastAsia" w:hAnsi="Times New Roman" w:cs="Times New Roman"/>
          <w:color w:val="000000" w:themeColor="text1"/>
          <w:sz w:val="24"/>
          <w:szCs w:val="24"/>
        </w:rPr>
        <w:t>.</w:t>
      </w:r>
      <w:r w:rsidR="55CA2692" w:rsidRPr="00271BE3">
        <w:rPr>
          <w:rFonts w:ascii="Times New Roman" w:eastAsiaTheme="minorEastAsia" w:hAnsi="Times New Roman" w:cs="Times New Roman"/>
          <w:color w:val="000000" w:themeColor="text1"/>
          <w:sz w:val="24"/>
          <w:szCs w:val="24"/>
        </w:rPr>
        <w:t xml:space="preserve">, </w:t>
      </w:r>
      <w:r w:rsidR="4453637F" w:rsidRPr="00271BE3">
        <w:rPr>
          <w:rFonts w:ascii="Times New Roman" w:eastAsiaTheme="minorEastAsia" w:hAnsi="Times New Roman" w:cs="Times New Roman"/>
          <w:color w:val="000000" w:themeColor="text1"/>
          <w:sz w:val="24"/>
          <w:szCs w:val="24"/>
        </w:rPr>
        <w:t>18, § 3º</w:t>
      </w:r>
      <w:r w:rsidR="6BD502DD" w:rsidRPr="00271BE3">
        <w:rPr>
          <w:rFonts w:ascii="Times New Roman" w:eastAsiaTheme="minorEastAsia" w:hAnsi="Times New Roman" w:cs="Times New Roman"/>
          <w:color w:val="000000" w:themeColor="text1"/>
          <w:sz w:val="24"/>
          <w:szCs w:val="24"/>
        </w:rPr>
        <w:t>, da Lei nº 14.133, de 2021)</w:t>
      </w:r>
      <w:r w:rsidR="79BFF721" w:rsidRPr="00271BE3">
        <w:rPr>
          <w:rFonts w:ascii="Times New Roman" w:eastAsiaTheme="minorEastAsia" w:hAnsi="Times New Roman" w:cs="Times New Roman"/>
          <w:color w:val="000000" w:themeColor="text1"/>
          <w:sz w:val="24"/>
          <w:szCs w:val="24"/>
        </w:rPr>
        <w:t>.</w:t>
      </w:r>
    </w:p>
    <w:p w14:paraId="1606E894" w14:textId="76CBD3CD" w:rsidR="004423CE" w:rsidRPr="00271BE3" w:rsidRDefault="004423CE" w:rsidP="00952A35">
      <w:pPr>
        <w:spacing w:after="0" w:line="240" w:lineRule="auto"/>
        <w:ind w:firstLine="1440"/>
        <w:jc w:val="both"/>
        <w:rPr>
          <w:rFonts w:ascii="Times New Roman" w:eastAsia="Calibri" w:hAnsi="Times New Roman" w:cs="Times New Roman"/>
          <w:color w:val="000000" w:themeColor="text1"/>
          <w:sz w:val="24"/>
          <w:szCs w:val="24"/>
          <w:highlight w:val="cyan"/>
        </w:rPr>
      </w:pPr>
    </w:p>
    <w:p w14:paraId="38CB9A69" w14:textId="4061CF8E" w:rsidR="60ACC8FA" w:rsidRPr="00271BE3" w:rsidRDefault="60ACC8FA" w:rsidP="00952A35">
      <w:pPr>
        <w:spacing w:after="0" w:line="240" w:lineRule="auto"/>
        <w:jc w:val="both"/>
        <w:rPr>
          <w:rFonts w:ascii="Times New Roman" w:eastAsiaTheme="minorEastAsia" w:hAnsi="Times New Roman" w:cs="Times New Roman"/>
          <w:sz w:val="24"/>
          <w:szCs w:val="24"/>
        </w:rPr>
      </w:pPr>
      <w:r w:rsidRPr="00271BE3">
        <w:rPr>
          <w:rFonts w:ascii="Times New Roman" w:eastAsiaTheme="minorEastAsia" w:hAnsi="Times New Roman" w:cs="Times New Roman"/>
          <w:color w:val="FF0000"/>
          <w:sz w:val="24"/>
          <w:szCs w:val="24"/>
        </w:rPr>
        <w:t xml:space="preserve">Em se tratando de serviços de manutenção e assistência técnica, durante a elaboração do ETP, deverá ser avaliada a necessidade de ser exigido que tais serviços sejam prestados mediante deslocamento de técnico ou disponibilizados em unidade de prestação de serviços localizada </w:t>
      </w:r>
      <w:r w:rsidRPr="00271BE3">
        <w:rPr>
          <w:rFonts w:ascii="Times New Roman" w:eastAsiaTheme="minorEastAsia" w:hAnsi="Times New Roman" w:cs="Times New Roman"/>
          <w:color w:val="FF0000"/>
          <w:sz w:val="24"/>
          <w:szCs w:val="24"/>
        </w:rPr>
        <w:lastRenderedPageBreak/>
        <w:t>em distância compatível com suas necessidades, conforme dispõe o § 4º do art. 40 da Lei nº 14.133, de 2021 (art. 10, II, da IN SEGES nº 58</w:t>
      </w:r>
      <w:r w:rsidR="008A21F9" w:rsidRPr="00271BE3">
        <w:rPr>
          <w:rFonts w:ascii="Times New Roman" w:eastAsiaTheme="minorEastAsia" w:hAnsi="Times New Roman" w:cs="Times New Roman"/>
          <w:color w:val="FF0000"/>
          <w:sz w:val="24"/>
          <w:szCs w:val="24"/>
        </w:rPr>
        <w:t>, de 20</w:t>
      </w:r>
      <w:r w:rsidRPr="00271BE3">
        <w:rPr>
          <w:rFonts w:ascii="Times New Roman" w:eastAsiaTheme="minorEastAsia" w:hAnsi="Times New Roman" w:cs="Times New Roman"/>
          <w:color w:val="FF0000"/>
          <w:sz w:val="24"/>
          <w:szCs w:val="24"/>
        </w:rPr>
        <w:t>22).</w:t>
      </w:r>
    </w:p>
    <w:p w14:paraId="67C68F5C" w14:textId="7A6D3650" w:rsidR="4C8495F6" w:rsidRPr="00271BE3" w:rsidRDefault="4C8495F6" w:rsidP="00952A35">
      <w:pPr>
        <w:spacing w:after="0" w:line="240" w:lineRule="auto"/>
        <w:jc w:val="both"/>
        <w:rPr>
          <w:rFonts w:ascii="Times New Roman" w:eastAsia="Calibri" w:hAnsi="Times New Roman" w:cs="Times New Roman"/>
          <w:color w:val="000000" w:themeColor="text1"/>
          <w:sz w:val="24"/>
          <w:szCs w:val="24"/>
          <w:highlight w:val="cyan"/>
        </w:rPr>
      </w:pPr>
    </w:p>
    <w:p w14:paraId="34FF1218" w14:textId="20E71DC2" w:rsidR="004423CE" w:rsidRPr="00271BE3" w:rsidRDefault="3FC4966E"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t xml:space="preserve">No caso, verifica-se que a Administração juntou o estudo técnico preliminar </w:t>
      </w:r>
      <w:r w:rsidRPr="00271BE3">
        <w:rPr>
          <w:rFonts w:ascii="Times New Roman" w:eastAsia="Calibri" w:hAnsi="Times New Roman" w:cs="Times New Roman"/>
          <w:color w:val="FF0000"/>
          <w:sz w:val="24"/>
          <w:szCs w:val="24"/>
        </w:rPr>
        <w:t>às</w:t>
      </w:r>
      <w:r w:rsidRPr="00271BE3">
        <w:rPr>
          <w:rFonts w:ascii="Times New Roman" w:eastAsia="Calibri" w:hAnsi="Times New Roman" w:cs="Times New Roman"/>
          <w:color w:val="000000" w:themeColor="text1"/>
          <w:sz w:val="24"/>
          <w:szCs w:val="24"/>
        </w:rPr>
        <w:t xml:space="preserve"> </w:t>
      </w:r>
      <w:r w:rsidRPr="00271BE3">
        <w:rPr>
          <w:rFonts w:ascii="Times New Roman" w:eastAsia="Calibri" w:hAnsi="Times New Roman" w:cs="Times New Roman"/>
          <w:color w:val="FF0000"/>
          <w:sz w:val="24"/>
          <w:szCs w:val="24"/>
        </w:rPr>
        <w:t>fls. XXX/ao doc. SEI n. XXXX.</w:t>
      </w:r>
    </w:p>
    <w:p w14:paraId="177CEEE8" w14:textId="2206A33E" w:rsidR="76E478C8" w:rsidRPr="00271BE3" w:rsidRDefault="76E478C8" w:rsidP="00952A35">
      <w:pPr>
        <w:spacing w:after="0" w:line="240" w:lineRule="auto"/>
        <w:ind w:firstLine="1440"/>
        <w:jc w:val="both"/>
        <w:rPr>
          <w:rFonts w:ascii="Times New Roman" w:eastAsia="Calibri" w:hAnsi="Times New Roman" w:cs="Times New Roman"/>
          <w:color w:val="000000" w:themeColor="text1"/>
          <w:sz w:val="24"/>
          <w:szCs w:val="24"/>
          <w:highlight w:val="cyan"/>
        </w:rPr>
      </w:pPr>
    </w:p>
    <w:p w14:paraId="56523714" w14:textId="681F5C5A" w:rsidR="004423CE" w:rsidRPr="00271BE3" w:rsidRDefault="3FC4966E"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highlight w:val="cyan"/>
        </w:rPr>
        <w:t>Percebe-se que referido documento contém, em geral, os elementos exigidos pela IN SEGES nº 58</w:t>
      </w:r>
      <w:r w:rsidR="008A21F9" w:rsidRPr="00271BE3">
        <w:rPr>
          <w:rFonts w:ascii="Times New Roman" w:eastAsia="Calibri" w:hAnsi="Times New Roman" w:cs="Times New Roman"/>
          <w:color w:val="000000" w:themeColor="text1"/>
          <w:sz w:val="24"/>
          <w:szCs w:val="24"/>
          <w:highlight w:val="cyan"/>
        </w:rPr>
        <w:t>, de 20</w:t>
      </w:r>
      <w:r w:rsidRPr="00271BE3">
        <w:rPr>
          <w:rFonts w:ascii="Times New Roman" w:eastAsia="Calibri" w:hAnsi="Times New Roman" w:cs="Times New Roman"/>
          <w:color w:val="000000" w:themeColor="text1"/>
          <w:sz w:val="24"/>
          <w:szCs w:val="24"/>
          <w:highlight w:val="cyan"/>
        </w:rPr>
        <w:t>22.</w:t>
      </w:r>
    </w:p>
    <w:p w14:paraId="249F805E" w14:textId="1599C220" w:rsidR="004423CE" w:rsidRPr="00271BE3" w:rsidRDefault="2C06DF87" w:rsidP="00952A35">
      <w:pPr>
        <w:spacing w:after="0" w:line="240" w:lineRule="auto"/>
        <w:ind w:firstLine="708"/>
        <w:jc w:val="both"/>
        <w:rPr>
          <w:rFonts w:ascii="Times New Roman" w:hAnsi="Times New Roman" w:cs="Times New Roman"/>
          <w:sz w:val="24"/>
          <w:szCs w:val="24"/>
        </w:rPr>
      </w:pPr>
      <w:r w:rsidRPr="00271BE3">
        <w:rPr>
          <w:rFonts w:ascii="Times New Roman" w:eastAsia="Calibri" w:hAnsi="Times New Roman" w:cs="Times New Roman"/>
          <w:b/>
          <w:bCs/>
          <w:color w:val="000000" w:themeColor="text1"/>
          <w:sz w:val="24"/>
          <w:szCs w:val="24"/>
          <w:highlight w:val="cyan"/>
          <w:u w:val="single"/>
        </w:rPr>
        <w:t xml:space="preserve">OU </w:t>
      </w:r>
    </w:p>
    <w:p w14:paraId="573C149D" w14:textId="52CAEF4D" w:rsidR="004423CE" w:rsidRPr="00271BE3" w:rsidRDefault="3FC4966E" w:rsidP="00133ACF">
      <w:pPr>
        <w:spacing w:after="0" w:line="240" w:lineRule="auto"/>
        <w:ind w:firstLine="708"/>
        <w:jc w:val="both"/>
        <w:rPr>
          <w:rFonts w:ascii="Times New Roman" w:hAnsi="Times New Roman" w:cs="Times New Roman"/>
          <w:sz w:val="24"/>
          <w:szCs w:val="24"/>
        </w:rPr>
      </w:pPr>
      <w:r w:rsidRPr="594C5555">
        <w:rPr>
          <w:rFonts w:ascii="Times New Roman" w:eastAsia="Calibri" w:hAnsi="Times New Roman" w:cs="Times New Roman"/>
          <w:color w:val="000000" w:themeColor="text1"/>
          <w:sz w:val="24"/>
          <w:szCs w:val="24"/>
          <w:highlight w:val="cyan"/>
        </w:rPr>
        <w:t xml:space="preserve">Percebe-se, entretanto, que referido documento </w:t>
      </w:r>
      <w:r w:rsidRPr="594C5555">
        <w:rPr>
          <w:rFonts w:ascii="Times New Roman" w:eastAsia="Calibri" w:hAnsi="Times New Roman" w:cs="Times New Roman"/>
          <w:color w:val="000000" w:themeColor="text1"/>
          <w:sz w:val="24"/>
          <w:szCs w:val="24"/>
          <w:highlight w:val="cyan"/>
          <w:u w:val="single"/>
        </w:rPr>
        <w:t>não contempla todos os elementos</w:t>
      </w:r>
      <w:r w:rsidRPr="594C5555">
        <w:rPr>
          <w:rFonts w:ascii="Times New Roman" w:eastAsia="Calibri" w:hAnsi="Times New Roman" w:cs="Times New Roman"/>
          <w:color w:val="000000" w:themeColor="text1"/>
          <w:sz w:val="24"/>
          <w:szCs w:val="24"/>
          <w:highlight w:val="cyan"/>
        </w:rPr>
        <w:t xml:space="preserve"> exigidos pelo art. 9º, da IN SEGES nº 58</w:t>
      </w:r>
      <w:r w:rsidR="008A21F9" w:rsidRPr="594C5555">
        <w:rPr>
          <w:rFonts w:ascii="Times New Roman" w:eastAsia="Calibri" w:hAnsi="Times New Roman" w:cs="Times New Roman"/>
          <w:color w:val="000000" w:themeColor="text1"/>
          <w:sz w:val="24"/>
          <w:szCs w:val="24"/>
          <w:highlight w:val="cyan"/>
        </w:rPr>
        <w:t>, de 20</w:t>
      </w:r>
      <w:r w:rsidRPr="594C5555">
        <w:rPr>
          <w:rFonts w:ascii="Times New Roman" w:eastAsia="Calibri" w:hAnsi="Times New Roman" w:cs="Times New Roman"/>
          <w:color w:val="000000" w:themeColor="text1"/>
          <w:sz w:val="24"/>
          <w:szCs w:val="24"/>
          <w:highlight w:val="cyan"/>
        </w:rPr>
        <w:t xml:space="preserve">22. Dessa forma, </w:t>
      </w:r>
      <w:r w:rsidRPr="594C5555">
        <w:rPr>
          <w:rFonts w:ascii="Times New Roman" w:eastAsia="Calibri" w:hAnsi="Times New Roman" w:cs="Times New Roman"/>
          <w:color w:val="000000" w:themeColor="text1"/>
          <w:sz w:val="24"/>
          <w:szCs w:val="24"/>
          <w:highlight w:val="cyan"/>
          <w:u w:val="single"/>
        </w:rPr>
        <w:t>o documento deverá ser ajustado</w:t>
      </w:r>
      <w:r w:rsidRPr="594C5555">
        <w:rPr>
          <w:rFonts w:ascii="Times New Roman" w:eastAsia="Calibri" w:hAnsi="Times New Roman" w:cs="Times New Roman"/>
          <w:color w:val="000000" w:themeColor="text1"/>
          <w:sz w:val="24"/>
          <w:szCs w:val="24"/>
          <w:highlight w:val="cyan"/>
        </w:rPr>
        <w:t xml:space="preserve">, para que passe a tratar dos conteúdos exigíveis, sendo que os elementos obrigatórios devem ser necessariamente contemplados, ao passo que eventual </w:t>
      </w:r>
      <w:r w:rsidRPr="594C5555">
        <w:rPr>
          <w:rFonts w:ascii="Times New Roman" w:eastAsia="Calibri" w:hAnsi="Times New Roman" w:cs="Times New Roman"/>
          <w:color w:val="000000" w:themeColor="text1"/>
          <w:sz w:val="24"/>
          <w:szCs w:val="24"/>
          <w:highlight w:val="cyan"/>
          <w:u w:val="single"/>
        </w:rPr>
        <w:t>ausência dos demais elementos deve ser devidamente justificada</w:t>
      </w:r>
      <w:r w:rsidRPr="594C5555">
        <w:rPr>
          <w:rFonts w:ascii="Times New Roman" w:eastAsia="Calibri" w:hAnsi="Times New Roman" w:cs="Times New Roman"/>
          <w:color w:val="000000" w:themeColor="text1"/>
          <w:sz w:val="24"/>
          <w:szCs w:val="24"/>
          <w:highlight w:val="cyan"/>
        </w:rPr>
        <w:t xml:space="preserve"> (art. 9º, § 1º, da IN SEGES nº 58</w:t>
      </w:r>
      <w:r w:rsidR="008A21F9" w:rsidRPr="594C5555">
        <w:rPr>
          <w:rFonts w:ascii="Times New Roman" w:eastAsia="Calibri" w:hAnsi="Times New Roman" w:cs="Times New Roman"/>
          <w:color w:val="000000" w:themeColor="text1"/>
          <w:sz w:val="24"/>
          <w:szCs w:val="24"/>
          <w:highlight w:val="cyan"/>
        </w:rPr>
        <w:t>, de 20</w:t>
      </w:r>
      <w:r w:rsidRPr="594C5555">
        <w:rPr>
          <w:rFonts w:ascii="Times New Roman" w:eastAsia="Calibri" w:hAnsi="Times New Roman" w:cs="Times New Roman"/>
          <w:color w:val="000000" w:themeColor="text1"/>
          <w:sz w:val="24"/>
          <w:szCs w:val="24"/>
          <w:highlight w:val="cyan"/>
        </w:rPr>
        <w:t>22).</w:t>
      </w:r>
    </w:p>
    <w:p w14:paraId="0C15926B" w14:textId="7C268DC8" w:rsidR="004423CE" w:rsidRPr="00271BE3" w:rsidRDefault="004423CE" w:rsidP="00952A35">
      <w:pPr>
        <w:spacing w:after="0" w:line="240" w:lineRule="auto"/>
        <w:ind w:firstLine="1418"/>
        <w:jc w:val="both"/>
        <w:rPr>
          <w:rFonts w:ascii="Times New Roman" w:eastAsia="Calibri" w:hAnsi="Times New Roman" w:cs="Times New Roman"/>
          <w:color w:val="000000" w:themeColor="text1"/>
          <w:sz w:val="24"/>
          <w:szCs w:val="24"/>
          <w:highlight w:val="cyan"/>
        </w:rPr>
      </w:pPr>
    </w:p>
    <w:tbl>
      <w:tblPr>
        <w:tblW w:w="9062" w:type="dxa"/>
        <w:tblLayout w:type="fixed"/>
        <w:tblLook w:val="04A0" w:firstRow="1" w:lastRow="0" w:firstColumn="1" w:lastColumn="0" w:noHBand="0" w:noVBand="1"/>
      </w:tblPr>
      <w:tblGrid>
        <w:gridCol w:w="9062"/>
      </w:tblGrid>
      <w:tr w:rsidR="66EBB3D6" w:rsidRPr="00271BE3" w14:paraId="47B3DB4B" w14:textId="77777777" w:rsidTr="000F224A">
        <w:trPr>
          <w:trHeight w:val="300"/>
        </w:trPr>
        <w:tc>
          <w:tcPr>
            <w:tcW w:w="9062" w:type="dxa"/>
            <w:tcBorders>
              <w:top w:val="inset" w:sz="8" w:space="0" w:color="000000" w:themeColor="text1"/>
              <w:left w:val="inset" w:sz="8" w:space="0" w:color="000000" w:themeColor="text1"/>
              <w:bottom w:val="inset" w:sz="8" w:space="0" w:color="000000" w:themeColor="text1"/>
              <w:right w:val="inset" w:sz="8" w:space="0" w:color="000000" w:themeColor="text1"/>
            </w:tcBorders>
            <w:shd w:val="clear" w:color="auto" w:fill="FFFF00"/>
            <w:tcMar>
              <w:top w:w="30" w:type="dxa"/>
              <w:left w:w="30" w:type="dxa"/>
              <w:bottom w:w="30" w:type="dxa"/>
              <w:right w:w="30" w:type="dxa"/>
            </w:tcMar>
            <w:vAlign w:val="center"/>
          </w:tcPr>
          <w:p w14:paraId="15A4341C" w14:textId="6A6E109F" w:rsidR="66EBB3D6" w:rsidRPr="00271BE3" w:rsidRDefault="66EBB3D6" w:rsidP="00952A35">
            <w:pPr>
              <w:spacing w:after="0" w:line="240" w:lineRule="auto"/>
              <w:rPr>
                <w:rFonts w:ascii="Times New Roman" w:hAnsi="Times New Roman" w:cs="Times New Roman"/>
                <w:sz w:val="24"/>
                <w:szCs w:val="24"/>
              </w:rPr>
            </w:pPr>
            <w:r w:rsidRPr="00271BE3">
              <w:rPr>
                <w:rFonts w:ascii="Times New Roman" w:eastAsia="Calibri" w:hAnsi="Times New Roman" w:cs="Times New Roman"/>
                <w:b/>
                <w:bCs/>
                <w:color w:val="000000" w:themeColor="text1"/>
                <w:sz w:val="24"/>
                <w:szCs w:val="24"/>
              </w:rPr>
              <w:t>Nota Explicativa: Caso não conste ETP dos autos</w:t>
            </w:r>
            <w:r w:rsidRPr="00271BE3">
              <w:rPr>
                <w:rFonts w:ascii="Times New Roman" w:eastAsia="Calibri" w:hAnsi="Times New Roman" w:cs="Times New Roman"/>
                <w:color w:val="000000" w:themeColor="text1"/>
                <w:sz w:val="24"/>
                <w:szCs w:val="24"/>
              </w:rPr>
              <w:t>, deve-se utilizar o item abaixo:</w:t>
            </w:r>
            <w:r w:rsidRPr="00271BE3">
              <w:rPr>
                <w:rFonts w:ascii="Times New Roman" w:eastAsia="Calibri" w:hAnsi="Times New Roman" w:cs="Times New Roman"/>
                <w:sz w:val="24"/>
                <w:szCs w:val="24"/>
              </w:rPr>
              <w:t xml:space="preserve"> </w:t>
            </w:r>
          </w:p>
        </w:tc>
      </w:tr>
    </w:tbl>
    <w:p w14:paraId="4301D799" w14:textId="720B00CC" w:rsidR="004423CE" w:rsidRPr="00271BE3" w:rsidRDefault="004423CE" w:rsidP="00952A35">
      <w:pPr>
        <w:spacing w:after="0" w:line="240" w:lineRule="auto"/>
        <w:ind w:firstLine="1418"/>
        <w:jc w:val="both"/>
        <w:rPr>
          <w:rFonts w:ascii="Times New Roman" w:eastAsia="Calibri" w:hAnsi="Times New Roman" w:cs="Times New Roman"/>
          <w:color w:val="FF0000"/>
          <w:sz w:val="24"/>
          <w:szCs w:val="24"/>
        </w:rPr>
      </w:pPr>
    </w:p>
    <w:p w14:paraId="53F067C1" w14:textId="3956DEF7" w:rsidR="004423CE" w:rsidRPr="00271BE3" w:rsidRDefault="3FC4966E"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color w:val="FF0000"/>
          <w:sz w:val="24"/>
          <w:szCs w:val="24"/>
        </w:rPr>
        <w:t xml:space="preserve">Verifica-se que a Administração </w:t>
      </w:r>
      <w:r w:rsidRPr="00271BE3">
        <w:rPr>
          <w:rFonts w:ascii="Times New Roman" w:eastAsia="Calibri" w:hAnsi="Times New Roman" w:cs="Times New Roman"/>
          <w:color w:val="FF0000"/>
          <w:sz w:val="24"/>
          <w:szCs w:val="24"/>
          <w:u w:val="single"/>
        </w:rPr>
        <w:t>não apresentou o estudo técnico preliminar</w:t>
      </w:r>
      <w:r w:rsidRPr="00271BE3">
        <w:rPr>
          <w:rFonts w:ascii="Times New Roman" w:eastAsia="Calibri" w:hAnsi="Times New Roman" w:cs="Times New Roman"/>
          <w:color w:val="FF0000"/>
          <w:sz w:val="24"/>
          <w:szCs w:val="24"/>
        </w:rPr>
        <w:t xml:space="preserve"> e a </w:t>
      </w:r>
      <w:r w:rsidRPr="00271BE3">
        <w:rPr>
          <w:rFonts w:ascii="Times New Roman" w:eastAsia="Calibri" w:hAnsi="Times New Roman" w:cs="Times New Roman"/>
          <w:color w:val="FF0000"/>
          <w:sz w:val="24"/>
          <w:szCs w:val="24"/>
          <w:u w:val="single"/>
        </w:rPr>
        <w:t>hipótese não se enquadra nas exceções</w:t>
      </w:r>
      <w:r w:rsidRPr="00271BE3">
        <w:rPr>
          <w:rFonts w:ascii="Times New Roman" w:eastAsia="Calibri" w:hAnsi="Times New Roman" w:cs="Times New Roman"/>
          <w:color w:val="FF0000"/>
          <w:sz w:val="24"/>
          <w:szCs w:val="24"/>
        </w:rPr>
        <w:t xml:space="preserve"> do art. 14, da IN SEGES nº 58</w:t>
      </w:r>
      <w:r w:rsidR="008A21F9" w:rsidRPr="00271BE3">
        <w:rPr>
          <w:rFonts w:ascii="Times New Roman" w:eastAsia="Calibri" w:hAnsi="Times New Roman" w:cs="Times New Roman"/>
          <w:color w:val="FF0000"/>
          <w:sz w:val="24"/>
          <w:szCs w:val="24"/>
        </w:rPr>
        <w:t>, de 20</w:t>
      </w:r>
      <w:r w:rsidRPr="00271BE3">
        <w:rPr>
          <w:rFonts w:ascii="Times New Roman" w:eastAsia="Calibri" w:hAnsi="Times New Roman" w:cs="Times New Roman"/>
          <w:color w:val="FF0000"/>
          <w:sz w:val="24"/>
          <w:szCs w:val="24"/>
        </w:rPr>
        <w:t xml:space="preserve">22. </w:t>
      </w:r>
      <w:r w:rsidRPr="00271BE3">
        <w:rPr>
          <w:rFonts w:ascii="Times New Roman" w:eastAsia="Calibri" w:hAnsi="Times New Roman" w:cs="Times New Roman"/>
          <w:color w:val="FF0000"/>
          <w:sz w:val="24"/>
          <w:szCs w:val="24"/>
          <w:u w:val="single"/>
        </w:rPr>
        <w:t>Deverá, portanto,</w:t>
      </w:r>
      <w:r w:rsidRPr="00271BE3">
        <w:rPr>
          <w:rFonts w:ascii="Times New Roman" w:eastAsia="Calibri" w:hAnsi="Times New Roman" w:cs="Times New Roman"/>
          <w:color w:val="FF0000"/>
          <w:sz w:val="24"/>
          <w:szCs w:val="24"/>
        </w:rPr>
        <w:t xml:space="preserve"> </w:t>
      </w:r>
      <w:r w:rsidRPr="00271BE3">
        <w:rPr>
          <w:rFonts w:ascii="Times New Roman" w:eastAsia="Calibri" w:hAnsi="Times New Roman" w:cs="Times New Roman"/>
          <w:color w:val="FF0000"/>
          <w:sz w:val="24"/>
          <w:szCs w:val="24"/>
          <w:u w:val="single"/>
        </w:rPr>
        <w:t>sanar a irregularidade,</w:t>
      </w:r>
      <w:r w:rsidRPr="00271BE3">
        <w:rPr>
          <w:rFonts w:ascii="Times New Roman" w:eastAsia="Calibri" w:hAnsi="Times New Roman" w:cs="Times New Roman"/>
          <w:color w:val="FF0000"/>
          <w:sz w:val="24"/>
          <w:szCs w:val="24"/>
        </w:rPr>
        <w:t xml:space="preserve"> elaborando o documento conforme as orientações traçadas acima, nos termos da Lei nº 14.133</w:t>
      </w:r>
      <w:r w:rsidR="008A21F9" w:rsidRPr="00271BE3">
        <w:rPr>
          <w:rFonts w:ascii="Times New Roman" w:eastAsia="Calibri" w:hAnsi="Times New Roman" w:cs="Times New Roman"/>
          <w:color w:val="FF0000"/>
          <w:sz w:val="24"/>
          <w:szCs w:val="24"/>
        </w:rPr>
        <w:t>, de 20</w:t>
      </w:r>
      <w:r w:rsidRPr="00271BE3">
        <w:rPr>
          <w:rFonts w:ascii="Times New Roman" w:eastAsia="Calibri" w:hAnsi="Times New Roman" w:cs="Times New Roman"/>
          <w:color w:val="FF0000"/>
          <w:sz w:val="24"/>
          <w:szCs w:val="24"/>
        </w:rPr>
        <w:t>21 (art. 18, I, e § 1º) e da IN SEGES nº 58</w:t>
      </w:r>
      <w:r w:rsidR="008A21F9" w:rsidRPr="00271BE3">
        <w:rPr>
          <w:rFonts w:ascii="Times New Roman" w:eastAsia="Calibri" w:hAnsi="Times New Roman" w:cs="Times New Roman"/>
          <w:color w:val="FF0000"/>
          <w:sz w:val="24"/>
          <w:szCs w:val="24"/>
        </w:rPr>
        <w:t>, de 20</w:t>
      </w:r>
      <w:r w:rsidRPr="00271BE3">
        <w:rPr>
          <w:rFonts w:ascii="Times New Roman" w:eastAsia="Calibri" w:hAnsi="Times New Roman" w:cs="Times New Roman"/>
          <w:color w:val="FF0000"/>
          <w:sz w:val="24"/>
          <w:szCs w:val="24"/>
        </w:rPr>
        <w:t>22.</w:t>
      </w:r>
      <w:r w:rsidRPr="00271BE3">
        <w:rPr>
          <w:rFonts w:ascii="Times New Roman" w:eastAsia="Times New Roman" w:hAnsi="Times New Roman" w:cs="Times New Roman"/>
          <w:color w:val="000000" w:themeColor="text1"/>
          <w:sz w:val="24"/>
          <w:szCs w:val="24"/>
          <w:lang w:eastAsia="pt-BR"/>
        </w:rPr>
        <w:t xml:space="preserve"> </w:t>
      </w:r>
    </w:p>
    <w:p w14:paraId="31AEBCC6" w14:textId="7B1A34D4" w:rsidR="76E478C8" w:rsidRPr="00271BE3" w:rsidRDefault="76E478C8" w:rsidP="00952A35">
      <w:pPr>
        <w:spacing w:after="0" w:line="240" w:lineRule="auto"/>
        <w:jc w:val="both"/>
        <w:rPr>
          <w:rFonts w:ascii="Times New Roman" w:eastAsia="Times New Roman" w:hAnsi="Times New Roman" w:cs="Times New Roman"/>
          <w:color w:val="000000" w:themeColor="text1"/>
          <w:sz w:val="24"/>
          <w:szCs w:val="24"/>
          <w:lang w:eastAsia="pt-BR"/>
        </w:rPr>
      </w:pPr>
    </w:p>
    <w:p w14:paraId="48C93213" w14:textId="4D8237EB" w:rsidR="004423CE" w:rsidRPr="00271BE3" w:rsidRDefault="6817C2E8"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Gerenciamento de riscos </w:t>
      </w:r>
    </w:p>
    <w:p w14:paraId="6992F05F" w14:textId="77777777" w:rsidR="004423CE" w:rsidRPr="00271BE3" w:rsidRDefault="79B9EDE3"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303CFBC9" w14:textId="77777777" w:rsidR="0061311E" w:rsidRPr="00FF5719" w:rsidRDefault="0061311E" w:rsidP="0061311E">
      <w:pPr>
        <w:spacing w:after="0" w:line="240" w:lineRule="auto"/>
        <w:jc w:val="both"/>
        <w:rPr>
          <w:rFonts w:ascii="Times New Roman" w:hAnsi="Times New Roman" w:cs="Times New Roman"/>
          <w:sz w:val="24"/>
          <w:szCs w:val="24"/>
        </w:rPr>
      </w:pPr>
      <w:r w:rsidRPr="14878130">
        <w:rPr>
          <w:rFonts w:ascii="Times New Roman" w:hAnsi="Times New Roman" w:cs="Times New Roman"/>
          <w:sz w:val="24"/>
          <w:szCs w:val="24"/>
        </w:rPr>
        <w:t xml:space="preserve">Cabe pontuar que </w:t>
      </w:r>
      <w:r w:rsidRPr="14878130">
        <w:rPr>
          <w:rFonts w:ascii="Times New Roman" w:hAnsi="Times New Roman" w:cs="Times New Roman"/>
          <w:b/>
          <w:bCs/>
          <w:sz w:val="24"/>
          <w:szCs w:val="24"/>
        </w:rPr>
        <w:t>“Mapa de Riscos” não se confunde com cláusula de matriz de risco,</w:t>
      </w:r>
      <w:r w:rsidRPr="14878130">
        <w:rPr>
          <w:rFonts w:ascii="Times New Roman" w:hAnsi="Times New Roman" w:cs="Times New Roman"/>
          <w:sz w:val="24"/>
          <w:szCs w:val="24"/>
        </w:rPr>
        <w:t xml:space="preserve"> a qual será tratada quando da minuta de contrato e é considerada como a caracterizadora do equilíbrio econômico-financeiro inicial do contrato, em que se aloca, de forma prévia e acertada, a responsabilidade das partes por possível ônus financeiro decorrente de eventos supervenientes à contratação. Assim, a idealização e elaboração do “Mapa de Riscos” não supre a necessidade da Administração Pública, em momento oportuno, discutir </w:t>
      </w:r>
      <w:r w:rsidRPr="14878130">
        <w:rPr>
          <w:rFonts w:ascii="Times New Roman" w:hAnsi="Times New Roman" w:cs="Times New Roman"/>
          <w:b/>
          <w:bCs/>
          <w:sz w:val="24"/>
          <w:szCs w:val="24"/>
        </w:rPr>
        <w:t>a matriz de riscos a ser estabelecida no instrumento contratual</w:t>
      </w:r>
      <w:r w:rsidRPr="14878130">
        <w:rPr>
          <w:rFonts w:ascii="Times New Roman" w:hAnsi="Times New Roman" w:cs="Times New Roman"/>
          <w:sz w:val="24"/>
          <w:szCs w:val="24"/>
        </w:rPr>
        <w:t xml:space="preserve"> (item 5.2. do Instrumento de Padronização dos Procedimentos de Contratação: Advocacia-Geral da União: Ministério da Gestão e Inovação em Serviços Públicos, 2023). </w:t>
      </w:r>
    </w:p>
    <w:p w14:paraId="4F4F9C8D" w14:textId="6EB120C1" w:rsidR="14878130" w:rsidRDefault="14878130" w:rsidP="14878130">
      <w:pPr>
        <w:spacing w:after="0" w:line="240" w:lineRule="auto"/>
        <w:jc w:val="both"/>
        <w:rPr>
          <w:rFonts w:ascii="Times New Roman" w:hAnsi="Times New Roman" w:cs="Times New Roman"/>
          <w:sz w:val="24"/>
          <w:szCs w:val="24"/>
        </w:rPr>
      </w:pPr>
    </w:p>
    <w:p w14:paraId="52F8C72A" w14:textId="013E0BEC" w:rsidR="37DCB767" w:rsidRDefault="37DCB767" w:rsidP="14878130">
      <w:pPr>
        <w:spacing w:after="0" w:line="240" w:lineRule="auto"/>
        <w:jc w:val="both"/>
        <w:rPr>
          <w:rFonts w:ascii="Times New Roman" w:eastAsia="Times New Roman" w:hAnsi="Times New Roman" w:cs="Times New Roman"/>
          <w:sz w:val="24"/>
          <w:szCs w:val="24"/>
        </w:rPr>
      </w:pPr>
      <w:r w:rsidRPr="14878130">
        <w:rPr>
          <w:rFonts w:ascii="Times New Roman" w:eastAsia="Times New Roman" w:hAnsi="Times New Roman" w:cs="Times New Roman"/>
          <w:color w:val="000000" w:themeColor="text1"/>
          <w:sz w:val="24"/>
          <w:szCs w:val="24"/>
        </w:rPr>
        <w:t xml:space="preserve">O Gerenciamento de Risco se materializa pelo denominado “Mapa de Riscos” e deverá ser confeccionado no módulo de Gestão de Riscos Digital, consoante o item 5.2. do Instrumento de Padronização dos Procedimentos de Contratação: Advocacia-Geral da União: Ministério da Gestão e Inovação em Serviços Públicos, 2023, disponível em </w:t>
      </w:r>
      <w:r w:rsidRPr="005D3B70">
        <w:rPr>
          <w:rFonts w:ascii="Times New Roman" w:eastAsia="Times New Roman" w:hAnsi="Times New Roman" w:cs="Times New Roman"/>
          <w:sz w:val="24"/>
          <w:szCs w:val="24"/>
        </w:rPr>
        <w:t>https://www.gov.br/agu/pt-br/comunicacao/noticias/saiba-como-guia-elaborado-pela-agu-e-peloministerio-da-gestao-facilitara-contratacoes-publicas-em-todo-o-pais</w:t>
      </w:r>
      <w:r w:rsidRPr="14878130">
        <w:rPr>
          <w:rFonts w:ascii="Times New Roman" w:eastAsia="Times New Roman" w:hAnsi="Times New Roman" w:cs="Times New Roman"/>
          <w:color w:val="000000" w:themeColor="text1"/>
          <w:sz w:val="24"/>
          <w:szCs w:val="24"/>
        </w:rPr>
        <w:t>.</w:t>
      </w:r>
    </w:p>
    <w:p w14:paraId="2E941F8B" w14:textId="77777777" w:rsidR="0061311E" w:rsidRPr="00FF5719" w:rsidRDefault="0061311E" w:rsidP="0061311E">
      <w:pPr>
        <w:spacing w:after="0" w:line="240" w:lineRule="auto"/>
        <w:jc w:val="both"/>
        <w:rPr>
          <w:rFonts w:ascii="Times New Roman" w:hAnsi="Times New Roman" w:cs="Times New Roman"/>
          <w:sz w:val="24"/>
          <w:szCs w:val="24"/>
        </w:rPr>
      </w:pPr>
    </w:p>
    <w:p w14:paraId="038AE2F4" w14:textId="77777777" w:rsidR="0061311E" w:rsidRPr="00F3695A" w:rsidRDefault="0061311E" w:rsidP="0061311E">
      <w:pPr>
        <w:spacing w:after="0" w:line="240" w:lineRule="auto"/>
        <w:jc w:val="both"/>
        <w:rPr>
          <w:rFonts w:ascii="Times New Roman" w:eastAsia="Times New Roman" w:hAnsi="Times New Roman" w:cs="Times New Roman"/>
          <w:sz w:val="24"/>
          <w:szCs w:val="24"/>
          <w:highlight w:val="cyan"/>
          <w:shd w:val="clear" w:color="auto" w:fill="00FFFF"/>
          <w:lang w:eastAsia="pt-BR"/>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(art. 18, X, da Lei nº 14.133, de 2021),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F3695A">
        <w:rPr>
          <w:rFonts w:ascii="Times New Roman" w:eastAsia="Times New Roman" w:hAnsi="Times New Roman" w:cs="Times New Roman"/>
          <w:color w:val="FF0000"/>
          <w:sz w:val="24"/>
          <w:szCs w:val="24"/>
          <w:highlight w:val="cyan"/>
          <w:shd w:val="clear" w:color="auto" w:fill="00FFFF"/>
          <w:lang w:eastAsia="pt-BR"/>
        </w:rPr>
        <w:t xml:space="preserve">(fls. XXX/SEI n. XXX). </w:t>
      </w:r>
    </w:p>
    <w:p w14:paraId="02315AC0" w14:textId="77777777" w:rsidR="0061311E" w:rsidRPr="00F3695A" w:rsidRDefault="0061311E" w:rsidP="0061311E">
      <w:pPr>
        <w:spacing w:after="0" w:line="240" w:lineRule="auto"/>
        <w:ind w:firstLine="709"/>
        <w:jc w:val="both"/>
        <w:rPr>
          <w:rFonts w:ascii="Times New Roman" w:eastAsia="Times New Roman" w:hAnsi="Times New Roman" w:cs="Times New Roman"/>
          <w:b/>
          <w:bCs/>
          <w:sz w:val="24"/>
          <w:szCs w:val="24"/>
          <w:highlight w:val="cyan"/>
          <w:u w:val="single"/>
          <w:shd w:val="clear" w:color="auto" w:fill="00FFFF"/>
          <w:lang w:eastAsia="pt-BR"/>
        </w:rPr>
      </w:pPr>
      <w:r w:rsidRPr="00F3695A">
        <w:rPr>
          <w:rFonts w:ascii="Times New Roman" w:eastAsia="Times New Roman" w:hAnsi="Times New Roman" w:cs="Times New Roman"/>
          <w:b/>
          <w:bCs/>
          <w:sz w:val="24"/>
          <w:szCs w:val="24"/>
          <w:highlight w:val="cyan"/>
          <w:u w:val="single"/>
          <w:shd w:val="clear" w:color="auto" w:fill="00FFFF"/>
          <w:lang w:eastAsia="pt-BR"/>
        </w:rPr>
        <w:t>OU</w:t>
      </w:r>
    </w:p>
    <w:p w14:paraId="3A731C64" w14:textId="77777777" w:rsidR="0061311E" w:rsidRPr="00F3695A" w:rsidRDefault="0061311E" w:rsidP="00133ACF">
      <w:pPr>
        <w:spacing w:after="0" w:line="240" w:lineRule="auto"/>
        <w:ind w:firstLine="708"/>
        <w:jc w:val="both"/>
        <w:rPr>
          <w:rFonts w:ascii="Times New Roman" w:eastAsia="Times New Roman" w:hAnsi="Times New Roman" w:cs="Times New Roman"/>
          <w:sz w:val="24"/>
          <w:szCs w:val="24"/>
          <w:highlight w:val="cyan"/>
          <w:shd w:val="clear" w:color="auto" w:fill="00FFFF"/>
          <w:lang w:eastAsia="pt-BR"/>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percebe-se que não foi juntado aos autos, o que deve ser providenciado (art. 18, X, da Lei nº 14.133, de 2021), adotando-se, para todas as fases da </w:t>
      </w:r>
      <w:r w:rsidRPr="00F3695A">
        <w:rPr>
          <w:rFonts w:ascii="Times New Roman" w:eastAsia="Times New Roman" w:hAnsi="Times New Roman" w:cs="Times New Roman"/>
          <w:sz w:val="24"/>
          <w:szCs w:val="24"/>
          <w:highlight w:val="cyan"/>
          <w:shd w:val="clear" w:color="auto" w:fill="00FFFF"/>
          <w:lang w:eastAsia="pt-BR"/>
        </w:rPr>
        <w:lastRenderedPageBreak/>
        <w:t xml:space="preserve">contratação, o modelo disponível no módulo de Gestão de Riscos Digital, consoante o item 5.2. do Instrumento de Padronização dos Procedimentos de Contratação. </w:t>
      </w:r>
    </w:p>
    <w:p w14:paraId="6D14FB59" w14:textId="77777777" w:rsidR="0061311E" w:rsidRPr="00F3695A" w:rsidRDefault="0061311E" w:rsidP="0061311E">
      <w:pPr>
        <w:spacing w:after="0" w:line="240" w:lineRule="auto"/>
        <w:ind w:firstLine="709"/>
        <w:jc w:val="both"/>
        <w:rPr>
          <w:rFonts w:ascii="Times New Roman" w:eastAsia="Times New Roman" w:hAnsi="Times New Roman" w:cs="Times New Roman"/>
          <w:b/>
          <w:bCs/>
          <w:sz w:val="24"/>
          <w:szCs w:val="24"/>
          <w:highlight w:val="cyan"/>
          <w:u w:val="single"/>
          <w:shd w:val="clear" w:color="auto" w:fill="00FFFF"/>
          <w:lang w:eastAsia="pt-BR"/>
        </w:rPr>
      </w:pPr>
      <w:r w:rsidRPr="00F3695A">
        <w:rPr>
          <w:rFonts w:ascii="Times New Roman" w:eastAsia="Times New Roman" w:hAnsi="Times New Roman" w:cs="Times New Roman"/>
          <w:b/>
          <w:bCs/>
          <w:sz w:val="24"/>
          <w:szCs w:val="24"/>
          <w:highlight w:val="cyan"/>
          <w:u w:val="single"/>
          <w:shd w:val="clear" w:color="auto" w:fill="00FFFF"/>
          <w:lang w:eastAsia="pt-BR"/>
        </w:rPr>
        <w:t>OU</w:t>
      </w:r>
    </w:p>
    <w:p w14:paraId="58FB8010" w14:textId="77777777" w:rsidR="0061311E" w:rsidRPr="00FF5719" w:rsidRDefault="0061311E" w:rsidP="00133ACF">
      <w:pPr>
        <w:spacing w:after="0" w:line="240" w:lineRule="auto"/>
        <w:ind w:firstLine="708"/>
        <w:jc w:val="both"/>
        <w:rPr>
          <w:rFonts w:ascii="Times New Roman" w:eastAsiaTheme="minorEastAsia" w:hAnsi="Times New Roman" w:cs="Times New Roman"/>
          <w:color w:val="000000" w:themeColor="text1"/>
          <w:sz w:val="24"/>
          <w:szCs w:val="24"/>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(art. 18, X, da Lei nº 14.133, de 2021), percebe-se que foi juntado aos autos, mas </w:t>
      </w:r>
      <w:r w:rsidRPr="00BB5B71">
        <w:rPr>
          <w:rFonts w:ascii="Times New Roman" w:eastAsia="Times New Roman" w:hAnsi="Times New Roman" w:cs="Times New Roman"/>
          <w:sz w:val="24"/>
          <w:szCs w:val="24"/>
          <w:highlight w:val="cyan"/>
          <w:u w:val="single"/>
          <w:shd w:val="clear" w:color="auto" w:fill="00FFFF"/>
          <w:lang w:eastAsia="pt-BR"/>
        </w:rPr>
        <w:t>não está de acordo com o modelo</w:t>
      </w:r>
      <w:r w:rsidRPr="00F3695A">
        <w:rPr>
          <w:rFonts w:ascii="Times New Roman" w:eastAsia="Times New Roman" w:hAnsi="Times New Roman" w:cs="Times New Roman"/>
          <w:sz w:val="24"/>
          <w:szCs w:val="24"/>
          <w:highlight w:val="cyan"/>
          <w:shd w:val="clear" w:color="auto" w:fill="00FFFF"/>
          <w:lang w:eastAsia="pt-BR"/>
        </w:rPr>
        <w:t xml:space="preserve"> disponível no módulo de Gestão de Riscos Digital, consoante o item 5.2. do Instrumento de Padronização dos Procedimentos de Contratação, </w:t>
      </w:r>
      <w:r w:rsidRPr="00BB5B71">
        <w:rPr>
          <w:rFonts w:ascii="Times New Roman" w:eastAsia="Times New Roman" w:hAnsi="Times New Roman" w:cs="Times New Roman"/>
          <w:sz w:val="24"/>
          <w:szCs w:val="24"/>
          <w:highlight w:val="cyan"/>
          <w:u w:val="single"/>
          <w:shd w:val="clear" w:color="auto" w:fill="00FFFF"/>
          <w:lang w:eastAsia="pt-BR"/>
        </w:rPr>
        <w:t>devendo tal vício ser sanado</w:t>
      </w:r>
      <w:r w:rsidRPr="00FF5719">
        <w:rPr>
          <w:rFonts w:ascii="Times New Roman" w:hAnsi="Times New Roman" w:cs="Times New Roman"/>
          <w:sz w:val="24"/>
          <w:szCs w:val="24"/>
        </w:rPr>
        <w:t>.</w:t>
      </w:r>
    </w:p>
    <w:p w14:paraId="37AB133C" w14:textId="4F6AC77E" w:rsidR="000F224A" w:rsidRPr="008A6DA8" w:rsidRDefault="79B9EDE3" w:rsidP="008A6DA8">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7AC444FD" w14:textId="2795C4C9" w:rsidR="004423CE" w:rsidRPr="00271BE3" w:rsidRDefault="6817C2E8" w:rsidP="00952A35">
      <w:pPr>
        <w:spacing w:after="0" w:line="240" w:lineRule="auto"/>
        <w:jc w:val="both"/>
        <w:rPr>
          <w:rFonts w:ascii="Times New Roman" w:eastAsia="Times New Roman" w:hAnsi="Times New Roman" w:cs="Times New Roman"/>
          <w:color w:val="000000"/>
          <w:sz w:val="24"/>
          <w:szCs w:val="24"/>
          <w:lang w:eastAsia="pt-BR"/>
        </w:rPr>
      </w:pPr>
      <w:r w:rsidRPr="594C5555">
        <w:rPr>
          <w:rFonts w:ascii="Times New Roman" w:eastAsia="Times New Roman" w:hAnsi="Times New Roman" w:cs="Times New Roman"/>
          <w:b/>
          <w:bCs/>
          <w:color w:val="000000" w:themeColor="text1"/>
          <w:sz w:val="24"/>
          <w:szCs w:val="24"/>
          <w:lang w:eastAsia="pt-BR"/>
        </w:rPr>
        <w:t>Termo de referência </w:t>
      </w:r>
    </w:p>
    <w:p w14:paraId="56979977" w14:textId="77777777" w:rsidR="004423CE" w:rsidRPr="00271BE3" w:rsidRDefault="79B9EDE3"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167FB879" w14:textId="3DB6208E" w:rsidR="004423CE" w:rsidRPr="00271BE3" w:rsidRDefault="403A8F76"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O Termo de Referência é o documento que deverá conter a</w:t>
      </w:r>
      <w:r w:rsidRPr="00271BE3">
        <w:rPr>
          <w:rFonts w:ascii="Times New Roman" w:eastAsia="Calibri" w:hAnsi="Times New Roman" w:cs="Times New Roman"/>
          <w:sz w:val="24"/>
          <w:szCs w:val="24"/>
        </w:rPr>
        <w:t xml:space="preserve"> definição do objeto, incluídos sua natureza, os quantitativos, o prazo do contrato e, se for o caso, a possibilidade de sua prorrogação, a fundamentação da contratação, a descrição da solução, os requisitos da contratação, o modelo de execução do objeto, o modelo de gestão do contrato, os critérios de medição e de pagamento, a forma e critérios de seleção do fornecedor, as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e a adequação orçamentária (art. 6º, XXIII, da</w:t>
      </w:r>
      <w:r w:rsidRPr="00271BE3">
        <w:rPr>
          <w:rFonts w:ascii="Times New Roman" w:eastAsia="Calibri" w:hAnsi="Times New Roman" w:cs="Times New Roman"/>
          <w:color w:val="000000" w:themeColor="text1"/>
          <w:sz w:val="24"/>
          <w:szCs w:val="24"/>
        </w:rPr>
        <w:t xml:space="preserve"> Lei nº 14.133, de 2021).</w:t>
      </w:r>
    </w:p>
    <w:p w14:paraId="7476D07E" w14:textId="4AF574A9" w:rsidR="004423CE" w:rsidRPr="00271BE3" w:rsidRDefault="004423CE" w:rsidP="00952A35">
      <w:pPr>
        <w:spacing w:after="0" w:line="240" w:lineRule="auto"/>
        <w:ind w:firstLine="1350"/>
        <w:jc w:val="both"/>
        <w:rPr>
          <w:rFonts w:ascii="Times New Roman" w:eastAsia="Calibri" w:hAnsi="Times New Roman" w:cs="Times New Roman"/>
          <w:color w:val="000000" w:themeColor="text1"/>
          <w:sz w:val="24"/>
          <w:szCs w:val="24"/>
          <w:highlight w:val="green"/>
        </w:rPr>
      </w:pPr>
    </w:p>
    <w:p w14:paraId="78E7D88A" w14:textId="405EED4C" w:rsidR="004423CE" w:rsidRPr="00271BE3" w:rsidRDefault="403A8F76" w:rsidP="00952A35">
      <w:pPr>
        <w:spacing w:after="0" w:line="240" w:lineRule="auto"/>
        <w:jc w:val="both"/>
        <w:rPr>
          <w:rFonts w:ascii="Times New Roman" w:eastAsia="Calibri" w:hAnsi="Times New Roman" w:cs="Times New Roman"/>
          <w:sz w:val="24"/>
          <w:szCs w:val="24"/>
        </w:rPr>
      </w:pPr>
      <w:r w:rsidRPr="00271BE3">
        <w:rPr>
          <w:rFonts w:ascii="Times New Roman" w:eastAsia="Calibri" w:hAnsi="Times New Roman" w:cs="Times New Roman"/>
          <w:color w:val="000000" w:themeColor="text1"/>
          <w:sz w:val="24"/>
          <w:szCs w:val="24"/>
        </w:rPr>
        <w:t xml:space="preserve">Cumpre lembrar que é recomendável a utilização do modelo de termo de referência disponibilizado pela Advocacia-Geral da União, a fim de garantir o conteúdo mínimo necessário, bem como a padronização e a celeridade na análise (art. 19, IV, da </w:t>
      </w:r>
      <w:r w:rsidRPr="00271BE3">
        <w:rPr>
          <w:rFonts w:ascii="Times New Roman" w:eastAsia="Calibri" w:hAnsi="Times New Roman" w:cs="Times New Roman"/>
          <w:sz w:val="24"/>
          <w:szCs w:val="24"/>
        </w:rPr>
        <w:t>Lei nº 14.133</w:t>
      </w:r>
      <w:r w:rsidR="003167A4" w:rsidRPr="00271BE3">
        <w:rPr>
          <w:rFonts w:ascii="Times New Roman" w:eastAsia="Calibri" w:hAnsi="Times New Roman" w:cs="Times New Roman"/>
          <w:sz w:val="24"/>
          <w:szCs w:val="24"/>
        </w:rPr>
        <w:t xml:space="preserve">, de </w:t>
      </w:r>
      <w:r w:rsidRPr="00271BE3">
        <w:rPr>
          <w:rFonts w:ascii="Times New Roman" w:eastAsia="Calibri" w:hAnsi="Times New Roman" w:cs="Times New Roman"/>
          <w:sz w:val="24"/>
          <w:szCs w:val="24"/>
        </w:rPr>
        <w:t>2021).</w:t>
      </w:r>
    </w:p>
    <w:p w14:paraId="5BD30A8E" w14:textId="5F4E20FF" w:rsidR="004423CE" w:rsidRPr="00271BE3" w:rsidRDefault="004423CE" w:rsidP="00952A35">
      <w:pPr>
        <w:spacing w:after="0" w:line="240" w:lineRule="auto"/>
        <w:ind w:firstLine="1350"/>
        <w:jc w:val="both"/>
        <w:rPr>
          <w:rFonts w:ascii="Times New Roman" w:eastAsia="Calibri" w:hAnsi="Times New Roman" w:cs="Times New Roman"/>
          <w:color w:val="000000" w:themeColor="text1"/>
          <w:sz w:val="24"/>
          <w:szCs w:val="24"/>
          <w:u w:val="single"/>
        </w:rPr>
      </w:pPr>
    </w:p>
    <w:p w14:paraId="2B947112" w14:textId="20223823" w:rsidR="004423CE" w:rsidRPr="00271BE3" w:rsidRDefault="403A8F76"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u w:val="single"/>
        </w:rPr>
        <w:t>Recomenda-se</w:t>
      </w:r>
      <w:r w:rsidRPr="00271BE3">
        <w:rPr>
          <w:rFonts w:ascii="Times New Roman" w:eastAsia="Calibri" w:hAnsi="Times New Roman" w:cs="Times New Roman"/>
          <w:color w:val="000000" w:themeColor="text1"/>
          <w:sz w:val="24"/>
          <w:szCs w:val="24"/>
        </w:rPr>
        <w:t xml:space="preserve">, ainda, que as alterações realizadas no modelo padronizado de termo de referência sejam destacadas visualmente e justificadas por escrito no processo (art. 19, § 2º, da </w:t>
      </w:r>
      <w:r w:rsidRPr="00271BE3">
        <w:rPr>
          <w:rFonts w:ascii="Times New Roman" w:eastAsia="Calibri" w:hAnsi="Times New Roman" w:cs="Times New Roman"/>
          <w:sz w:val="24"/>
          <w:szCs w:val="24"/>
        </w:rPr>
        <w:t>Lei nº 14.133</w:t>
      </w:r>
      <w:r w:rsidR="003167A4" w:rsidRPr="00271BE3">
        <w:rPr>
          <w:rFonts w:ascii="Times New Roman" w:eastAsia="Calibri" w:hAnsi="Times New Roman" w:cs="Times New Roman"/>
          <w:sz w:val="24"/>
          <w:szCs w:val="24"/>
        </w:rPr>
        <w:t xml:space="preserve">, de </w:t>
      </w:r>
      <w:r w:rsidRPr="00271BE3">
        <w:rPr>
          <w:rFonts w:ascii="Times New Roman" w:eastAsia="Calibri" w:hAnsi="Times New Roman" w:cs="Times New Roman"/>
          <w:sz w:val="24"/>
          <w:szCs w:val="24"/>
        </w:rPr>
        <w:t>2021).</w:t>
      </w:r>
      <w:r w:rsidRPr="00271BE3">
        <w:rPr>
          <w:rFonts w:ascii="Times New Roman" w:eastAsia="Calibri" w:hAnsi="Times New Roman" w:cs="Times New Roman"/>
          <w:color w:val="000000" w:themeColor="text1"/>
          <w:sz w:val="24"/>
          <w:szCs w:val="24"/>
        </w:rPr>
        <w:t xml:space="preserve"> </w:t>
      </w:r>
    </w:p>
    <w:p w14:paraId="4CB715BC" w14:textId="4350042A" w:rsidR="004423CE" w:rsidRPr="00271BE3" w:rsidRDefault="403A8F76" w:rsidP="00952A35">
      <w:pPr>
        <w:spacing w:after="0" w:line="240" w:lineRule="auto"/>
        <w:ind w:firstLine="1350"/>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t xml:space="preserve">  </w:t>
      </w:r>
    </w:p>
    <w:p w14:paraId="4186052A" w14:textId="579AD37B" w:rsidR="004423CE" w:rsidRPr="00271BE3" w:rsidRDefault="0660FEEC" w:rsidP="00952A35">
      <w:pPr>
        <w:spacing w:after="0" w:line="240" w:lineRule="auto"/>
        <w:jc w:val="both"/>
        <w:rPr>
          <w:rFonts w:ascii="Times New Roman" w:eastAsia="Calibri" w:hAnsi="Times New Roman" w:cs="Times New Roman"/>
          <w:color w:val="FF0000"/>
          <w:sz w:val="24"/>
          <w:szCs w:val="24"/>
        </w:rPr>
      </w:pPr>
      <w:r w:rsidRPr="00271BE3">
        <w:rPr>
          <w:rFonts w:ascii="Times New Roman" w:eastAsia="Calibri" w:hAnsi="Times New Roman" w:cs="Times New Roman"/>
          <w:color w:val="000000" w:themeColor="text1"/>
          <w:sz w:val="24"/>
          <w:szCs w:val="24"/>
        </w:rPr>
        <w:t>No caso, consta dos autos o Termo de Referência,</w:t>
      </w:r>
      <w:r w:rsidRPr="00271BE3">
        <w:rPr>
          <w:rFonts w:ascii="Times New Roman" w:eastAsia="Calibri" w:hAnsi="Times New Roman" w:cs="Times New Roman"/>
          <w:color w:val="FF0000"/>
          <w:sz w:val="24"/>
          <w:szCs w:val="24"/>
        </w:rPr>
        <w:t xml:space="preserve"> </w:t>
      </w:r>
      <w:r w:rsidRPr="00271BE3">
        <w:rPr>
          <w:rFonts w:ascii="Times New Roman" w:eastAsia="Calibri" w:hAnsi="Times New Roman" w:cs="Times New Roman"/>
          <w:color w:val="000000" w:themeColor="text1"/>
          <w:sz w:val="24"/>
          <w:szCs w:val="24"/>
        </w:rPr>
        <w:t>elaborado pela área requisitante, datado e assinado (</w:t>
      </w:r>
      <w:r w:rsidRPr="00271BE3">
        <w:rPr>
          <w:rFonts w:ascii="Times New Roman" w:eastAsia="Calibri" w:hAnsi="Times New Roman" w:cs="Times New Roman"/>
          <w:color w:val="FF0000"/>
          <w:sz w:val="24"/>
          <w:szCs w:val="24"/>
        </w:rPr>
        <w:t>fls. XXX/doc. SEI n. XXX).</w:t>
      </w:r>
    </w:p>
    <w:p w14:paraId="6ADF80ED" w14:textId="5EC71D0C" w:rsidR="004423CE" w:rsidRPr="00271BE3" w:rsidRDefault="004423CE" w:rsidP="00952A35">
      <w:pPr>
        <w:spacing w:after="0" w:line="240" w:lineRule="auto"/>
        <w:ind w:firstLine="1350"/>
        <w:jc w:val="both"/>
        <w:rPr>
          <w:rFonts w:ascii="Times New Roman" w:eastAsia="Calibri" w:hAnsi="Times New Roman" w:cs="Times New Roman"/>
          <w:b/>
          <w:bCs/>
          <w:color w:val="000000" w:themeColor="text1"/>
          <w:sz w:val="24"/>
          <w:szCs w:val="24"/>
          <w:highlight w:val="cyan"/>
        </w:rPr>
      </w:pPr>
    </w:p>
    <w:p w14:paraId="796A1B49" w14:textId="77751239" w:rsidR="004423CE" w:rsidRPr="00271BE3" w:rsidRDefault="403A8F76"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highlight w:val="cyan"/>
        </w:rPr>
        <w:t>Além disso, foi juntada declaração da área técnica informando sobre a adoção, na espécie, do modelo de minuta padronizada de Termo de Referência disponibilizado pela AGU (</w:t>
      </w:r>
      <w:r w:rsidRPr="00271BE3">
        <w:rPr>
          <w:rFonts w:ascii="Times New Roman" w:eastAsia="Calibri" w:hAnsi="Times New Roman" w:cs="Times New Roman"/>
          <w:color w:val="FF0000"/>
          <w:sz w:val="24"/>
          <w:szCs w:val="24"/>
          <w:highlight w:val="cyan"/>
        </w:rPr>
        <w:t>fls. XXX/doc. SEI n. XXX)</w:t>
      </w:r>
      <w:r w:rsidRPr="00271BE3">
        <w:rPr>
          <w:rFonts w:ascii="Times New Roman" w:eastAsia="Calibri" w:hAnsi="Times New Roman" w:cs="Times New Roman"/>
          <w:color w:val="000000" w:themeColor="text1"/>
          <w:sz w:val="24"/>
          <w:szCs w:val="24"/>
          <w:highlight w:val="cyan"/>
        </w:rPr>
        <w:t>.</w:t>
      </w:r>
    </w:p>
    <w:p w14:paraId="3FFF8518" w14:textId="4420F81C" w:rsidR="004423CE" w:rsidRPr="00271BE3" w:rsidRDefault="79C05B93" w:rsidP="00952A35">
      <w:pPr>
        <w:spacing w:after="0" w:line="240" w:lineRule="auto"/>
        <w:ind w:firstLine="708"/>
        <w:jc w:val="both"/>
        <w:rPr>
          <w:rFonts w:ascii="Times New Roman" w:hAnsi="Times New Roman" w:cs="Times New Roman"/>
          <w:sz w:val="24"/>
          <w:szCs w:val="24"/>
        </w:rPr>
      </w:pPr>
      <w:r w:rsidRPr="00271BE3">
        <w:rPr>
          <w:rFonts w:ascii="Times New Roman" w:eastAsia="Calibri" w:hAnsi="Times New Roman" w:cs="Times New Roman"/>
          <w:b/>
          <w:bCs/>
          <w:color w:val="000000" w:themeColor="text1"/>
          <w:sz w:val="24"/>
          <w:szCs w:val="24"/>
          <w:highlight w:val="cyan"/>
          <w:u w:val="single"/>
        </w:rPr>
        <w:t>OU</w:t>
      </w:r>
    </w:p>
    <w:p w14:paraId="2E2E1D87" w14:textId="70A8427E" w:rsidR="004423CE" w:rsidRPr="00271BE3" w:rsidRDefault="79C05B93" w:rsidP="00133ACF">
      <w:pPr>
        <w:spacing w:after="0" w:line="240" w:lineRule="auto"/>
        <w:ind w:firstLine="708"/>
        <w:jc w:val="both"/>
        <w:rPr>
          <w:rFonts w:ascii="Times New Roman" w:hAnsi="Times New Roman" w:cs="Times New Roman"/>
          <w:sz w:val="24"/>
          <w:szCs w:val="24"/>
        </w:rPr>
      </w:pPr>
      <w:r w:rsidRPr="594C5555">
        <w:rPr>
          <w:rFonts w:ascii="Times New Roman" w:eastAsia="Calibri" w:hAnsi="Times New Roman" w:cs="Times New Roman"/>
          <w:color w:val="000000" w:themeColor="text1"/>
          <w:sz w:val="24"/>
          <w:szCs w:val="24"/>
          <w:highlight w:val="cyan"/>
        </w:rPr>
        <w:t>Além disso, muito embora não tenha sido juntada ao feito declaração da área técnica sobre o assunto, verifica-se que, aparentemente, o Termo de Referência se baseou no respectivo modelo de minuta padronizada disponibilizado pela AGU.</w:t>
      </w:r>
    </w:p>
    <w:p w14:paraId="6114BBF8" w14:textId="77777777" w:rsidR="00D72604" w:rsidRDefault="79C05B93" w:rsidP="00952A35">
      <w:pPr>
        <w:spacing w:after="0" w:line="240" w:lineRule="auto"/>
        <w:ind w:firstLine="1418"/>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 xml:space="preserve"> </w:t>
      </w:r>
    </w:p>
    <w:p w14:paraId="5DCAC463" w14:textId="5D6BBB00" w:rsidR="004423CE" w:rsidRPr="000F224A" w:rsidRDefault="79C05B93" w:rsidP="000F224A">
      <w:pPr>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 xml:space="preserve">A não utilização do catálogo eletrônico de padronização é situação excepcional, </w:t>
      </w:r>
      <w:r w:rsidRPr="00271BE3">
        <w:rPr>
          <w:rFonts w:ascii="Times New Roman" w:eastAsia="Calibri" w:hAnsi="Times New Roman" w:cs="Times New Roman"/>
          <w:color w:val="000000" w:themeColor="text1"/>
          <w:sz w:val="24"/>
          <w:szCs w:val="24"/>
          <w:u w:val="single"/>
        </w:rPr>
        <w:t>devendo ser justificada por escrito e anexada ao respectivo processo de contratação</w:t>
      </w:r>
      <w:r w:rsidRPr="00271BE3">
        <w:rPr>
          <w:rFonts w:ascii="Times New Roman" w:eastAsia="Calibri" w:hAnsi="Times New Roman" w:cs="Times New Roman"/>
          <w:color w:val="000000" w:themeColor="text1"/>
          <w:sz w:val="24"/>
          <w:szCs w:val="24"/>
        </w:rPr>
        <w:t xml:space="preserve"> (art. 6º, LI, c/c art. 19, II, § 2º, da Lei nº 14.133</w:t>
      </w:r>
      <w:r w:rsidR="00E84A8C" w:rsidRPr="00271BE3">
        <w:rPr>
          <w:rFonts w:ascii="Times New Roman" w:eastAsia="Calibri" w:hAnsi="Times New Roman" w:cs="Times New Roman"/>
          <w:color w:val="000000" w:themeColor="text1"/>
          <w:sz w:val="24"/>
          <w:szCs w:val="24"/>
        </w:rPr>
        <w:t xml:space="preserve">, de </w:t>
      </w:r>
      <w:r w:rsidRPr="00271BE3">
        <w:rPr>
          <w:rFonts w:ascii="Times New Roman" w:eastAsia="Calibri" w:hAnsi="Times New Roman" w:cs="Times New Roman"/>
          <w:color w:val="000000" w:themeColor="text1"/>
          <w:sz w:val="24"/>
          <w:szCs w:val="24"/>
        </w:rPr>
        <w:t>2021 c/c art. 10, parágrafo único, da P</w:t>
      </w:r>
      <w:r w:rsidR="00B625AE" w:rsidRPr="00271BE3">
        <w:rPr>
          <w:rFonts w:ascii="Times New Roman" w:eastAsia="Calibri" w:hAnsi="Times New Roman" w:cs="Times New Roman"/>
          <w:color w:val="000000" w:themeColor="text1"/>
          <w:sz w:val="24"/>
          <w:szCs w:val="24"/>
        </w:rPr>
        <w:t>ortaria</w:t>
      </w:r>
      <w:r w:rsidRPr="00271BE3">
        <w:rPr>
          <w:rFonts w:ascii="Times New Roman" w:eastAsia="Calibri" w:hAnsi="Times New Roman" w:cs="Times New Roman"/>
          <w:color w:val="000000" w:themeColor="text1"/>
          <w:sz w:val="24"/>
          <w:szCs w:val="24"/>
        </w:rPr>
        <w:t xml:space="preserve"> SEGES/ME </w:t>
      </w:r>
      <w:r w:rsidR="00197CAC" w:rsidRPr="00271BE3">
        <w:rPr>
          <w:rFonts w:ascii="Times New Roman" w:eastAsia="Calibri" w:hAnsi="Times New Roman" w:cs="Times New Roman"/>
          <w:color w:val="000000" w:themeColor="text1"/>
          <w:sz w:val="24"/>
          <w:szCs w:val="24"/>
        </w:rPr>
        <w:t>nº</w:t>
      </w:r>
      <w:r w:rsidRPr="00271BE3">
        <w:rPr>
          <w:rFonts w:ascii="Times New Roman" w:eastAsia="Calibri" w:hAnsi="Times New Roman" w:cs="Times New Roman"/>
          <w:color w:val="000000" w:themeColor="text1"/>
          <w:sz w:val="24"/>
          <w:szCs w:val="24"/>
        </w:rPr>
        <w:t xml:space="preserve"> 938, de 2 de fevereiro de 2022). </w:t>
      </w:r>
    </w:p>
    <w:p w14:paraId="02B41B95" w14:textId="4813AECC" w:rsidR="004423CE" w:rsidRPr="00271BE3" w:rsidRDefault="004423CE" w:rsidP="00952A35">
      <w:pPr>
        <w:spacing w:after="0" w:line="240" w:lineRule="auto"/>
        <w:jc w:val="both"/>
        <w:rPr>
          <w:rFonts w:ascii="Times New Roman" w:eastAsia="Calibri" w:hAnsi="Times New Roman" w:cs="Times New Roman"/>
          <w:color w:val="000000" w:themeColor="text1"/>
          <w:sz w:val="24"/>
          <w:szCs w:val="24"/>
          <w:highlight w:val="green"/>
        </w:rPr>
      </w:pPr>
    </w:p>
    <w:p w14:paraId="3EAE64D5" w14:textId="43892F70" w:rsidR="004423CE" w:rsidRPr="00271BE3" w:rsidRDefault="79C05B93" w:rsidP="00952A35">
      <w:pPr>
        <w:spacing w:after="0" w:line="240" w:lineRule="auto"/>
        <w:jc w:val="both"/>
        <w:rPr>
          <w:rFonts w:ascii="Times New Roman" w:eastAsia="Calibri" w:hAnsi="Times New Roman" w:cs="Times New Roman"/>
          <w:color w:val="0000FF"/>
          <w:sz w:val="24"/>
          <w:szCs w:val="24"/>
        </w:rPr>
      </w:pPr>
      <w:r w:rsidRPr="00271BE3">
        <w:rPr>
          <w:rFonts w:ascii="Times New Roman" w:eastAsia="Calibri" w:hAnsi="Times New Roman" w:cs="Times New Roman"/>
          <w:color w:val="000000" w:themeColor="text1"/>
          <w:sz w:val="24"/>
          <w:szCs w:val="24"/>
        </w:rPr>
        <w:t xml:space="preserve">Ademais, a IN SEGES/ME nº 81, de 25 de novembro de 2022, dispõe sobre a elaboração do Termo de Referência – TR, para a aquisição de bens e a contratação de serviços, e sobre o </w:t>
      </w:r>
      <w:r w:rsidRPr="00271BE3">
        <w:rPr>
          <w:rFonts w:ascii="Times New Roman" w:eastAsia="Calibri" w:hAnsi="Times New Roman" w:cs="Times New Roman"/>
          <w:color w:val="000000" w:themeColor="text1"/>
          <w:sz w:val="24"/>
          <w:szCs w:val="24"/>
        </w:rPr>
        <w:lastRenderedPageBreak/>
        <w:t>Sistema TR digital. A Administração deve cuidar para que suas exigências sejam atendidas no caso concreto</w:t>
      </w:r>
      <w:r w:rsidRPr="00271BE3">
        <w:rPr>
          <w:rFonts w:ascii="Times New Roman" w:eastAsia="Calibri" w:hAnsi="Times New Roman" w:cs="Times New Roman"/>
          <w:color w:val="0000FF"/>
          <w:sz w:val="24"/>
          <w:szCs w:val="24"/>
        </w:rPr>
        <w:t>.</w:t>
      </w:r>
    </w:p>
    <w:p w14:paraId="03955FD6" w14:textId="5C6EADF7" w:rsidR="004423CE" w:rsidRPr="00271BE3" w:rsidRDefault="79C05B93" w:rsidP="00952A35">
      <w:pPr>
        <w:spacing w:after="0" w:line="240" w:lineRule="auto"/>
        <w:ind w:firstLine="1418"/>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t xml:space="preserve"> </w:t>
      </w:r>
    </w:p>
    <w:p w14:paraId="40C0BA1C" w14:textId="33AB2600" w:rsidR="004E58EC" w:rsidRDefault="79C05B93" w:rsidP="008A6DA8">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Nesse contexto, em análise eminentemente formal, verifica-se que o termo de referência contemplou todas as exigências contidas nos normativos acima citados.</w:t>
      </w:r>
    </w:p>
    <w:p w14:paraId="47DDA43E" w14:textId="77777777" w:rsidR="008A6DA8" w:rsidRPr="008A6DA8" w:rsidRDefault="008A6DA8" w:rsidP="008A6DA8">
      <w:pPr>
        <w:spacing w:after="0" w:line="240" w:lineRule="auto"/>
        <w:jc w:val="both"/>
        <w:rPr>
          <w:rFonts w:ascii="Times New Roman" w:eastAsia="Calibri" w:hAnsi="Times New Roman" w:cs="Times New Roman"/>
          <w:color w:val="000000" w:themeColor="text1"/>
          <w:sz w:val="24"/>
          <w:szCs w:val="24"/>
        </w:rPr>
      </w:pPr>
    </w:p>
    <w:tbl>
      <w:tblPr>
        <w:tblW w:w="9062" w:type="dxa"/>
        <w:tblLayout w:type="fixed"/>
        <w:tblLook w:val="04A0" w:firstRow="1" w:lastRow="0" w:firstColumn="1" w:lastColumn="0" w:noHBand="0" w:noVBand="1"/>
      </w:tblPr>
      <w:tblGrid>
        <w:gridCol w:w="9062"/>
      </w:tblGrid>
      <w:tr w:rsidR="66EBB3D6" w:rsidRPr="00271BE3" w14:paraId="0FD9AD3A" w14:textId="77777777" w:rsidTr="000F224A">
        <w:trPr>
          <w:trHeight w:val="300"/>
        </w:trPr>
        <w:tc>
          <w:tcPr>
            <w:tcW w:w="9062" w:type="dxa"/>
            <w:tcBorders>
              <w:top w:val="inset" w:sz="8" w:space="0" w:color="000000" w:themeColor="text1"/>
              <w:left w:val="inset" w:sz="8" w:space="0" w:color="000000" w:themeColor="text1"/>
              <w:bottom w:val="inset" w:sz="8" w:space="0" w:color="000000" w:themeColor="text1"/>
              <w:right w:val="inset" w:sz="8" w:space="0" w:color="000000" w:themeColor="text1"/>
            </w:tcBorders>
            <w:shd w:val="clear" w:color="auto" w:fill="FFFF00"/>
            <w:tcMar>
              <w:top w:w="30" w:type="dxa"/>
              <w:left w:w="30" w:type="dxa"/>
              <w:bottom w:w="30" w:type="dxa"/>
              <w:right w:w="30" w:type="dxa"/>
            </w:tcMar>
            <w:vAlign w:val="center"/>
          </w:tcPr>
          <w:p w14:paraId="4F379CF1" w14:textId="781C7AAD" w:rsidR="66EBB3D6" w:rsidRPr="00271BE3" w:rsidRDefault="66EBB3D6"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b/>
                <w:bCs/>
                <w:i/>
                <w:iCs/>
                <w:color w:val="000000" w:themeColor="text1"/>
                <w:sz w:val="24"/>
                <w:szCs w:val="24"/>
              </w:rPr>
              <w:t>Nota Explicativa:</w:t>
            </w:r>
            <w:r w:rsidRPr="00271BE3">
              <w:rPr>
                <w:rFonts w:ascii="Times New Roman" w:eastAsia="Calibri" w:hAnsi="Times New Roman" w:cs="Times New Roman"/>
                <w:sz w:val="24"/>
                <w:szCs w:val="24"/>
              </w:rPr>
              <w:t xml:space="preserve"> </w:t>
            </w:r>
            <w:r w:rsidRPr="00271BE3">
              <w:rPr>
                <w:rFonts w:ascii="Times New Roman" w:eastAsia="Calibri" w:hAnsi="Times New Roman" w:cs="Times New Roman"/>
                <w:color w:val="000000" w:themeColor="text1"/>
                <w:sz w:val="24"/>
                <w:szCs w:val="24"/>
              </w:rPr>
              <w:t>O apontamento de eventuais falhas, retificações e esclarecimentos no conteúdo do Termo de Referência, se for o caso, deverá ser feito de acordo com a situação concreta a ser analisada, tomando-se por base, inclusive, as orientações constantes no modelo de minuta de Termo de Referência elaborado pela Câmara Nacional de Modelos de Licitações e Contratos da AGU. Nesse caso, deverá ser utilizado o texto abaixo colacionado, com indicação das recomendações consideradas necessárias pelo órgão consultivo, de acordo com as peculiaridades de cada caso concreto.</w:t>
            </w:r>
          </w:p>
        </w:tc>
      </w:tr>
    </w:tbl>
    <w:p w14:paraId="6CD34644" w14:textId="3DB076AF" w:rsidR="004423CE" w:rsidRPr="00271BE3" w:rsidRDefault="004423CE" w:rsidP="00952A35">
      <w:pPr>
        <w:spacing w:after="0" w:line="240" w:lineRule="auto"/>
        <w:jc w:val="both"/>
        <w:rPr>
          <w:rFonts w:ascii="Times New Roman" w:eastAsia="Times New Roman" w:hAnsi="Times New Roman" w:cs="Times New Roman"/>
          <w:color w:val="000000" w:themeColor="text1"/>
          <w:sz w:val="24"/>
          <w:szCs w:val="24"/>
          <w:lang w:eastAsia="pt-BR"/>
        </w:rPr>
      </w:pPr>
    </w:p>
    <w:p w14:paraId="5EC8EDF0" w14:textId="0B49F160" w:rsidR="004423CE" w:rsidRPr="00271BE3" w:rsidRDefault="79B9EDE3" w:rsidP="00952A35">
      <w:pPr>
        <w:spacing w:after="0" w:line="240" w:lineRule="auto"/>
        <w:jc w:val="both"/>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color w:val="000000" w:themeColor="text1"/>
          <w:sz w:val="24"/>
          <w:szCs w:val="24"/>
          <w:lang w:eastAsia="pt-BR"/>
        </w:rPr>
        <w:t>Sem embargo disso, e apesar de se tratar de documento extremamente técnico, cuja avaliação cabe, em última instância, à própria Administração,</w:t>
      </w:r>
      <w:r w:rsidRPr="00271BE3">
        <w:rPr>
          <w:rFonts w:ascii="Times New Roman" w:eastAsia="Times New Roman" w:hAnsi="Times New Roman" w:cs="Times New Roman"/>
          <w:b/>
          <w:bCs/>
          <w:color w:val="000000" w:themeColor="text1"/>
          <w:sz w:val="24"/>
          <w:szCs w:val="24"/>
          <w:lang w:eastAsia="pt-BR"/>
        </w:rPr>
        <w:t> </w:t>
      </w:r>
      <w:r w:rsidRPr="00271BE3">
        <w:rPr>
          <w:rFonts w:ascii="Times New Roman" w:eastAsia="Times New Roman" w:hAnsi="Times New Roman" w:cs="Times New Roman"/>
          <w:b/>
          <w:bCs/>
          <w:color w:val="FF0000"/>
          <w:sz w:val="24"/>
          <w:szCs w:val="24"/>
          <w:u w:val="single"/>
          <w:lang w:eastAsia="pt-BR"/>
        </w:rPr>
        <w:t>constata-se a necessidade de atendimento adicional às recomendações abaixo, a saber</w:t>
      </w:r>
      <w:r w:rsidRPr="00271BE3">
        <w:rPr>
          <w:rFonts w:ascii="Times New Roman" w:eastAsia="Times New Roman" w:hAnsi="Times New Roman" w:cs="Times New Roman"/>
          <w:color w:val="FF0000"/>
          <w:sz w:val="24"/>
          <w:szCs w:val="24"/>
          <w:lang w:eastAsia="pt-BR"/>
        </w:rPr>
        <w:t>:</w:t>
      </w:r>
    </w:p>
    <w:p w14:paraId="691BE00E" w14:textId="1BB13A11" w:rsidR="004423CE" w:rsidRDefault="004423CE" w:rsidP="00952A35">
      <w:pPr>
        <w:spacing w:after="0" w:line="240" w:lineRule="auto"/>
        <w:ind w:left="2268" w:hanging="283"/>
        <w:jc w:val="both"/>
        <w:rPr>
          <w:rFonts w:ascii="Times New Roman" w:eastAsia="Times New Roman" w:hAnsi="Times New Roman" w:cs="Times New Roman"/>
          <w:color w:val="FF0000"/>
          <w:sz w:val="20"/>
          <w:szCs w:val="20"/>
          <w:lang w:eastAsia="pt-BR"/>
        </w:rPr>
      </w:pPr>
    </w:p>
    <w:p w14:paraId="17D5A700" w14:textId="0F189AF2" w:rsidR="00A74182" w:rsidRPr="009B27E8" w:rsidRDefault="00A74182" w:rsidP="00A74182">
      <w:pPr>
        <w:pStyle w:val="PargrafodaLista"/>
        <w:numPr>
          <w:ilvl w:val="0"/>
          <w:numId w:val="27"/>
        </w:numPr>
        <w:tabs>
          <w:tab w:val="left" w:pos="2552"/>
        </w:tabs>
        <w:spacing w:after="0" w:line="240" w:lineRule="auto"/>
        <w:ind w:left="2268" w:firstLine="0"/>
        <w:jc w:val="both"/>
        <w:rPr>
          <w:rFonts w:ascii="Times New Roman" w:eastAsia="Times New Roman" w:hAnsi="Times New Roman" w:cs="Times New Roman"/>
          <w:color w:val="FF0000"/>
          <w:sz w:val="20"/>
          <w:szCs w:val="20"/>
          <w:u w:val="single"/>
        </w:rPr>
      </w:pPr>
      <w:r w:rsidRPr="009B27E8">
        <w:rPr>
          <w:rFonts w:ascii="Times New Roman" w:eastAsia="Times New Roman" w:hAnsi="Times New Roman" w:cs="Times New Roman"/>
          <w:color w:val="FF0000"/>
          <w:sz w:val="20"/>
          <w:szCs w:val="20"/>
          <w:lang w:eastAsia="pt-BR"/>
        </w:rPr>
        <w:t>e</w:t>
      </w:r>
      <w:r w:rsidRPr="009B27E8">
        <w:rPr>
          <w:rFonts w:ascii="Times New Roman" w:eastAsia="Times New Roman" w:hAnsi="Times New Roman" w:cs="Times New Roman"/>
          <w:color w:val="FF0000"/>
          <w:sz w:val="20"/>
          <w:szCs w:val="20"/>
        </w:rPr>
        <w:t xml:space="preserve">m se tratando de registro de preços com indicação limitada a unidades de contratação, sem indicação do total a ser adquirido, nas hipóteses do art. 4º, do Decreto nº 11.462, de 2023 (item XX do termo de referência), </w:t>
      </w:r>
      <w:r w:rsidRPr="009B27E8">
        <w:rPr>
          <w:rFonts w:ascii="Times New Roman" w:eastAsia="Times New Roman" w:hAnsi="Times New Roman" w:cs="Times New Roman"/>
          <w:b/>
          <w:bCs/>
          <w:color w:val="FF0000"/>
          <w:sz w:val="20"/>
          <w:szCs w:val="20"/>
        </w:rPr>
        <w:t>é obrigatória a indicação do valor máximo da despesa</w:t>
      </w:r>
      <w:r w:rsidRPr="009B27E8">
        <w:rPr>
          <w:rFonts w:ascii="Times New Roman" w:eastAsia="Times New Roman" w:hAnsi="Times New Roman" w:cs="Times New Roman"/>
          <w:color w:val="FF0000"/>
          <w:sz w:val="20"/>
          <w:szCs w:val="20"/>
        </w:rPr>
        <w:t xml:space="preserve"> (art. 82, § 4º, da Lei nº 14.133</w:t>
      </w:r>
      <w:r w:rsidR="00F36349">
        <w:rPr>
          <w:rFonts w:ascii="Times New Roman" w:eastAsia="Times New Roman" w:hAnsi="Times New Roman" w:cs="Times New Roman"/>
          <w:color w:val="FF0000"/>
          <w:sz w:val="20"/>
          <w:szCs w:val="20"/>
        </w:rPr>
        <w:t xml:space="preserve">, de </w:t>
      </w:r>
      <w:r w:rsidRPr="009B27E8">
        <w:rPr>
          <w:rFonts w:ascii="Times New Roman" w:eastAsia="Times New Roman" w:hAnsi="Times New Roman" w:cs="Times New Roman"/>
          <w:color w:val="FF0000"/>
          <w:sz w:val="20"/>
          <w:szCs w:val="20"/>
        </w:rPr>
        <w:t>2021</w:t>
      </w:r>
      <w:r w:rsidR="00F36349">
        <w:rPr>
          <w:rFonts w:ascii="Times New Roman" w:eastAsia="Times New Roman" w:hAnsi="Times New Roman" w:cs="Times New Roman"/>
          <w:color w:val="FF0000"/>
          <w:sz w:val="20"/>
          <w:szCs w:val="20"/>
        </w:rPr>
        <w:t>,</w:t>
      </w:r>
      <w:r w:rsidRPr="009B27E8">
        <w:rPr>
          <w:rFonts w:ascii="Times New Roman" w:eastAsia="Times New Roman" w:hAnsi="Times New Roman" w:cs="Times New Roman"/>
          <w:color w:val="FF0000"/>
          <w:sz w:val="20"/>
          <w:szCs w:val="20"/>
        </w:rPr>
        <w:t xml:space="preserve"> e artigo 4º, parágrafo único, do Decreto nº 11.462, de 2023), </w:t>
      </w:r>
      <w:r w:rsidRPr="009B27E8">
        <w:rPr>
          <w:rFonts w:ascii="Times New Roman" w:eastAsia="Times New Roman" w:hAnsi="Times New Roman" w:cs="Times New Roman"/>
          <w:b/>
          <w:bCs/>
          <w:color w:val="FF0000"/>
          <w:sz w:val="20"/>
          <w:szCs w:val="20"/>
          <w:u w:val="single"/>
        </w:rPr>
        <w:t>o que demanda ajustes no termo de referência</w:t>
      </w:r>
      <w:r w:rsidRPr="009B27E8">
        <w:rPr>
          <w:rFonts w:ascii="Times New Roman" w:eastAsia="Times New Roman" w:hAnsi="Times New Roman" w:cs="Times New Roman"/>
          <w:color w:val="FF0000"/>
          <w:sz w:val="20"/>
          <w:szCs w:val="20"/>
          <w:u w:val="single"/>
        </w:rPr>
        <w:t>.</w:t>
      </w:r>
    </w:p>
    <w:p w14:paraId="2535B10B" w14:textId="77777777" w:rsidR="00A74182" w:rsidRPr="006C0EE2" w:rsidRDefault="00A74182" w:rsidP="00952A35">
      <w:pPr>
        <w:spacing w:after="0" w:line="240" w:lineRule="auto"/>
        <w:ind w:left="2268" w:hanging="283"/>
        <w:jc w:val="both"/>
        <w:rPr>
          <w:rFonts w:ascii="Times New Roman" w:eastAsia="Times New Roman" w:hAnsi="Times New Roman" w:cs="Times New Roman"/>
          <w:color w:val="FF0000"/>
          <w:sz w:val="20"/>
          <w:szCs w:val="20"/>
          <w:lang w:eastAsia="pt-BR"/>
        </w:rPr>
      </w:pPr>
    </w:p>
    <w:p w14:paraId="1D2024CF" w14:textId="1E8D305A" w:rsidR="02C2C12C" w:rsidRPr="006C0EE2" w:rsidRDefault="1C9AB77B" w:rsidP="00952A35">
      <w:pPr>
        <w:pStyle w:val="PargrafodaLista"/>
        <w:numPr>
          <w:ilvl w:val="0"/>
          <w:numId w:val="23"/>
        </w:numPr>
        <w:tabs>
          <w:tab w:val="left" w:pos="2552"/>
        </w:tabs>
        <w:spacing w:after="0" w:line="240" w:lineRule="auto"/>
        <w:ind w:left="2268" w:firstLine="0"/>
        <w:jc w:val="both"/>
        <w:rPr>
          <w:rFonts w:ascii="Times New Roman" w:eastAsiaTheme="minorEastAsia" w:hAnsi="Times New Roman" w:cs="Times New Roman"/>
          <w:color w:val="FF0000"/>
          <w:sz w:val="20"/>
          <w:szCs w:val="20"/>
        </w:rPr>
      </w:pPr>
      <w:r w:rsidRPr="006C0EE2">
        <w:rPr>
          <w:rFonts w:ascii="Times New Roman" w:eastAsiaTheme="minorEastAsia" w:hAnsi="Times New Roman" w:cs="Times New Roman"/>
          <w:color w:val="FF0000"/>
          <w:sz w:val="20"/>
          <w:szCs w:val="20"/>
        </w:rPr>
        <w:t>d</w:t>
      </w:r>
      <w:r w:rsidR="3CB88A34" w:rsidRPr="006C0EE2">
        <w:rPr>
          <w:rFonts w:ascii="Times New Roman" w:eastAsiaTheme="minorEastAsia" w:hAnsi="Times New Roman" w:cs="Times New Roman"/>
          <w:color w:val="FF0000"/>
          <w:sz w:val="20"/>
          <w:szCs w:val="20"/>
        </w:rPr>
        <w:t>e acordo com o art. 46, § 1º, da Lei n.</w:t>
      </w:r>
      <w:r w:rsidR="007D2819" w:rsidRPr="006C0EE2">
        <w:rPr>
          <w:rFonts w:ascii="Times New Roman" w:eastAsiaTheme="minorEastAsia" w:hAnsi="Times New Roman" w:cs="Times New Roman"/>
          <w:color w:val="FF0000"/>
          <w:sz w:val="20"/>
          <w:szCs w:val="20"/>
        </w:rPr>
        <w:t>º</w:t>
      </w:r>
      <w:r w:rsidR="3CB88A34" w:rsidRPr="006C0EE2">
        <w:rPr>
          <w:rFonts w:ascii="Times New Roman" w:eastAsiaTheme="minorEastAsia" w:hAnsi="Times New Roman" w:cs="Times New Roman"/>
          <w:color w:val="FF0000"/>
          <w:sz w:val="20"/>
          <w:szCs w:val="20"/>
        </w:rPr>
        <w:t xml:space="preserve"> 14.133</w:t>
      </w:r>
      <w:r w:rsidR="004D7D51" w:rsidRPr="006C0EE2">
        <w:rPr>
          <w:rFonts w:ascii="Times New Roman" w:eastAsiaTheme="minorEastAsia" w:hAnsi="Times New Roman" w:cs="Times New Roman"/>
          <w:color w:val="FF0000"/>
          <w:sz w:val="20"/>
          <w:szCs w:val="20"/>
        </w:rPr>
        <w:t xml:space="preserve">, de </w:t>
      </w:r>
      <w:r w:rsidR="3CB88A34" w:rsidRPr="006C0EE2">
        <w:rPr>
          <w:rFonts w:ascii="Times New Roman" w:eastAsiaTheme="minorEastAsia" w:hAnsi="Times New Roman" w:cs="Times New Roman"/>
          <w:color w:val="FF0000"/>
          <w:sz w:val="20"/>
          <w:szCs w:val="20"/>
        </w:rPr>
        <w:t>2021</w:t>
      </w:r>
      <w:r w:rsidR="2E49149F" w:rsidRPr="006C0EE2">
        <w:rPr>
          <w:rFonts w:ascii="Times New Roman" w:eastAsiaTheme="minorEastAsia" w:hAnsi="Times New Roman" w:cs="Times New Roman"/>
          <w:color w:val="FF0000"/>
          <w:sz w:val="20"/>
          <w:szCs w:val="20"/>
        </w:rPr>
        <w:t>,</w:t>
      </w:r>
      <w:r w:rsidR="3CB88A34" w:rsidRPr="006C0EE2">
        <w:rPr>
          <w:rFonts w:ascii="Times New Roman" w:eastAsiaTheme="minorEastAsia" w:hAnsi="Times New Roman" w:cs="Times New Roman"/>
          <w:b/>
          <w:bCs/>
          <w:color w:val="FF0000"/>
          <w:sz w:val="20"/>
          <w:szCs w:val="20"/>
        </w:rPr>
        <w:t xml:space="preserve"> </w:t>
      </w:r>
      <w:r w:rsidR="6AB4FE01" w:rsidRPr="000C0FA3">
        <w:rPr>
          <w:rFonts w:ascii="Times New Roman" w:eastAsiaTheme="minorEastAsia" w:hAnsi="Times New Roman" w:cs="Times New Roman"/>
          <w:color w:val="FF0000"/>
          <w:sz w:val="20"/>
          <w:szCs w:val="20"/>
          <w:u w:val="single"/>
        </w:rPr>
        <w:t>é</w:t>
      </w:r>
      <w:r w:rsidR="02C2C12C" w:rsidRPr="000C0FA3">
        <w:rPr>
          <w:rFonts w:ascii="Times New Roman" w:eastAsiaTheme="minorEastAsia" w:hAnsi="Times New Roman" w:cs="Times New Roman"/>
          <w:color w:val="FF0000"/>
          <w:sz w:val="20"/>
          <w:szCs w:val="20"/>
          <w:u w:val="single"/>
        </w:rPr>
        <w:t xml:space="preserve"> vedada a realização de serviços de engenharia sem projeto executivo</w:t>
      </w:r>
      <w:r w:rsidR="02C2C12C" w:rsidRPr="006C0EE2">
        <w:rPr>
          <w:rFonts w:ascii="Times New Roman" w:eastAsiaTheme="minorEastAsia" w:hAnsi="Times New Roman" w:cs="Times New Roman"/>
          <w:color w:val="FF0000"/>
          <w:sz w:val="20"/>
          <w:szCs w:val="20"/>
        </w:rPr>
        <w:t>, ressalvada</w:t>
      </w:r>
      <w:r w:rsidR="604C6114" w:rsidRPr="006C0EE2">
        <w:rPr>
          <w:rFonts w:ascii="Times New Roman" w:eastAsiaTheme="minorEastAsia" w:hAnsi="Times New Roman" w:cs="Times New Roman"/>
          <w:color w:val="FF0000"/>
          <w:sz w:val="20"/>
          <w:szCs w:val="20"/>
        </w:rPr>
        <w:t>s</w:t>
      </w:r>
      <w:r w:rsidR="02C2C12C" w:rsidRPr="006C0EE2">
        <w:rPr>
          <w:rFonts w:ascii="Times New Roman" w:eastAsiaTheme="minorEastAsia" w:hAnsi="Times New Roman" w:cs="Times New Roman"/>
          <w:color w:val="FF0000"/>
          <w:sz w:val="20"/>
          <w:szCs w:val="20"/>
        </w:rPr>
        <w:t xml:space="preserve"> a</w:t>
      </w:r>
      <w:r w:rsidR="0B4DE6A0" w:rsidRPr="006C0EE2">
        <w:rPr>
          <w:rFonts w:ascii="Times New Roman" w:eastAsiaTheme="minorEastAsia" w:hAnsi="Times New Roman" w:cs="Times New Roman"/>
          <w:color w:val="FF0000"/>
          <w:sz w:val="20"/>
          <w:szCs w:val="20"/>
        </w:rPr>
        <w:t>s</w:t>
      </w:r>
      <w:r w:rsidR="02C2C12C" w:rsidRPr="006C0EE2">
        <w:rPr>
          <w:rFonts w:ascii="Times New Roman" w:eastAsiaTheme="minorEastAsia" w:hAnsi="Times New Roman" w:cs="Times New Roman"/>
          <w:color w:val="FF0000"/>
          <w:sz w:val="20"/>
          <w:szCs w:val="20"/>
        </w:rPr>
        <w:t xml:space="preserve"> hipótese</w:t>
      </w:r>
      <w:r w:rsidR="45E93193" w:rsidRPr="006C0EE2">
        <w:rPr>
          <w:rFonts w:ascii="Times New Roman" w:eastAsiaTheme="minorEastAsia" w:hAnsi="Times New Roman" w:cs="Times New Roman"/>
          <w:color w:val="FF0000"/>
          <w:sz w:val="20"/>
          <w:szCs w:val="20"/>
        </w:rPr>
        <w:t>s</w:t>
      </w:r>
      <w:r w:rsidR="02C2C12C" w:rsidRPr="006C0EE2">
        <w:rPr>
          <w:rFonts w:ascii="Times New Roman" w:eastAsiaTheme="minorEastAsia" w:hAnsi="Times New Roman" w:cs="Times New Roman"/>
          <w:color w:val="FF0000"/>
          <w:sz w:val="20"/>
          <w:szCs w:val="20"/>
        </w:rPr>
        <w:t xml:space="preserve"> prevista</w:t>
      </w:r>
      <w:r w:rsidR="13EDB0DD" w:rsidRPr="006C0EE2">
        <w:rPr>
          <w:rFonts w:ascii="Times New Roman" w:eastAsiaTheme="minorEastAsia" w:hAnsi="Times New Roman" w:cs="Times New Roman"/>
          <w:color w:val="FF0000"/>
          <w:sz w:val="20"/>
          <w:szCs w:val="20"/>
        </w:rPr>
        <w:t>s</w:t>
      </w:r>
      <w:r w:rsidR="02C2C12C" w:rsidRPr="006C0EE2">
        <w:rPr>
          <w:rFonts w:ascii="Times New Roman" w:eastAsiaTheme="minorEastAsia" w:hAnsi="Times New Roman" w:cs="Times New Roman"/>
          <w:color w:val="FF0000"/>
          <w:sz w:val="20"/>
          <w:szCs w:val="20"/>
        </w:rPr>
        <w:t xml:space="preserve"> no art. 18</w:t>
      </w:r>
      <w:r w:rsidR="017E209E" w:rsidRPr="006C0EE2">
        <w:rPr>
          <w:rFonts w:ascii="Times New Roman" w:eastAsiaTheme="minorEastAsia" w:hAnsi="Times New Roman" w:cs="Times New Roman"/>
          <w:color w:val="FF0000"/>
          <w:sz w:val="20"/>
          <w:szCs w:val="20"/>
        </w:rPr>
        <w:t>, § 3º</w:t>
      </w:r>
      <w:r w:rsidR="007D2819" w:rsidRPr="006C0EE2">
        <w:rPr>
          <w:rFonts w:ascii="Times New Roman" w:eastAsiaTheme="minorEastAsia" w:hAnsi="Times New Roman" w:cs="Times New Roman"/>
          <w:color w:val="FF0000"/>
          <w:sz w:val="20"/>
          <w:szCs w:val="20"/>
        </w:rPr>
        <w:t>,</w:t>
      </w:r>
      <w:r w:rsidR="02C2C12C" w:rsidRPr="006C0EE2">
        <w:rPr>
          <w:rFonts w:ascii="Times New Roman" w:eastAsiaTheme="minorEastAsia" w:hAnsi="Times New Roman" w:cs="Times New Roman"/>
          <w:color w:val="FF0000"/>
          <w:sz w:val="20"/>
          <w:szCs w:val="20"/>
        </w:rPr>
        <w:t xml:space="preserve"> </w:t>
      </w:r>
      <w:r w:rsidR="5548CBAB" w:rsidRPr="006C0EE2">
        <w:rPr>
          <w:rFonts w:ascii="Times New Roman" w:eastAsiaTheme="minorEastAsia" w:hAnsi="Times New Roman" w:cs="Times New Roman"/>
          <w:color w:val="FF0000"/>
          <w:sz w:val="20"/>
          <w:szCs w:val="20"/>
        </w:rPr>
        <w:t xml:space="preserve">ou </w:t>
      </w:r>
      <w:r w:rsidR="63FCC1DB" w:rsidRPr="006C0EE2">
        <w:rPr>
          <w:rFonts w:ascii="Times New Roman" w:eastAsiaTheme="minorEastAsia" w:hAnsi="Times New Roman" w:cs="Times New Roman"/>
          <w:color w:val="FF0000"/>
          <w:sz w:val="20"/>
          <w:szCs w:val="20"/>
        </w:rPr>
        <w:t xml:space="preserve">no </w:t>
      </w:r>
      <w:r w:rsidR="5548CBAB" w:rsidRPr="006C0EE2">
        <w:rPr>
          <w:rFonts w:ascii="Times New Roman" w:eastAsiaTheme="minorEastAsia" w:hAnsi="Times New Roman" w:cs="Times New Roman"/>
          <w:color w:val="FF0000"/>
          <w:sz w:val="20"/>
          <w:szCs w:val="20"/>
        </w:rPr>
        <w:t>art. 14, § 4º</w:t>
      </w:r>
      <w:r w:rsidR="007D2819" w:rsidRPr="006C0EE2">
        <w:rPr>
          <w:rFonts w:ascii="Times New Roman" w:eastAsiaTheme="minorEastAsia" w:hAnsi="Times New Roman" w:cs="Times New Roman"/>
          <w:color w:val="FF0000"/>
          <w:sz w:val="20"/>
          <w:szCs w:val="20"/>
        </w:rPr>
        <w:t>,</w:t>
      </w:r>
      <w:r w:rsidR="5548CBAB" w:rsidRPr="006C0EE2">
        <w:rPr>
          <w:rFonts w:ascii="Times New Roman" w:eastAsiaTheme="minorEastAsia" w:hAnsi="Times New Roman" w:cs="Times New Roman"/>
          <w:color w:val="FF0000"/>
          <w:sz w:val="20"/>
          <w:szCs w:val="20"/>
        </w:rPr>
        <w:t xml:space="preserve"> da Lei nº 14.133</w:t>
      </w:r>
      <w:r w:rsidR="00E84A8C" w:rsidRPr="006C0EE2">
        <w:rPr>
          <w:rFonts w:ascii="Times New Roman" w:eastAsiaTheme="minorEastAsia" w:hAnsi="Times New Roman" w:cs="Times New Roman"/>
          <w:color w:val="FF0000"/>
          <w:sz w:val="20"/>
          <w:szCs w:val="20"/>
        </w:rPr>
        <w:t xml:space="preserve">, de </w:t>
      </w:r>
      <w:r w:rsidR="5548CBAB" w:rsidRPr="006C0EE2">
        <w:rPr>
          <w:rFonts w:ascii="Times New Roman" w:eastAsiaTheme="minorEastAsia" w:hAnsi="Times New Roman" w:cs="Times New Roman"/>
          <w:color w:val="FF0000"/>
          <w:sz w:val="20"/>
          <w:szCs w:val="20"/>
        </w:rPr>
        <w:t xml:space="preserve">2021, </w:t>
      </w:r>
      <w:r w:rsidR="02C2C12C" w:rsidRPr="000C0FA3">
        <w:rPr>
          <w:rFonts w:ascii="Times New Roman" w:eastAsiaTheme="minorEastAsia" w:hAnsi="Times New Roman" w:cs="Times New Roman"/>
          <w:color w:val="FF0000"/>
          <w:sz w:val="20"/>
          <w:szCs w:val="20"/>
          <w:u w:val="single"/>
        </w:rPr>
        <w:t>o que demanda saneamento</w:t>
      </w:r>
      <w:r w:rsidR="17AB860F" w:rsidRPr="000C0FA3">
        <w:rPr>
          <w:rFonts w:ascii="Times New Roman" w:eastAsiaTheme="minorEastAsia" w:hAnsi="Times New Roman" w:cs="Times New Roman"/>
          <w:color w:val="FF0000"/>
          <w:sz w:val="20"/>
          <w:szCs w:val="20"/>
          <w:u w:val="single"/>
        </w:rPr>
        <w:t xml:space="preserve"> da instrução processual</w:t>
      </w:r>
      <w:r w:rsidR="3B940447" w:rsidRPr="006C0EE2">
        <w:rPr>
          <w:rFonts w:ascii="Times New Roman" w:eastAsiaTheme="minorEastAsia" w:hAnsi="Times New Roman" w:cs="Times New Roman"/>
          <w:color w:val="FF0000"/>
          <w:sz w:val="20"/>
          <w:szCs w:val="20"/>
        </w:rPr>
        <w:t xml:space="preserve">, mediante a </w:t>
      </w:r>
      <w:r w:rsidR="55049A54" w:rsidRPr="006C0EE2">
        <w:rPr>
          <w:rFonts w:ascii="Times New Roman" w:eastAsiaTheme="minorEastAsia" w:hAnsi="Times New Roman" w:cs="Times New Roman"/>
          <w:color w:val="FF0000"/>
          <w:sz w:val="20"/>
          <w:szCs w:val="20"/>
        </w:rPr>
        <w:t>juntada do projeto executivo</w:t>
      </w:r>
      <w:r w:rsidR="4C6C0075" w:rsidRPr="006C0EE2">
        <w:rPr>
          <w:rFonts w:ascii="Times New Roman" w:eastAsiaTheme="minorEastAsia" w:hAnsi="Times New Roman" w:cs="Times New Roman"/>
          <w:color w:val="FF0000"/>
          <w:sz w:val="20"/>
          <w:szCs w:val="20"/>
        </w:rPr>
        <w:t xml:space="preserve"> ao edital, </w:t>
      </w:r>
      <w:r w:rsidR="1C3B10A9" w:rsidRPr="006C0EE2">
        <w:rPr>
          <w:rFonts w:ascii="Times New Roman" w:eastAsiaTheme="minorEastAsia" w:hAnsi="Times New Roman" w:cs="Times New Roman"/>
          <w:color w:val="FF0000"/>
          <w:sz w:val="20"/>
          <w:szCs w:val="20"/>
        </w:rPr>
        <w:t xml:space="preserve">a </w:t>
      </w:r>
      <w:r w:rsidR="4C6C0075" w:rsidRPr="006C0EE2">
        <w:rPr>
          <w:rFonts w:ascii="Times New Roman" w:eastAsiaTheme="minorEastAsia" w:hAnsi="Times New Roman" w:cs="Times New Roman"/>
          <w:color w:val="FF0000"/>
          <w:sz w:val="20"/>
          <w:szCs w:val="20"/>
        </w:rPr>
        <w:t>justificativa técnica d</w:t>
      </w:r>
      <w:r w:rsidR="23B7301F" w:rsidRPr="006C0EE2">
        <w:rPr>
          <w:rFonts w:ascii="Times New Roman" w:eastAsiaTheme="minorEastAsia" w:hAnsi="Times New Roman" w:cs="Times New Roman"/>
          <w:color w:val="FF0000"/>
          <w:sz w:val="20"/>
          <w:szCs w:val="20"/>
        </w:rPr>
        <w:t>e sua</w:t>
      </w:r>
      <w:r w:rsidR="4C6C0075" w:rsidRPr="006C0EE2">
        <w:rPr>
          <w:rFonts w:ascii="Times New Roman" w:eastAsiaTheme="minorEastAsia" w:hAnsi="Times New Roman" w:cs="Times New Roman"/>
          <w:color w:val="FF0000"/>
          <w:sz w:val="20"/>
          <w:szCs w:val="20"/>
        </w:rPr>
        <w:t xml:space="preserve"> desnecessidade</w:t>
      </w:r>
      <w:r w:rsidR="55049A54" w:rsidRPr="006C0EE2">
        <w:rPr>
          <w:rFonts w:ascii="Times New Roman" w:eastAsiaTheme="minorEastAsia" w:hAnsi="Times New Roman" w:cs="Times New Roman"/>
          <w:color w:val="FF0000"/>
          <w:sz w:val="20"/>
          <w:szCs w:val="20"/>
        </w:rPr>
        <w:t xml:space="preserve"> ou</w:t>
      </w:r>
      <w:r w:rsidR="4E206D72" w:rsidRPr="006C0EE2">
        <w:rPr>
          <w:rFonts w:ascii="Times New Roman" w:eastAsiaTheme="minorEastAsia" w:hAnsi="Times New Roman" w:cs="Times New Roman"/>
          <w:color w:val="FF0000"/>
          <w:sz w:val="20"/>
          <w:szCs w:val="20"/>
        </w:rPr>
        <w:t xml:space="preserve"> a</w:t>
      </w:r>
      <w:r w:rsidR="55049A54" w:rsidRPr="006C0EE2">
        <w:rPr>
          <w:rFonts w:ascii="Times New Roman" w:eastAsiaTheme="minorEastAsia" w:hAnsi="Times New Roman" w:cs="Times New Roman"/>
          <w:color w:val="FF0000"/>
          <w:sz w:val="20"/>
          <w:szCs w:val="20"/>
        </w:rPr>
        <w:t xml:space="preserve"> </w:t>
      </w:r>
      <w:r w:rsidR="5CC001EB" w:rsidRPr="006C0EE2">
        <w:rPr>
          <w:rFonts w:ascii="Times New Roman" w:eastAsiaTheme="minorEastAsia" w:hAnsi="Times New Roman" w:cs="Times New Roman"/>
          <w:color w:val="FF0000"/>
          <w:sz w:val="20"/>
          <w:szCs w:val="20"/>
        </w:rPr>
        <w:t xml:space="preserve">justificativa </w:t>
      </w:r>
      <w:r w:rsidR="4DAEBC1E" w:rsidRPr="006C0EE2">
        <w:rPr>
          <w:rFonts w:ascii="Times New Roman" w:eastAsiaTheme="minorEastAsia" w:hAnsi="Times New Roman" w:cs="Times New Roman"/>
          <w:color w:val="FF0000"/>
          <w:sz w:val="20"/>
          <w:szCs w:val="20"/>
        </w:rPr>
        <w:t xml:space="preserve">para atribuir a obrigação de sua elaboração </w:t>
      </w:r>
      <w:r w:rsidR="6C7255E5" w:rsidRPr="006C0EE2">
        <w:rPr>
          <w:rFonts w:ascii="Times New Roman" w:eastAsiaTheme="minorEastAsia" w:hAnsi="Times New Roman" w:cs="Times New Roman"/>
          <w:color w:val="FF0000"/>
          <w:sz w:val="20"/>
          <w:szCs w:val="20"/>
        </w:rPr>
        <w:t>pelo</w:t>
      </w:r>
      <w:r w:rsidR="4DAEBC1E" w:rsidRPr="006C0EE2">
        <w:rPr>
          <w:rFonts w:ascii="Times New Roman" w:eastAsiaTheme="minorEastAsia" w:hAnsi="Times New Roman" w:cs="Times New Roman"/>
          <w:color w:val="FF0000"/>
          <w:sz w:val="20"/>
          <w:szCs w:val="20"/>
        </w:rPr>
        <w:t xml:space="preserve"> contratado.</w:t>
      </w:r>
    </w:p>
    <w:p w14:paraId="00F37708" w14:textId="4DAFEB3D" w:rsidR="3BB4FC71" w:rsidRPr="006C0EE2" w:rsidRDefault="3BB4FC71" w:rsidP="00952A35">
      <w:pPr>
        <w:tabs>
          <w:tab w:val="left" w:pos="2552"/>
        </w:tabs>
        <w:spacing w:after="0" w:line="240" w:lineRule="auto"/>
        <w:ind w:left="2268"/>
        <w:jc w:val="both"/>
        <w:rPr>
          <w:rFonts w:ascii="Times New Roman" w:eastAsiaTheme="minorEastAsia" w:hAnsi="Times New Roman" w:cs="Times New Roman"/>
          <w:color w:val="FF0000"/>
          <w:sz w:val="20"/>
          <w:szCs w:val="20"/>
        </w:rPr>
      </w:pPr>
    </w:p>
    <w:p w14:paraId="796D112E" w14:textId="7FCF6024" w:rsidR="000F224A" w:rsidRDefault="2017FE27" w:rsidP="000F224A">
      <w:pPr>
        <w:pStyle w:val="PargrafodaLista"/>
        <w:numPr>
          <w:ilvl w:val="0"/>
          <w:numId w:val="23"/>
        </w:numPr>
        <w:tabs>
          <w:tab w:val="left" w:pos="2552"/>
        </w:tabs>
        <w:spacing w:after="0" w:line="240" w:lineRule="auto"/>
        <w:ind w:left="2268" w:firstLine="0"/>
        <w:jc w:val="both"/>
        <w:rPr>
          <w:rFonts w:ascii="Times New Roman" w:eastAsiaTheme="minorEastAsia" w:hAnsi="Times New Roman" w:cs="Times New Roman"/>
          <w:color w:val="FF0000"/>
          <w:sz w:val="20"/>
          <w:szCs w:val="20"/>
        </w:rPr>
      </w:pPr>
      <w:r w:rsidRPr="000C0FA3">
        <w:rPr>
          <w:rFonts w:ascii="Times New Roman" w:eastAsiaTheme="minorEastAsia" w:hAnsi="Times New Roman" w:cs="Times New Roman"/>
          <w:color w:val="FF0000"/>
          <w:sz w:val="20"/>
          <w:szCs w:val="20"/>
          <w:u w:val="single"/>
        </w:rPr>
        <w:t>caso</w:t>
      </w:r>
      <w:r w:rsidR="785E74A6" w:rsidRPr="000C0FA3">
        <w:rPr>
          <w:rFonts w:ascii="Times New Roman" w:eastAsiaTheme="minorEastAsia" w:hAnsi="Times New Roman" w:cs="Times New Roman"/>
          <w:color w:val="FF0000"/>
          <w:sz w:val="20"/>
          <w:szCs w:val="20"/>
          <w:u w:val="single"/>
        </w:rPr>
        <w:t xml:space="preserve"> seja escolhido </w:t>
      </w:r>
      <w:r w:rsidRPr="000C0FA3">
        <w:rPr>
          <w:rFonts w:ascii="Times New Roman" w:eastAsiaTheme="minorEastAsia" w:hAnsi="Times New Roman" w:cs="Times New Roman"/>
          <w:color w:val="FF0000"/>
          <w:sz w:val="20"/>
          <w:szCs w:val="20"/>
          <w:u w:val="single"/>
        </w:rPr>
        <w:t xml:space="preserve">o </w:t>
      </w:r>
      <w:r w:rsidR="476AA68C" w:rsidRPr="000C0FA3">
        <w:rPr>
          <w:rFonts w:ascii="Times New Roman" w:eastAsiaTheme="minorEastAsia" w:hAnsi="Times New Roman" w:cs="Times New Roman"/>
          <w:color w:val="FF0000"/>
          <w:sz w:val="20"/>
          <w:szCs w:val="20"/>
          <w:u w:val="single"/>
        </w:rPr>
        <w:t>regime de execução de empreitada por preço global</w:t>
      </w:r>
      <w:r w:rsidR="2E9B8B8D" w:rsidRPr="006C0EE2">
        <w:rPr>
          <w:rFonts w:ascii="Times New Roman" w:eastAsiaTheme="minorEastAsia" w:hAnsi="Times New Roman" w:cs="Times New Roman"/>
          <w:color w:val="FF0000"/>
          <w:sz w:val="20"/>
          <w:szCs w:val="20"/>
        </w:rPr>
        <w:t>,</w:t>
      </w:r>
      <w:r w:rsidR="2E9B8B8D" w:rsidRPr="006C0EE2">
        <w:rPr>
          <w:rFonts w:ascii="Times New Roman" w:eastAsiaTheme="minorEastAsia" w:hAnsi="Times New Roman" w:cs="Times New Roman"/>
          <w:b/>
          <w:bCs/>
          <w:color w:val="FF0000"/>
          <w:sz w:val="20"/>
          <w:szCs w:val="20"/>
        </w:rPr>
        <w:t xml:space="preserve"> </w:t>
      </w:r>
      <w:r w:rsidR="190C020E" w:rsidRPr="006C0EE2">
        <w:rPr>
          <w:rFonts w:ascii="Times New Roman" w:eastAsiaTheme="minorEastAsia" w:hAnsi="Times New Roman" w:cs="Times New Roman"/>
          <w:color w:val="FF0000"/>
          <w:sz w:val="20"/>
          <w:szCs w:val="20"/>
        </w:rPr>
        <w:t>deve ser licitado</w:t>
      </w:r>
      <w:r w:rsidR="476AA68C" w:rsidRPr="006C0EE2">
        <w:rPr>
          <w:rFonts w:ascii="Times New Roman" w:eastAsiaTheme="minorEastAsia" w:hAnsi="Times New Roman" w:cs="Times New Roman"/>
          <w:color w:val="FF0000"/>
          <w:sz w:val="20"/>
          <w:szCs w:val="20"/>
        </w:rPr>
        <w:t xml:space="preserve"> por preço global</w:t>
      </w:r>
      <w:r w:rsidR="590668D3" w:rsidRPr="006C0EE2">
        <w:rPr>
          <w:rFonts w:ascii="Times New Roman" w:eastAsiaTheme="minorEastAsia" w:hAnsi="Times New Roman" w:cs="Times New Roman"/>
          <w:color w:val="FF0000"/>
          <w:sz w:val="20"/>
          <w:szCs w:val="20"/>
        </w:rPr>
        <w:t xml:space="preserve">, com </w:t>
      </w:r>
      <w:r w:rsidR="6F41A8A5" w:rsidRPr="006C0EE2">
        <w:rPr>
          <w:rFonts w:ascii="Times New Roman" w:eastAsiaTheme="minorEastAsia" w:hAnsi="Times New Roman" w:cs="Times New Roman"/>
          <w:color w:val="FF0000"/>
          <w:sz w:val="20"/>
          <w:szCs w:val="20"/>
        </w:rPr>
        <w:t>a</w:t>
      </w:r>
      <w:r w:rsidR="476AA68C" w:rsidRPr="006C0EE2">
        <w:rPr>
          <w:rFonts w:ascii="Times New Roman" w:eastAsiaTheme="minorEastAsia" w:hAnsi="Times New Roman" w:cs="Times New Roman"/>
          <w:color w:val="FF0000"/>
          <w:sz w:val="20"/>
          <w:szCs w:val="20"/>
        </w:rPr>
        <w:t xml:space="preserve"> sistemática de medição e pagamento associada à execução de etapas do cronograma físico-financeiro vinculadas ao cumprimento de metas de resultado, vedada a adoção de remuneração por preços unitários ou referenciada pela execução de quantidades de itens unitários (art. 46, § 9º, da Lei n.</w:t>
      </w:r>
      <w:r w:rsidR="007066C3" w:rsidRPr="006C0EE2">
        <w:rPr>
          <w:rFonts w:ascii="Times New Roman" w:eastAsiaTheme="minorEastAsia" w:hAnsi="Times New Roman" w:cs="Times New Roman"/>
          <w:color w:val="FF0000"/>
          <w:sz w:val="20"/>
          <w:szCs w:val="20"/>
        </w:rPr>
        <w:t>º</w:t>
      </w:r>
      <w:r w:rsidR="476AA68C" w:rsidRPr="006C0EE2">
        <w:rPr>
          <w:rFonts w:ascii="Times New Roman" w:eastAsiaTheme="minorEastAsia" w:hAnsi="Times New Roman" w:cs="Times New Roman"/>
          <w:color w:val="FF0000"/>
          <w:sz w:val="20"/>
          <w:szCs w:val="20"/>
        </w:rPr>
        <w:t xml:space="preserve"> 14.133</w:t>
      </w:r>
      <w:r w:rsidR="00AC36E0" w:rsidRPr="006C0EE2">
        <w:rPr>
          <w:rFonts w:ascii="Times New Roman" w:eastAsiaTheme="minorEastAsia" w:hAnsi="Times New Roman" w:cs="Times New Roman"/>
          <w:color w:val="FF0000"/>
          <w:sz w:val="20"/>
          <w:szCs w:val="20"/>
        </w:rPr>
        <w:t xml:space="preserve">, de </w:t>
      </w:r>
      <w:r w:rsidR="476AA68C" w:rsidRPr="006C0EE2">
        <w:rPr>
          <w:rFonts w:ascii="Times New Roman" w:eastAsiaTheme="minorEastAsia" w:hAnsi="Times New Roman" w:cs="Times New Roman"/>
          <w:color w:val="FF0000"/>
          <w:sz w:val="20"/>
          <w:szCs w:val="20"/>
        </w:rPr>
        <w:t>2021)</w:t>
      </w:r>
      <w:r w:rsidR="6B446298" w:rsidRPr="006C0EE2">
        <w:rPr>
          <w:rFonts w:ascii="Times New Roman" w:eastAsiaTheme="minorEastAsia" w:hAnsi="Times New Roman" w:cs="Times New Roman"/>
          <w:color w:val="FF0000"/>
          <w:sz w:val="20"/>
          <w:szCs w:val="20"/>
        </w:rPr>
        <w:t>, o que deve ser observado pela Administração tanto na fase da seleção do fornecedor, bem como durante a execução contratual</w:t>
      </w:r>
      <w:r w:rsidR="0CF806F5" w:rsidRPr="006C0EE2">
        <w:rPr>
          <w:rFonts w:ascii="Times New Roman" w:eastAsiaTheme="minorEastAsia" w:hAnsi="Times New Roman" w:cs="Times New Roman"/>
          <w:color w:val="FF0000"/>
          <w:sz w:val="20"/>
          <w:szCs w:val="20"/>
        </w:rPr>
        <w:t>, com os decorrentes ajustes que se fizerem necessários.</w:t>
      </w:r>
    </w:p>
    <w:p w14:paraId="51A8407C" w14:textId="77777777" w:rsidR="000F224A" w:rsidRPr="000F224A" w:rsidRDefault="000F224A" w:rsidP="000F224A">
      <w:pPr>
        <w:tabs>
          <w:tab w:val="left" w:pos="2552"/>
        </w:tabs>
        <w:spacing w:after="0" w:line="240" w:lineRule="auto"/>
        <w:jc w:val="both"/>
        <w:rPr>
          <w:rFonts w:ascii="Times New Roman" w:eastAsiaTheme="minorEastAsia" w:hAnsi="Times New Roman" w:cs="Times New Roman"/>
          <w:color w:val="FF0000"/>
          <w:sz w:val="20"/>
          <w:szCs w:val="20"/>
        </w:rPr>
      </w:pPr>
    </w:p>
    <w:p w14:paraId="1BDC3329" w14:textId="4C4E7861" w:rsidR="004423CE" w:rsidRPr="006C0EE2" w:rsidRDefault="21327A29" w:rsidP="00952A35">
      <w:pPr>
        <w:pStyle w:val="PargrafodaLista"/>
        <w:numPr>
          <w:ilvl w:val="0"/>
          <w:numId w:val="23"/>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6C0EE2">
        <w:rPr>
          <w:rFonts w:ascii="Times New Roman" w:eastAsia="Calibri" w:hAnsi="Times New Roman" w:cs="Times New Roman"/>
          <w:color w:val="FF0000"/>
          <w:sz w:val="20"/>
          <w:szCs w:val="20"/>
          <w:u w:val="single"/>
        </w:rPr>
        <w:t>no caso de serviço continuado</w:t>
      </w:r>
      <w:r w:rsidRPr="006C0EE2">
        <w:rPr>
          <w:rFonts w:ascii="Times New Roman" w:eastAsia="Calibri" w:hAnsi="Times New Roman" w:cs="Times New Roman"/>
          <w:color w:val="FF0000"/>
          <w:sz w:val="20"/>
          <w:szCs w:val="20"/>
        </w:rPr>
        <w:t>, item XXX: a respeito da fixação da vigência em 05 (cinco) anos, o art. 106 da Lei n.</w:t>
      </w:r>
      <w:r w:rsidR="00725EBD" w:rsidRPr="006C0EE2">
        <w:rPr>
          <w:rFonts w:ascii="Times New Roman" w:eastAsia="Calibri" w:hAnsi="Times New Roman" w:cs="Times New Roman"/>
          <w:color w:val="FF0000"/>
          <w:sz w:val="20"/>
          <w:szCs w:val="20"/>
        </w:rPr>
        <w:t>º</w:t>
      </w:r>
      <w:r w:rsidRPr="006C0EE2">
        <w:rPr>
          <w:rFonts w:ascii="Times New Roman" w:eastAsia="Calibri" w:hAnsi="Times New Roman" w:cs="Times New Roman"/>
          <w:color w:val="FF0000"/>
          <w:sz w:val="20"/>
          <w:szCs w:val="20"/>
        </w:rPr>
        <w:t xml:space="preserve"> 14.133</w:t>
      </w:r>
      <w:r w:rsidR="009638B2" w:rsidRPr="006C0EE2">
        <w:rPr>
          <w:rFonts w:ascii="Times New Roman" w:eastAsia="Calibri" w:hAnsi="Times New Roman" w:cs="Times New Roman"/>
          <w:color w:val="FF0000"/>
          <w:sz w:val="20"/>
          <w:szCs w:val="20"/>
        </w:rPr>
        <w:t xml:space="preserve">, de </w:t>
      </w:r>
      <w:r w:rsidRPr="006C0EE2">
        <w:rPr>
          <w:rFonts w:ascii="Times New Roman" w:eastAsia="Calibri" w:hAnsi="Times New Roman" w:cs="Times New Roman"/>
          <w:color w:val="FF0000"/>
          <w:sz w:val="20"/>
          <w:szCs w:val="20"/>
        </w:rPr>
        <w:t>2021</w:t>
      </w:r>
      <w:r w:rsidR="00893372" w:rsidRPr="006C0EE2">
        <w:rPr>
          <w:rFonts w:ascii="Times New Roman" w:eastAsia="Calibri" w:hAnsi="Times New Roman" w:cs="Times New Roman"/>
          <w:color w:val="FF0000"/>
          <w:sz w:val="20"/>
          <w:szCs w:val="20"/>
        </w:rPr>
        <w:t xml:space="preserve">, </w:t>
      </w:r>
      <w:r w:rsidRPr="006C0EE2">
        <w:rPr>
          <w:rFonts w:ascii="Times New Roman" w:eastAsia="Calibri" w:hAnsi="Times New Roman" w:cs="Times New Roman"/>
          <w:color w:val="FF0000"/>
          <w:sz w:val="20"/>
          <w:szCs w:val="20"/>
        </w:rPr>
        <w:t>estabelece as seguintes diretrizes, que devem ser observadas pelo gestor:</w:t>
      </w:r>
    </w:p>
    <w:p w14:paraId="021729A1" w14:textId="2C104880" w:rsidR="76E478C8" w:rsidRPr="00271BE3" w:rsidRDefault="76E478C8" w:rsidP="00952A35">
      <w:pPr>
        <w:tabs>
          <w:tab w:val="left" w:pos="2552"/>
        </w:tabs>
        <w:spacing w:after="0" w:line="240" w:lineRule="auto"/>
        <w:jc w:val="both"/>
        <w:rPr>
          <w:rFonts w:ascii="Times New Roman" w:eastAsia="Calibri" w:hAnsi="Times New Roman" w:cs="Times New Roman"/>
          <w:i/>
          <w:iCs/>
          <w:color w:val="FF0000"/>
          <w:sz w:val="24"/>
          <w:szCs w:val="24"/>
        </w:rPr>
      </w:pPr>
    </w:p>
    <w:p w14:paraId="43E68D75" w14:textId="442D8320" w:rsidR="004423CE" w:rsidRPr="00824001" w:rsidRDefault="21327A29" w:rsidP="00952A35">
      <w:pPr>
        <w:tabs>
          <w:tab w:val="left" w:pos="2552"/>
        </w:tabs>
        <w:spacing w:after="0" w:line="240" w:lineRule="auto"/>
        <w:ind w:left="2268"/>
        <w:jc w:val="both"/>
        <w:rPr>
          <w:rFonts w:ascii="Times New Roman" w:eastAsia="Calibri" w:hAnsi="Times New Roman" w:cs="Times New Roman"/>
          <w:color w:val="FF0000"/>
          <w:sz w:val="20"/>
          <w:szCs w:val="20"/>
        </w:rPr>
      </w:pPr>
      <w:r w:rsidRPr="00824001">
        <w:rPr>
          <w:rFonts w:ascii="Times New Roman" w:eastAsia="Calibri" w:hAnsi="Times New Roman" w:cs="Times New Roman"/>
          <w:color w:val="FF0000"/>
          <w:sz w:val="20"/>
          <w:szCs w:val="20"/>
        </w:rPr>
        <w:t>I - a autoridade competente do órgão ou entidade contratante deverá atestar a maior vantagem econômica vislumbrada em razão da contratação plurianual;</w:t>
      </w:r>
    </w:p>
    <w:p w14:paraId="2586AE85" w14:textId="1324BFB1" w:rsidR="004423CE" w:rsidRPr="00824001" w:rsidRDefault="21327A29" w:rsidP="00952A35">
      <w:pPr>
        <w:tabs>
          <w:tab w:val="left" w:pos="2552"/>
        </w:tabs>
        <w:spacing w:after="0" w:line="240" w:lineRule="auto"/>
        <w:ind w:left="2268"/>
        <w:jc w:val="both"/>
        <w:rPr>
          <w:rFonts w:ascii="Times New Roman" w:eastAsia="Calibri" w:hAnsi="Times New Roman" w:cs="Times New Roman"/>
          <w:color w:val="FF0000"/>
          <w:sz w:val="20"/>
          <w:szCs w:val="20"/>
        </w:rPr>
      </w:pPr>
      <w:r w:rsidRPr="00824001">
        <w:rPr>
          <w:rFonts w:ascii="Times New Roman" w:eastAsia="Calibri" w:hAnsi="Times New Roman" w:cs="Times New Roman"/>
          <w:color w:val="FF0000"/>
          <w:sz w:val="20"/>
          <w:szCs w:val="20"/>
        </w:rPr>
        <w:t>II - a Administração deverá atestar, no início da contratação e de cada exercício, a existência de créditos orçamentários vinculados à contratação e a vantagem em sua manutenção;</w:t>
      </w:r>
    </w:p>
    <w:p w14:paraId="133AF808" w14:textId="34877111" w:rsidR="000F224A" w:rsidRDefault="21327A29" w:rsidP="008A6DA8">
      <w:pPr>
        <w:tabs>
          <w:tab w:val="left" w:pos="2552"/>
        </w:tabs>
        <w:spacing w:after="0" w:line="240" w:lineRule="auto"/>
        <w:ind w:left="2268"/>
        <w:jc w:val="both"/>
        <w:rPr>
          <w:rFonts w:ascii="Times New Roman" w:eastAsia="Calibri" w:hAnsi="Times New Roman" w:cs="Times New Roman"/>
          <w:color w:val="FF0000"/>
          <w:sz w:val="20"/>
          <w:szCs w:val="20"/>
        </w:rPr>
      </w:pPr>
      <w:r w:rsidRPr="00824001">
        <w:rPr>
          <w:rFonts w:ascii="Times New Roman" w:eastAsia="Calibri" w:hAnsi="Times New Roman" w:cs="Times New Roman"/>
          <w:color w:val="FF0000"/>
          <w:sz w:val="20"/>
          <w:szCs w:val="20"/>
        </w:rPr>
        <w:t>III - a Administração terá a opção de extinguir o contrato, sem ônus, quando não dispuser de créditos orçamentários para sua continuidade ou quando entender que o contrato não mais lhe oferece vantagem.</w:t>
      </w:r>
    </w:p>
    <w:p w14:paraId="4B097483" w14:textId="77777777" w:rsidR="008A6DA8" w:rsidRDefault="008A6DA8" w:rsidP="008A6DA8">
      <w:pPr>
        <w:tabs>
          <w:tab w:val="left" w:pos="2552"/>
        </w:tabs>
        <w:spacing w:after="0" w:line="240" w:lineRule="auto"/>
        <w:ind w:left="2268"/>
        <w:jc w:val="both"/>
        <w:rPr>
          <w:rFonts w:ascii="Times New Roman" w:eastAsia="Calibri" w:hAnsi="Times New Roman" w:cs="Times New Roman"/>
          <w:color w:val="FF0000"/>
          <w:sz w:val="20"/>
          <w:szCs w:val="20"/>
        </w:rPr>
      </w:pPr>
    </w:p>
    <w:p w14:paraId="7E95BFA8" w14:textId="51A071CF" w:rsidR="004423CE" w:rsidRPr="006C0EE2" w:rsidRDefault="21327A29" w:rsidP="00952A35">
      <w:pPr>
        <w:pStyle w:val="PargrafodaLista"/>
        <w:numPr>
          <w:ilvl w:val="0"/>
          <w:numId w:val="23"/>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6C0EE2">
        <w:rPr>
          <w:rFonts w:ascii="Times New Roman" w:eastAsia="Calibri" w:hAnsi="Times New Roman" w:cs="Times New Roman"/>
          <w:color w:val="FF0000"/>
          <w:sz w:val="20"/>
          <w:szCs w:val="20"/>
        </w:rPr>
        <w:lastRenderedPageBreak/>
        <w:t>deve haver indicação de qual será o regime de execução do contrato, cláusula obrigatória, nos termos do art. 92, IV, da Lei n.</w:t>
      </w:r>
      <w:r w:rsidR="00F151FF" w:rsidRPr="006C0EE2">
        <w:rPr>
          <w:rFonts w:ascii="Times New Roman" w:eastAsia="Calibri" w:hAnsi="Times New Roman" w:cs="Times New Roman"/>
          <w:color w:val="FF0000"/>
          <w:sz w:val="20"/>
          <w:szCs w:val="20"/>
        </w:rPr>
        <w:t>º</w:t>
      </w:r>
      <w:r w:rsidRPr="006C0EE2">
        <w:rPr>
          <w:rFonts w:ascii="Times New Roman" w:eastAsia="Calibri" w:hAnsi="Times New Roman" w:cs="Times New Roman"/>
          <w:color w:val="FF0000"/>
          <w:sz w:val="20"/>
          <w:szCs w:val="20"/>
        </w:rPr>
        <w:t xml:space="preserve"> 14.133</w:t>
      </w:r>
      <w:r w:rsidR="008A21F9" w:rsidRPr="006C0EE2">
        <w:rPr>
          <w:rFonts w:ascii="Times New Roman" w:eastAsia="Calibri" w:hAnsi="Times New Roman" w:cs="Times New Roman"/>
          <w:color w:val="FF0000"/>
          <w:sz w:val="20"/>
          <w:szCs w:val="20"/>
        </w:rPr>
        <w:t>, de 20</w:t>
      </w:r>
      <w:r w:rsidRPr="006C0EE2">
        <w:rPr>
          <w:rFonts w:ascii="Times New Roman" w:eastAsia="Calibri" w:hAnsi="Times New Roman" w:cs="Times New Roman"/>
          <w:color w:val="FF0000"/>
          <w:sz w:val="20"/>
          <w:szCs w:val="20"/>
        </w:rPr>
        <w:t xml:space="preserve">21. Verifica-se que a minuta de contrato remete ao TR (Cláusula </w:t>
      </w:r>
      <w:proofErr w:type="spellStart"/>
      <w:r w:rsidR="4517392F" w:rsidRPr="006C0EE2">
        <w:rPr>
          <w:rFonts w:ascii="Times New Roman" w:eastAsia="Calibri" w:hAnsi="Times New Roman" w:cs="Times New Roman"/>
          <w:color w:val="FF0000"/>
          <w:sz w:val="20"/>
          <w:szCs w:val="20"/>
        </w:rPr>
        <w:t>xx</w:t>
      </w:r>
      <w:r w:rsidRPr="006C0EE2">
        <w:rPr>
          <w:rFonts w:ascii="Times New Roman" w:eastAsia="Calibri" w:hAnsi="Times New Roman" w:cs="Times New Roman"/>
          <w:color w:val="FF0000"/>
          <w:sz w:val="20"/>
          <w:szCs w:val="20"/>
        </w:rPr>
        <w:t>xx</w:t>
      </w:r>
      <w:proofErr w:type="spellEnd"/>
      <w:r w:rsidRPr="006C0EE2">
        <w:rPr>
          <w:rFonts w:ascii="Times New Roman" w:eastAsia="Calibri" w:hAnsi="Times New Roman" w:cs="Times New Roman"/>
          <w:color w:val="FF0000"/>
          <w:sz w:val="20"/>
          <w:szCs w:val="20"/>
        </w:rPr>
        <w:t>), porém, o TR é omisso no ponto. Recomenda-se, assim, utilizar a seguinte redação, fazendo-se a adaptação necessária conforme o caso concreto:</w:t>
      </w:r>
    </w:p>
    <w:p w14:paraId="3D5E11D7" w14:textId="252D8EEE" w:rsidR="76E478C8" w:rsidRPr="00271BE3" w:rsidRDefault="76E478C8" w:rsidP="00952A35">
      <w:pPr>
        <w:tabs>
          <w:tab w:val="left" w:pos="2552"/>
        </w:tabs>
        <w:spacing w:after="0" w:line="240" w:lineRule="auto"/>
        <w:jc w:val="both"/>
        <w:rPr>
          <w:rFonts w:ascii="Times New Roman" w:eastAsia="Calibri" w:hAnsi="Times New Roman" w:cs="Times New Roman"/>
          <w:i/>
          <w:iCs/>
          <w:color w:val="FF0000"/>
          <w:sz w:val="24"/>
          <w:szCs w:val="24"/>
        </w:rPr>
      </w:pPr>
    </w:p>
    <w:p w14:paraId="1ECB3F17" w14:textId="31318E05" w:rsidR="004423CE" w:rsidRPr="000F4F07" w:rsidRDefault="09B5A7B6" w:rsidP="00DA5377">
      <w:pPr>
        <w:tabs>
          <w:tab w:val="left" w:pos="2552"/>
        </w:tabs>
        <w:spacing w:after="0" w:line="240" w:lineRule="auto"/>
        <w:ind w:left="2835"/>
        <w:jc w:val="both"/>
        <w:rPr>
          <w:rFonts w:ascii="Times New Roman" w:eastAsia="Calibri" w:hAnsi="Times New Roman" w:cs="Times New Roman"/>
          <w:i/>
          <w:iCs/>
          <w:color w:val="FF0000"/>
          <w:sz w:val="20"/>
          <w:szCs w:val="20"/>
        </w:rPr>
      </w:pPr>
      <w:r w:rsidRPr="000F4F07">
        <w:rPr>
          <w:rFonts w:ascii="Times New Roman" w:eastAsia="Calibri" w:hAnsi="Times New Roman" w:cs="Times New Roman"/>
          <w:i/>
          <w:iCs/>
          <w:color w:val="FF0000"/>
          <w:sz w:val="20"/>
          <w:szCs w:val="20"/>
        </w:rPr>
        <w:t>1</w:t>
      </w:r>
      <w:r w:rsidR="21327A29" w:rsidRPr="000F4F07">
        <w:rPr>
          <w:rFonts w:ascii="Times New Roman" w:eastAsia="Calibri" w:hAnsi="Times New Roman" w:cs="Times New Roman"/>
          <w:i/>
          <w:iCs/>
          <w:color w:val="FF0000"/>
          <w:sz w:val="20"/>
          <w:szCs w:val="20"/>
        </w:rPr>
        <w:t>.X. A presente contratação adotará como regime de execução a ..</w:t>
      </w:r>
      <w:r w:rsidR="5CC14255" w:rsidRPr="000F4F07">
        <w:rPr>
          <w:rFonts w:ascii="Times New Roman" w:eastAsia="Calibri" w:hAnsi="Times New Roman" w:cs="Times New Roman"/>
          <w:i/>
          <w:iCs/>
          <w:color w:val="FF0000"/>
          <w:sz w:val="20"/>
          <w:szCs w:val="20"/>
        </w:rPr>
        <w:t>..............</w:t>
      </w:r>
      <w:r w:rsidR="21327A29" w:rsidRPr="000F4F07">
        <w:rPr>
          <w:rFonts w:ascii="Times New Roman" w:eastAsia="Calibri" w:hAnsi="Times New Roman" w:cs="Times New Roman"/>
          <w:i/>
          <w:iCs/>
          <w:color w:val="FF0000"/>
          <w:sz w:val="20"/>
          <w:szCs w:val="20"/>
        </w:rPr>
        <w:t>. (Empreitada por Preço Unitário/Empreitada por Preço Global/Contratação por Tarefa/Empreitada Integral)</w:t>
      </w:r>
      <w:r w:rsidR="00290579" w:rsidRPr="000F4F07">
        <w:rPr>
          <w:rFonts w:ascii="Times New Roman" w:eastAsia="Calibri" w:hAnsi="Times New Roman" w:cs="Times New Roman"/>
          <w:i/>
          <w:iCs/>
          <w:color w:val="FF0000"/>
          <w:sz w:val="20"/>
          <w:szCs w:val="20"/>
        </w:rPr>
        <w:t>.</w:t>
      </w:r>
    </w:p>
    <w:p w14:paraId="0B5BAE73" w14:textId="0112C136" w:rsidR="76E478C8" w:rsidRPr="00271BE3" w:rsidRDefault="76E478C8" w:rsidP="00952A35">
      <w:pPr>
        <w:tabs>
          <w:tab w:val="left" w:pos="2552"/>
        </w:tabs>
        <w:spacing w:after="0" w:line="240" w:lineRule="auto"/>
        <w:jc w:val="both"/>
        <w:rPr>
          <w:rFonts w:ascii="Times New Roman" w:eastAsia="Calibri" w:hAnsi="Times New Roman" w:cs="Times New Roman"/>
          <w:color w:val="FF0000"/>
          <w:sz w:val="24"/>
          <w:szCs w:val="24"/>
        </w:rPr>
      </w:pPr>
    </w:p>
    <w:p w14:paraId="0B72CEBB" w14:textId="25FA8B16" w:rsidR="004423CE" w:rsidRPr="006C0EE2" w:rsidRDefault="5EE4B7D3" w:rsidP="00952A35">
      <w:pPr>
        <w:pStyle w:val="PargrafodaLista"/>
        <w:numPr>
          <w:ilvl w:val="0"/>
          <w:numId w:val="23"/>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6C0EE2">
        <w:rPr>
          <w:rFonts w:ascii="Times New Roman" w:eastAsia="Calibri" w:hAnsi="Times New Roman" w:cs="Times New Roman"/>
          <w:color w:val="FF0000"/>
          <w:sz w:val="20"/>
          <w:szCs w:val="20"/>
        </w:rPr>
        <w:t>a</w:t>
      </w:r>
      <w:r w:rsidR="21327A29" w:rsidRPr="006C0EE2">
        <w:rPr>
          <w:rFonts w:ascii="Times New Roman" w:eastAsia="Calibri" w:hAnsi="Times New Roman" w:cs="Times New Roman"/>
          <w:color w:val="FF0000"/>
          <w:sz w:val="20"/>
          <w:szCs w:val="20"/>
        </w:rPr>
        <w:t xml:space="preserve"> escolha do regime de execução deverá ser justificada, conforme será abordado em tópico específico deste parecer.</w:t>
      </w:r>
    </w:p>
    <w:p w14:paraId="2EBEBDC5" w14:textId="4AE87F1F" w:rsidR="76E478C8" w:rsidRPr="00271BE3" w:rsidRDefault="76E478C8" w:rsidP="00952A35">
      <w:pPr>
        <w:tabs>
          <w:tab w:val="left" w:pos="2552"/>
        </w:tabs>
        <w:spacing w:after="0" w:line="240" w:lineRule="auto"/>
        <w:jc w:val="both"/>
        <w:rPr>
          <w:rFonts w:ascii="Times New Roman" w:eastAsia="Calibri" w:hAnsi="Times New Roman" w:cs="Times New Roman"/>
          <w:color w:val="FF0000"/>
          <w:sz w:val="24"/>
          <w:szCs w:val="24"/>
        </w:rPr>
      </w:pPr>
    </w:p>
    <w:p w14:paraId="5B2648BD" w14:textId="2EEBE8A7" w:rsidR="004423CE" w:rsidRPr="006C0EE2" w:rsidRDefault="21327A29" w:rsidP="00952A35">
      <w:pPr>
        <w:pStyle w:val="PargrafodaLista"/>
        <w:numPr>
          <w:ilvl w:val="0"/>
          <w:numId w:val="23"/>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6C0EE2">
        <w:rPr>
          <w:rFonts w:ascii="Times New Roman" w:eastAsia="Calibri" w:hAnsi="Times New Roman" w:cs="Times New Roman"/>
          <w:color w:val="FF0000"/>
          <w:sz w:val="20"/>
          <w:szCs w:val="20"/>
        </w:rPr>
        <w:t>recomenda-se que a Administração analise se as exigências de qualificação técnica/econômico-financeira dos itens XXX, guardam compatibilidade e proporcionalidade com as peculiaridades do objeto contratual a ser executado, aferidas por meio da análise da complexidade do objeto, da essencialidade do serviço e dos riscos decorrentes de sua paralisação em função da eventual incapacidade econômica/técnica da contratada em suportar as obrigações contratuais (art. 37, XXI, da Constituição Federal e art. 70, III, da Lei nº 14.133</w:t>
      </w:r>
      <w:r w:rsidR="00522066" w:rsidRPr="006C0EE2">
        <w:rPr>
          <w:rFonts w:ascii="Times New Roman" w:eastAsia="Calibri" w:hAnsi="Times New Roman" w:cs="Times New Roman"/>
          <w:color w:val="FF0000"/>
          <w:sz w:val="20"/>
          <w:szCs w:val="20"/>
        </w:rPr>
        <w:t xml:space="preserve">, de </w:t>
      </w:r>
      <w:r w:rsidRPr="006C0EE2">
        <w:rPr>
          <w:rFonts w:ascii="Times New Roman" w:eastAsia="Calibri" w:hAnsi="Times New Roman" w:cs="Times New Roman"/>
          <w:color w:val="FF0000"/>
          <w:sz w:val="20"/>
          <w:szCs w:val="20"/>
        </w:rPr>
        <w:t xml:space="preserve">2021). Alerta-se que exigências de qualificação técnica/econômico-financeira excessivas vêm sendo reputadas como ilícitas pelos órgãos de controle, pois tendem a restringir </w:t>
      </w:r>
      <w:r w:rsidR="73C2C2F3" w:rsidRPr="006C0EE2">
        <w:rPr>
          <w:rFonts w:ascii="Times New Roman" w:eastAsia="Calibri" w:hAnsi="Times New Roman" w:cs="Times New Roman"/>
          <w:color w:val="FF0000"/>
          <w:sz w:val="20"/>
          <w:szCs w:val="20"/>
        </w:rPr>
        <w:t>a</w:t>
      </w:r>
      <w:r w:rsidRPr="006C0EE2">
        <w:rPr>
          <w:rFonts w:ascii="Times New Roman" w:eastAsia="Calibri" w:hAnsi="Times New Roman" w:cs="Times New Roman"/>
          <w:color w:val="FF0000"/>
          <w:sz w:val="20"/>
          <w:szCs w:val="20"/>
        </w:rPr>
        <w:t xml:space="preserve"> competitividade. Desse modo, sugere-se que seja detidamente avaliada e motivada essa exigência</w:t>
      </w:r>
      <w:r w:rsidR="663B5180" w:rsidRPr="006C0EE2">
        <w:rPr>
          <w:rFonts w:ascii="Times New Roman" w:eastAsia="Calibri" w:hAnsi="Times New Roman" w:cs="Times New Roman"/>
          <w:color w:val="FF0000"/>
          <w:sz w:val="20"/>
          <w:szCs w:val="20"/>
        </w:rPr>
        <w:t>.</w:t>
      </w:r>
    </w:p>
    <w:p w14:paraId="3122AF83" w14:textId="5CE3B63A" w:rsidR="76E478C8" w:rsidRPr="006C0EE2" w:rsidRDefault="76E478C8" w:rsidP="00952A35">
      <w:pPr>
        <w:tabs>
          <w:tab w:val="left" w:pos="2552"/>
        </w:tabs>
        <w:spacing w:after="0" w:line="240" w:lineRule="auto"/>
        <w:ind w:left="2268"/>
        <w:jc w:val="both"/>
        <w:rPr>
          <w:rFonts w:ascii="Times New Roman" w:eastAsia="Calibri" w:hAnsi="Times New Roman" w:cs="Times New Roman"/>
          <w:color w:val="FF0000"/>
          <w:sz w:val="20"/>
          <w:szCs w:val="20"/>
        </w:rPr>
      </w:pPr>
    </w:p>
    <w:p w14:paraId="59E48979" w14:textId="7531A02E" w:rsidR="004423CE" w:rsidRPr="006C0EE2" w:rsidRDefault="00517A5D" w:rsidP="00952A35">
      <w:pPr>
        <w:pStyle w:val="PargrafodaLista"/>
        <w:numPr>
          <w:ilvl w:val="0"/>
          <w:numId w:val="23"/>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6C0EE2">
        <w:rPr>
          <w:rFonts w:ascii="Times New Roman" w:eastAsia="Calibri" w:hAnsi="Times New Roman" w:cs="Times New Roman"/>
          <w:color w:val="FF0000"/>
          <w:sz w:val="20"/>
          <w:szCs w:val="20"/>
        </w:rPr>
        <w:t xml:space="preserve">a </w:t>
      </w:r>
      <w:r w:rsidR="21327A29" w:rsidRPr="006C0EE2">
        <w:rPr>
          <w:rFonts w:ascii="Times New Roman" w:eastAsia="Calibri" w:hAnsi="Times New Roman" w:cs="Times New Roman"/>
          <w:color w:val="FF0000"/>
          <w:sz w:val="20"/>
          <w:szCs w:val="20"/>
        </w:rPr>
        <w:t>exigência de atestados deve ser restrita às parcelas de maior relevância ou valor significativo do objeto da licitação, assim consideradas as que tenham valor individual igual ou superior a 4% (quatro por cento) do valor total estimado da contratação (art. 67, § 1º, da Lei nº 14.133</w:t>
      </w:r>
      <w:r w:rsidRPr="006C0EE2">
        <w:rPr>
          <w:rFonts w:ascii="Times New Roman" w:eastAsia="Calibri" w:hAnsi="Times New Roman" w:cs="Times New Roman"/>
          <w:color w:val="FF0000"/>
          <w:sz w:val="20"/>
          <w:szCs w:val="20"/>
        </w:rPr>
        <w:t xml:space="preserve">, de </w:t>
      </w:r>
      <w:r w:rsidR="21327A29" w:rsidRPr="006C0EE2">
        <w:rPr>
          <w:rFonts w:ascii="Times New Roman" w:eastAsia="Calibri" w:hAnsi="Times New Roman" w:cs="Times New Roman"/>
          <w:color w:val="FF0000"/>
          <w:sz w:val="20"/>
          <w:szCs w:val="20"/>
        </w:rPr>
        <w:t>2021)</w:t>
      </w:r>
      <w:r w:rsidR="591F75B7" w:rsidRPr="006C0EE2">
        <w:rPr>
          <w:rFonts w:ascii="Times New Roman" w:eastAsia="Calibri" w:hAnsi="Times New Roman" w:cs="Times New Roman"/>
          <w:color w:val="FF0000"/>
          <w:sz w:val="20"/>
          <w:szCs w:val="20"/>
        </w:rPr>
        <w:t>.</w:t>
      </w:r>
    </w:p>
    <w:p w14:paraId="1EDF3758" w14:textId="07BA8E45" w:rsidR="76E478C8" w:rsidRPr="006C0EE2" w:rsidRDefault="76E478C8" w:rsidP="00952A35">
      <w:pPr>
        <w:tabs>
          <w:tab w:val="left" w:pos="2552"/>
        </w:tabs>
        <w:spacing w:after="0" w:line="240" w:lineRule="auto"/>
        <w:ind w:left="2268"/>
        <w:jc w:val="both"/>
        <w:rPr>
          <w:rFonts w:ascii="Times New Roman" w:eastAsia="Calibri" w:hAnsi="Times New Roman" w:cs="Times New Roman"/>
          <w:color w:val="FF0000"/>
          <w:sz w:val="20"/>
          <w:szCs w:val="20"/>
        </w:rPr>
      </w:pPr>
    </w:p>
    <w:p w14:paraId="3BA614D4" w14:textId="514D213F" w:rsidR="008A6DA8" w:rsidRDefault="21327A29" w:rsidP="007A2C1A">
      <w:pPr>
        <w:pStyle w:val="PargrafodaLista"/>
        <w:numPr>
          <w:ilvl w:val="0"/>
          <w:numId w:val="23"/>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6C0EE2">
        <w:rPr>
          <w:rFonts w:ascii="Times New Roman" w:eastAsia="Calibri" w:hAnsi="Times New Roman" w:cs="Times New Roman"/>
          <w:color w:val="FF0000"/>
          <w:sz w:val="20"/>
          <w:szCs w:val="20"/>
        </w:rPr>
        <w:t>será admitida a exigência de atestados com quantidades mínimas de até 50% (cinquenta por cento) das parcelas de maior relevância ou valor significativo do objeto da licitação, vedadas limitações de tempo e de locais específicos relativas aos atestados (art. 67, § 2º, da Lei nº 14.133</w:t>
      </w:r>
      <w:r w:rsidR="00486B11" w:rsidRPr="006C0EE2">
        <w:rPr>
          <w:rFonts w:ascii="Times New Roman" w:eastAsia="Calibri" w:hAnsi="Times New Roman" w:cs="Times New Roman"/>
          <w:color w:val="FF0000"/>
          <w:sz w:val="20"/>
          <w:szCs w:val="20"/>
        </w:rPr>
        <w:t xml:space="preserve">, de </w:t>
      </w:r>
      <w:r w:rsidRPr="006C0EE2">
        <w:rPr>
          <w:rFonts w:ascii="Times New Roman" w:eastAsia="Calibri" w:hAnsi="Times New Roman" w:cs="Times New Roman"/>
          <w:color w:val="FF0000"/>
          <w:sz w:val="20"/>
          <w:szCs w:val="20"/>
        </w:rPr>
        <w:t>2021)</w:t>
      </w:r>
      <w:r w:rsidR="6BD28822" w:rsidRPr="006C0EE2">
        <w:rPr>
          <w:rFonts w:ascii="Times New Roman" w:eastAsia="Calibri" w:hAnsi="Times New Roman" w:cs="Times New Roman"/>
          <w:color w:val="FF0000"/>
          <w:sz w:val="20"/>
          <w:szCs w:val="20"/>
        </w:rPr>
        <w:t>.</w:t>
      </w:r>
    </w:p>
    <w:p w14:paraId="28740D5F" w14:textId="77777777" w:rsidR="007A2C1A" w:rsidRPr="007A2C1A" w:rsidRDefault="007A2C1A" w:rsidP="007A2C1A">
      <w:pPr>
        <w:tabs>
          <w:tab w:val="left" w:pos="2552"/>
        </w:tabs>
        <w:spacing w:after="0" w:line="240" w:lineRule="auto"/>
        <w:jc w:val="both"/>
        <w:rPr>
          <w:rFonts w:ascii="Times New Roman" w:eastAsia="Calibri" w:hAnsi="Times New Roman" w:cs="Times New Roman"/>
          <w:color w:val="FF0000"/>
          <w:sz w:val="20"/>
          <w:szCs w:val="20"/>
        </w:rPr>
      </w:pPr>
    </w:p>
    <w:p w14:paraId="3560F57A" w14:textId="44C7AF8A" w:rsidR="004423CE" w:rsidRPr="006C0EE2" w:rsidRDefault="21327A29" w:rsidP="00952A35">
      <w:pPr>
        <w:pStyle w:val="PargrafodaLista"/>
        <w:numPr>
          <w:ilvl w:val="0"/>
          <w:numId w:val="23"/>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6C0EE2">
        <w:rPr>
          <w:rFonts w:ascii="Times New Roman" w:eastAsia="Calibri" w:hAnsi="Times New Roman" w:cs="Times New Roman"/>
          <w:color w:val="FF0000"/>
          <w:sz w:val="20"/>
          <w:szCs w:val="20"/>
        </w:rPr>
        <w:t xml:space="preserve">em se tratando de serviços contínuos, </w:t>
      </w:r>
      <w:r w:rsidR="008000E0" w:rsidRPr="006C0EE2">
        <w:rPr>
          <w:rFonts w:ascii="Times New Roman" w:eastAsia="Calibri" w:hAnsi="Times New Roman" w:cs="Times New Roman"/>
          <w:color w:val="FF0000"/>
          <w:sz w:val="20"/>
          <w:szCs w:val="20"/>
        </w:rPr>
        <w:t xml:space="preserve">o edital </w:t>
      </w:r>
      <w:r w:rsidRPr="006C0EE2">
        <w:rPr>
          <w:rFonts w:ascii="Times New Roman" w:eastAsia="Calibri" w:hAnsi="Times New Roman" w:cs="Times New Roman"/>
          <w:color w:val="FF0000"/>
          <w:sz w:val="20"/>
          <w:szCs w:val="20"/>
        </w:rPr>
        <w:t>poderá exigir certidão ou atestado que demonstre que o licitante tenha executado serviços similares ao objeto da licitação, em períodos sucessivos ou não, por um prazo mínimo, que não poderá ser superior a 3 (três) anos</w:t>
      </w:r>
      <w:r w:rsidRPr="006C0EE2">
        <w:rPr>
          <w:rFonts w:ascii="Times New Roman" w:eastAsia="Calibri" w:hAnsi="Times New Roman" w:cs="Times New Roman"/>
          <w:b/>
          <w:bCs/>
          <w:color w:val="FF0000"/>
          <w:sz w:val="20"/>
          <w:szCs w:val="20"/>
        </w:rPr>
        <w:t xml:space="preserve"> </w:t>
      </w:r>
      <w:r w:rsidRPr="006C0EE2">
        <w:rPr>
          <w:rFonts w:ascii="Times New Roman" w:eastAsia="Calibri" w:hAnsi="Times New Roman" w:cs="Times New Roman"/>
          <w:color w:val="FF0000"/>
          <w:sz w:val="20"/>
          <w:szCs w:val="20"/>
        </w:rPr>
        <w:t>(art. 67, § 5º, da Lei nº 14.133</w:t>
      </w:r>
      <w:r w:rsidR="008000E0" w:rsidRPr="006C0EE2">
        <w:rPr>
          <w:rFonts w:ascii="Times New Roman" w:eastAsia="Calibri" w:hAnsi="Times New Roman" w:cs="Times New Roman"/>
          <w:color w:val="FF0000"/>
          <w:sz w:val="20"/>
          <w:szCs w:val="20"/>
        </w:rPr>
        <w:t xml:space="preserve">, de </w:t>
      </w:r>
      <w:r w:rsidRPr="006C0EE2">
        <w:rPr>
          <w:rFonts w:ascii="Times New Roman" w:eastAsia="Calibri" w:hAnsi="Times New Roman" w:cs="Times New Roman"/>
          <w:color w:val="FF0000"/>
          <w:sz w:val="20"/>
          <w:szCs w:val="20"/>
        </w:rPr>
        <w:t xml:space="preserve">2021). O prazo de exigência de experiência mínima deve ser justificado no estudo técnico preliminar e compatível com o objeto e prazo da presente contratação, não podendo ser superior a 3 (três) anos. Deve a Administração considerar a experiência pretérita do órgão contratante, que indique ser tal lapso indispensável para assegurar prestação do serviço em conformidade com as necessidades específicas do órgão, por força da sua essencialidade, quantitativo, risco, complexidade ou qualquer outra particularidade. Convém, também, que o órgão contratante sopese os reflexos da restrição no desenvolvimento do setor do serviço pretendido. </w:t>
      </w:r>
    </w:p>
    <w:p w14:paraId="52FE79B3" w14:textId="2967C001" w:rsidR="76E478C8" w:rsidRPr="006C0EE2" w:rsidRDefault="76E478C8" w:rsidP="00952A35">
      <w:pPr>
        <w:tabs>
          <w:tab w:val="left" w:pos="2552"/>
        </w:tabs>
        <w:spacing w:after="0" w:line="240" w:lineRule="auto"/>
        <w:ind w:left="2268"/>
        <w:jc w:val="both"/>
        <w:rPr>
          <w:rFonts w:ascii="Times New Roman" w:eastAsia="Calibri" w:hAnsi="Times New Roman" w:cs="Times New Roman"/>
          <w:color w:val="FF0000"/>
          <w:sz w:val="20"/>
          <w:szCs w:val="20"/>
        </w:rPr>
      </w:pPr>
    </w:p>
    <w:p w14:paraId="6CEA4D71" w14:textId="6686E9C3" w:rsidR="004423CE" w:rsidRPr="006C0EE2" w:rsidRDefault="4DDF755C" w:rsidP="00952A35">
      <w:pPr>
        <w:pStyle w:val="PargrafodaLista"/>
        <w:numPr>
          <w:ilvl w:val="0"/>
          <w:numId w:val="23"/>
        </w:numPr>
        <w:tabs>
          <w:tab w:val="left" w:pos="2552"/>
        </w:tabs>
        <w:spacing w:after="0" w:line="240" w:lineRule="auto"/>
        <w:ind w:left="2268" w:firstLine="0"/>
        <w:jc w:val="both"/>
        <w:rPr>
          <w:rFonts w:ascii="Times New Roman" w:eastAsia="Calibri" w:hAnsi="Times New Roman" w:cs="Times New Roman"/>
          <w:color w:val="FF0000"/>
          <w:sz w:val="20"/>
          <w:szCs w:val="20"/>
        </w:rPr>
      </w:pPr>
      <w:r w:rsidRPr="380B0654">
        <w:rPr>
          <w:rFonts w:ascii="Times New Roman" w:eastAsia="Calibri" w:hAnsi="Times New Roman" w:cs="Times New Roman"/>
          <w:color w:val="FF0000"/>
          <w:sz w:val="20"/>
          <w:szCs w:val="20"/>
        </w:rPr>
        <w:t>a exigência de habilitação do subitem XXX deve ser considerada indevida, pois não está contemplad</w:t>
      </w:r>
      <w:r w:rsidR="0E9112AC" w:rsidRPr="380B0654">
        <w:rPr>
          <w:rFonts w:ascii="Times New Roman" w:eastAsia="Calibri" w:hAnsi="Times New Roman" w:cs="Times New Roman"/>
          <w:color w:val="FF0000"/>
          <w:sz w:val="20"/>
          <w:szCs w:val="20"/>
        </w:rPr>
        <w:t>a</w:t>
      </w:r>
      <w:r w:rsidRPr="380B0654">
        <w:rPr>
          <w:rFonts w:ascii="Times New Roman" w:eastAsia="Calibri" w:hAnsi="Times New Roman" w:cs="Times New Roman"/>
          <w:color w:val="FF0000"/>
          <w:sz w:val="20"/>
          <w:szCs w:val="20"/>
        </w:rPr>
        <w:t xml:space="preserve"> como documento de habilitação nos </w:t>
      </w:r>
      <w:r w:rsidR="02E1188D" w:rsidRPr="380B0654">
        <w:rPr>
          <w:rFonts w:ascii="Times New Roman" w:eastAsia="Calibri" w:hAnsi="Times New Roman" w:cs="Times New Roman"/>
          <w:color w:val="FF0000"/>
          <w:sz w:val="20"/>
          <w:szCs w:val="20"/>
        </w:rPr>
        <w:t>arts.</w:t>
      </w:r>
      <w:r w:rsidRPr="380B0654">
        <w:rPr>
          <w:rFonts w:ascii="Times New Roman" w:eastAsia="Calibri" w:hAnsi="Times New Roman" w:cs="Times New Roman"/>
          <w:color w:val="FF0000"/>
          <w:sz w:val="20"/>
          <w:szCs w:val="20"/>
        </w:rPr>
        <w:t xml:space="preserve"> 62 </w:t>
      </w:r>
      <w:r w:rsidR="2336F7C3" w:rsidRPr="380B0654">
        <w:rPr>
          <w:rFonts w:ascii="Times New Roman" w:eastAsia="Calibri" w:hAnsi="Times New Roman" w:cs="Times New Roman"/>
          <w:color w:val="FF0000"/>
          <w:sz w:val="20"/>
          <w:szCs w:val="20"/>
        </w:rPr>
        <w:t>a</w:t>
      </w:r>
      <w:r w:rsidRPr="380B0654">
        <w:rPr>
          <w:rFonts w:ascii="Times New Roman" w:eastAsia="Calibri" w:hAnsi="Times New Roman" w:cs="Times New Roman"/>
          <w:color w:val="FF0000"/>
          <w:sz w:val="20"/>
          <w:szCs w:val="20"/>
        </w:rPr>
        <w:t xml:space="preserve"> 69 da Lei nº 14.133</w:t>
      </w:r>
      <w:r w:rsidR="6F81AECF" w:rsidRPr="380B0654">
        <w:rPr>
          <w:rFonts w:ascii="Times New Roman" w:eastAsia="Calibri" w:hAnsi="Times New Roman" w:cs="Times New Roman"/>
          <w:color w:val="FF0000"/>
          <w:sz w:val="20"/>
          <w:szCs w:val="20"/>
        </w:rPr>
        <w:t xml:space="preserve">, de </w:t>
      </w:r>
      <w:r w:rsidRPr="380B0654">
        <w:rPr>
          <w:rFonts w:ascii="Times New Roman" w:eastAsia="Calibri" w:hAnsi="Times New Roman" w:cs="Times New Roman"/>
          <w:color w:val="FF0000"/>
          <w:sz w:val="20"/>
          <w:szCs w:val="20"/>
        </w:rPr>
        <w:t>2021</w:t>
      </w:r>
      <w:r w:rsidR="21C03512" w:rsidRPr="380B0654">
        <w:rPr>
          <w:rFonts w:ascii="Times New Roman" w:eastAsia="Calibri" w:hAnsi="Times New Roman" w:cs="Times New Roman"/>
          <w:color w:val="FF0000"/>
          <w:sz w:val="20"/>
          <w:szCs w:val="20"/>
        </w:rPr>
        <w:t>.</w:t>
      </w:r>
    </w:p>
    <w:p w14:paraId="4CC8C57D" w14:textId="29740181" w:rsidR="76E478C8" w:rsidRPr="006C0EE2" w:rsidRDefault="76E478C8" w:rsidP="00952A35">
      <w:pPr>
        <w:tabs>
          <w:tab w:val="left" w:pos="2552"/>
        </w:tabs>
        <w:spacing w:after="0" w:line="240" w:lineRule="auto"/>
        <w:ind w:left="2268"/>
        <w:jc w:val="both"/>
        <w:rPr>
          <w:rFonts w:ascii="Times New Roman" w:eastAsia="Calibri" w:hAnsi="Times New Roman" w:cs="Times New Roman"/>
          <w:color w:val="FF0000"/>
          <w:sz w:val="20"/>
          <w:szCs w:val="20"/>
        </w:rPr>
      </w:pPr>
    </w:p>
    <w:p w14:paraId="462D4724" w14:textId="278C6A47" w:rsidR="004423CE" w:rsidRPr="006C0EE2" w:rsidRDefault="3B01E2EA" w:rsidP="00952A35">
      <w:pPr>
        <w:pStyle w:val="PargrafodaLista"/>
        <w:numPr>
          <w:ilvl w:val="0"/>
          <w:numId w:val="23"/>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6C0EE2">
        <w:rPr>
          <w:rFonts w:ascii="Times New Roman" w:eastAsia="Calibri" w:hAnsi="Times New Roman" w:cs="Times New Roman"/>
          <w:color w:val="FF0000"/>
          <w:sz w:val="20"/>
          <w:szCs w:val="20"/>
        </w:rPr>
        <w:t>com relação à capacidade técnico-profissional (item XXX do TR), esclareça que a jurisprudência do TCU entende ser indevida a exigência de vínculo empregatício, para fins de comprovação da responsabilidade técnica pelo acompanhamento do serviço (capacidade técnico-profissional)</w:t>
      </w:r>
      <w:r w:rsidR="3006FDF5" w:rsidRPr="006C0EE2">
        <w:rPr>
          <w:rFonts w:ascii="Times New Roman" w:eastAsia="Calibri" w:hAnsi="Times New Roman" w:cs="Times New Roman"/>
          <w:color w:val="FF0000"/>
          <w:sz w:val="20"/>
          <w:szCs w:val="20"/>
        </w:rPr>
        <w:t>.</w:t>
      </w:r>
    </w:p>
    <w:p w14:paraId="4FB23A66" w14:textId="61A27CBC" w:rsidR="76E478C8" w:rsidRPr="006C0EE2" w:rsidRDefault="76E478C8" w:rsidP="00952A35">
      <w:pPr>
        <w:tabs>
          <w:tab w:val="left" w:pos="2552"/>
        </w:tabs>
        <w:spacing w:after="0" w:line="240" w:lineRule="auto"/>
        <w:ind w:left="2268"/>
        <w:jc w:val="both"/>
        <w:rPr>
          <w:rFonts w:ascii="Times New Roman" w:eastAsia="Calibri" w:hAnsi="Times New Roman" w:cs="Times New Roman"/>
          <w:color w:val="FF0000"/>
          <w:sz w:val="20"/>
          <w:szCs w:val="20"/>
        </w:rPr>
      </w:pPr>
    </w:p>
    <w:p w14:paraId="63A632E8" w14:textId="014166E5" w:rsidR="004423CE" w:rsidRPr="006C0EE2" w:rsidRDefault="3B01E2EA" w:rsidP="00952A35">
      <w:pPr>
        <w:pStyle w:val="PargrafodaLista"/>
        <w:numPr>
          <w:ilvl w:val="0"/>
          <w:numId w:val="23"/>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6C0EE2">
        <w:rPr>
          <w:rFonts w:ascii="Times New Roman" w:eastAsia="Calibri" w:hAnsi="Times New Roman" w:cs="Times New Roman"/>
          <w:color w:val="FF0000"/>
          <w:sz w:val="20"/>
          <w:szCs w:val="20"/>
        </w:rPr>
        <w:lastRenderedPageBreak/>
        <w:t>de acordo com o TCU, a exigência de comprovação de capacidade técnico-profissional deve estar associada à experiência na execução prévia de quantitativos dos itens de maior relevância e valor significativo da obra ou serviço do certame (Acórdão nº 1.229</w:t>
      </w:r>
      <w:r w:rsidR="008A21F9" w:rsidRPr="006C0EE2">
        <w:rPr>
          <w:rFonts w:ascii="Times New Roman" w:eastAsia="Calibri" w:hAnsi="Times New Roman" w:cs="Times New Roman"/>
          <w:color w:val="FF0000"/>
          <w:sz w:val="20"/>
          <w:szCs w:val="20"/>
        </w:rPr>
        <w:t>, de 20</w:t>
      </w:r>
      <w:r w:rsidRPr="006C0EE2">
        <w:rPr>
          <w:rFonts w:ascii="Times New Roman" w:eastAsia="Calibri" w:hAnsi="Times New Roman" w:cs="Times New Roman"/>
          <w:color w:val="FF0000"/>
          <w:sz w:val="20"/>
          <w:szCs w:val="20"/>
        </w:rPr>
        <w:t>08-Plenário, Acórdão nº 2.303</w:t>
      </w:r>
      <w:r w:rsidR="008A21F9" w:rsidRPr="006C0EE2">
        <w:rPr>
          <w:rFonts w:ascii="Times New Roman" w:eastAsia="Calibri" w:hAnsi="Times New Roman" w:cs="Times New Roman"/>
          <w:color w:val="FF0000"/>
          <w:sz w:val="20"/>
          <w:szCs w:val="20"/>
        </w:rPr>
        <w:t>, de 20</w:t>
      </w:r>
      <w:r w:rsidRPr="006C0EE2">
        <w:rPr>
          <w:rFonts w:ascii="Times New Roman" w:eastAsia="Calibri" w:hAnsi="Times New Roman" w:cs="Times New Roman"/>
          <w:color w:val="FF0000"/>
          <w:sz w:val="20"/>
          <w:szCs w:val="20"/>
        </w:rPr>
        <w:t>15 - Plenário). Pelo exposto, adverte-se que a Administração deverá limitar as exigências de capacidade técnico-profissional aos itens de maior relevância e valor significativo da planilha (art. 67, §§ 1º e 2º, da Lei nº 14.133</w:t>
      </w:r>
      <w:r w:rsidR="000200E4" w:rsidRPr="006C0EE2">
        <w:rPr>
          <w:rFonts w:ascii="Times New Roman" w:eastAsia="Calibri" w:hAnsi="Times New Roman" w:cs="Times New Roman"/>
          <w:color w:val="FF0000"/>
          <w:sz w:val="20"/>
          <w:szCs w:val="20"/>
        </w:rPr>
        <w:t xml:space="preserve">, de </w:t>
      </w:r>
      <w:r w:rsidRPr="006C0EE2">
        <w:rPr>
          <w:rFonts w:ascii="Times New Roman" w:eastAsia="Calibri" w:hAnsi="Times New Roman" w:cs="Times New Roman"/>
          <w:color w:val="FF0000"/>
          <w:sz w:val="20"/>
          <w:szCs w:val="20"/>
        </w:rPr>
        <w:t>2021) (E/OU justificar as parcelas de maior relevância e valor significativo definidas no termo de referência, para os fins do art. 67, §§ 1º e 2º, da Lei nº 14.133</w:t>
      </w:r>
      <w:r w:rsidR="000200E4" w:rsidRPr="006C0EE2">
        <w:rPr>
          <w:rFonts w:ascii="Times New Roman" w:eastAsia="Calibri" w:hAnsi="Times New Roman" w:cs="Times New Roman"/>
          <w:color w:val="FF0000"/>
          <w:sz w:val="20"/>
          <w:szCs w:val="20"/>
        </w:rPr>
        <w:t xml:space="preserve">, de </w:t>
      </w:r>
      <w:r w:rsidRPr="006C0EE2">
        <w:rPr>
          <w:rFonts w:ascii="Times New Roman" w:eastAsia="Calibri" w:hAnsi="Times New Roman" w:cs="Times New Roman"/>
          <w:color w:val="FF0000"/>
          <w:sz w:val="20"/>
          <w:szCs w:val="20"/>
        </w:rPr>
        <w:t>2021)</w:t>
      </w:r>
      <w:r w:rsidR="321248EC" w:rsidRPr="006C0EE2">
        <w:rPr>
          <w:rFonts w:ascii="Times New Roman" w:eastAsia="Calibri" w:hAnsi="Times New Roman" w:cs="Times New Roman"/>
          <w:color w:val="FF0000"/>
          <w:sz w:val="20"/>
          <w:szCs w:val="20"/>
        </w:rPr>
        <w:t>.</w:t>
      </w:r>
    </w:p>
    <w:p w14:paraId="20C392D9" w14:textId="11E08900" w:rsidR="76E478C8" w:rsidRPr="006C0EE2" w:rsidRDefault="76E478C8" w:rsidP="00952A35">
      <w:pPr>
        <w:tabs>
          <w:tab w:val="left" w:pos="2552"/>
        </w:tabs>
        <w:spacing w:after="0" w:line="240" w:lineRule="auto"/>
        <w:ind w:left="2268"/>
        <w:jc w:val="both"/>
        <w:rPr>
          <w:rFonts w:ascii="Times New Roman" w:eastAsia="Calibri" w:hAnsi="Times New Roman" w:cs="Times New Roman"/>
          <w:color w:val="FF0000"/>
          <w:sz w:val="20"/>
          <w:szCs w:val="20"/>
        </w:rPr>
      </w:pPr>
    </w:p>
    <w:p w14:paraId="30710F31" w14:textId="09AB78A4" w:rsidR="004423CE" w:rsidRPr="006C0EE2" w:rsidRDefault="3B01E2EA" w:rsidP="00952A35">
      <w:pPr>
        <w:pStyle w:val="PargrafodaLista"/>
        <w:numPr>
          <w:ilvl w:val="0"/>
          <w:numId w:val="23"/>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6C0EE2">
        <w:rPr>
          <w:rFonts w:ascii="Times New Roman" w:eastAsia="Calibri" w:hAnsi="Times New Roman" w:cs="Times New Roman"/>
          <w:color w:val="FF0000"/>
          <w:sz w:val="20"/>
          <w:szCs w:val="20"/>
        </w:rPr>
        <w:t>suprimir o tempo mínimo de experiência exigido no subitem XXX, para fins de comprovação da capacidade técnico-profissional, pois, de acordo com o TCU, "</w:t>
      </w:r>
      <w:r w:rsidRPr="006C0EE2">
        <w:rPr>
          <w:rFonts w:ascii="Times New Roman" w:eastAsia="Calibri" w:hAnsi="Times New Roman" w:cs="Times New Roman"/>
          <w:i/>
          <w:iCs/>
          <w:color w:val="FF0000"/>
          <w:sz w:val="20"/>
          <w:szCs w:val="20"/>
        </w:rPr>
        <w:t>É ilegal a exigência de comprovação, para fim de qualificação técnico-profissional, de tempo de experiência ou de exercício em função dos profissionais a serem disponibilizados pela licitante para a execução do objeto, porquanto o rol de exigências de habilitação previsto na Lei 8.666</w:t>
      </w:r>
      <w:r w:rsidR="008A21F9" w:rsidRPr="006C0EE2">
        <w:rPr>
          <w:rFonts w:ascii="Times New Roman" w:eastAsia="Calibri" w:hAnsi="Times New Roman" w:cs="Times New Roman"/>
          <w:i/>
          <w:iCs/>
          <w:color w:val="FF0000"/>
          <w:sz w:val="20"/>
          <w:szCs w:val="20"/>
        </w:rPr>
        <w:t>, de 19</w:t>
      </w:r>
      <w:r w:rsidRPr="006C0EE2">
        <w:rPr>
          <w:rFonts w:ascii="Times New Roman" w:eastAsia="Calibri" w:hAnsi="Times New Roman" w:cs="Times New Roman"/>
          <w:i/>
          <w:iCs/>
          <w:color w:val="FF0000"/>
          <w:sz w:val="20"/>
          <w:szCs w:val="20"/>
        </w:rPr>
        <w:t>93 é taxativo</w:t>
      </w:r>
      <w:r w:rsidRPr="006C0EE2">
        <w:rPr>
          <w:rFonts w:ascii="Times New Roman" w:eastAsia="Calibri" w:hAnsi="Times New Roman" w:cs="Times New Roman"/>
          <w:color w:val="FF0000"/>
          <w:sz w:val="20"/>
          <w:szCs w:val="20"/>
        </w:rPr>
        <w:t>"  (Enunciado da Jurisprudência Selecionada, cf. Acórdão nº 134</w:t>
      </w:r>
      <w:r w:rsidR="008A21F9" w:rsidRPr="006C0EE2">
        <w:rPr>
          <w:rFonts w:ascii="Times New Roman" w:eastAsia="Calibri" w:hAnsi="Times New Roman" w:cs="Times New Roman"/>
          <w:color w:val="FF0000"/>
          <w:sz w:val="20"/>
          <w:szCs w:val="20"/>
        </w:rPr>
        <w:t>, de 20</w:t>
      </w:r>
      <w:r w:rsidRPr="006C0EE2">
        <w:rPr>
          <w:rFonts w:ascii="Times New Roman" w:eastAsia="Calibri" w:hAnsi="Times New Roman" w:cs="Times New Roman"/>
          <w:color w:val="FF0000"/>
          <w:sz w:val="20"/>
          <w:szCs w:val="20"/>
        </w:rPr>
        <w:t>17 - Plenário)</w:t>
      </w:r>
      <w:r w:rsidR="35775661" w:rsidRPr="006C0EE2">
        <w:rPr>
          <w:rFonts w:ascii="Times New Roman" w:eastAsia="Calibri" w:hAnsi="Times New Roman" w:cs="Times New Roman"/>
          <w:color w:val="FF0000"/>
          <w:sz w:val="20"/>
          <w:szCs w:val="20"/>
        </w:rPr>
        <w:t>.</w:t>
      </w:r>
    </w:p>
    <w:p w14:paraId="240A7A6D" w14:textId="133E5849" w:rsidR="76E478C8" w:rsidRPr="00271BE3" w:rsidRDefault="76E478C8" w:rsidP="00952A35">
      <w:pPr>
        <w:spacing w:after="0" w:line="240" w:lineRule="auto"/>
        <w:ind w:left="1440"/>
        <w:jc w:val="both"/>
        <w:rPr>
          <w:rFonts w:ascii="Times New Roman" w:eastAsia="Calibri" w:hAnsi="Times New Roman" w:cs="Times New Roman"/>
          <w:color w:val="FF0000"/>
          <w:sz w:val="24"/>
          <w:szCs w:val="24"/>
        </w:rPr>
      </w:pPr>
    </w:p>
    <w:tbl>
      <w:tblPr>
        <w:tblW w:w="9062" w:type="dxa"/>
        <w:tblLayout w:type="fixed"/>
        <w:tblLook w:val="04A0" w:firstRow="1" w:lastRow="0" w:firstColumn="1" w:lastColumn="0" w:noHBand="0" w:noVBand="1"/>
      </w:tblPr>
      <w:tblGrid>
        <w:gridCol w:w="9062"/>
      </w:tblGrid>
      <w:tr w:rsidR="66EBB3D6" w:rsidRPr="00271BE3" w14:paraId="34B7B080" w14:textId="77777777" w:rsidTr="000F224A">
        <w:trPr>
          <w:trHeight w:val="300"/>
        </w:trPr>
        <w:tc>
          <w:tcPr>
            <w:tcW w:w="9062" w:type="dxa"/>
            <w:tcBorders>
              <w:top w:val="inset" w:sz="8" w:space="0" w:color="000000" w:themeColor="text1"/>
              <w:left w:val="inset" w:sz="8" w:space="0" w:color="000000" w:themeColor="text1"/>
              <w:bottom w:val="inset" w:sz="8" w:space="0" w:color="000000" w:themeColor="text1"/>
              <w:right w:val="inset" w:sz="8" w:space="0" w:color="000000" w:themeColor="text1"/>
            </w:tcBorders>
            <w:shd w:val="clear" w:color="auto" w:fill="FFFF00"/>
            <w:tcMar>
              <w:top w:w="30" w:type="dxa"/>
              <w:left w:w="30" w:type="dxa"/>
              <w:bottom w:w="30" w:type="dxa"/>
              <w:right w:w="30" w:type="dxa"/>
            </w:tcMar>
            <w:vAlign w:val="center"/>
          </w:tcPr>
          <w:p w14:paraId="3BC5DD58" w14:textId="0C7E2A8F" w:rsidR="66EBB3D6" w:rsidRPr="00271BE3" w:rsidRDefault="15106002"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b/>
                <w:bCs/>
                <w:i/>
                <w:iCs/>
                <w:color w:val="000000" w:themeColor="text1"/>
                <w:sz w:val="24"/>
                <w:szCs w:val="24"/>
              </w:rPr>
              <w:t xml:space="preserve">Nota Explicativa: </w:t>
            </w:r>
            <w:r w:rsidRPr="00271BE3">
              <w:rPr>
                <w:rFonts w:ascii="Times New Roman" w:eastAsia="Calibri" w:hAnsi="Times New Roman" w:cs="Times New Roman"/>
                <w:color w:val="000000" w:themeColor="text1"/>
                <w:sz w:val="24"/>
                <w:szCs w:val="24"/>
              </w:rPr>
              <w:t>O Procurador deverá atentar para a formulação de exigências abusivas, tais como: certificações não obrigatórias por lei; certificação de qualidade de café (serviço com fornecimento); certificações ABNT; registro ou inscrição em entidades de fiscalização, sem previsão legal; apresentação de nota fiscal de prestação de serviços, por ausência de amparo legal e por restringir a competitividade da licitação.</w:t>
            </w:r>
          </w:p>
          <w:p w14:paraId="573370EB" w14:textId="772FB14F" w:rsidR="66EBB3D6" w:rsidRPr="00271BE3" w:rsidRDefault="08FFE15E"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Acerca das exigências de qualificação técnica, sugere-se a consulta aos seguintes acórdãos prolatados pelo Plenário do Tribunal de Contas da União, a saber: Acórdão 1095</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18</w:t>
            </w:r>
            <w:r w:rsidR="00C82131" w:rsidRPr="00271BE3">
              <w:rPr>
                <w:rFonts w:ascii="Times New Roman" w:eastAsia="Calibri" w:hAnsi="Times New Roman" w:cs="Times New Roman"/>
                <w:color w:val="000000" w:themeColor="text1"/>
                <w:sz w:val="24"/>
                <w:szCs w:val="24"/>
              </w:rPr>
              <w:t>;</w:t>
            </w:r>
            <w:r w:rsidRPr="00271BE3">
              <w:rPr>
                <w:rFonts w:ascii="Times New Roman" w:eastAsia="Calibri" w:hAnsi="Times New Roman" w:cs="Times New Roman"/>
                <w:color w:val="000000" w:themeColor="text1"/>
                <w:sz w:val="24"/>
                <w:szCs w:val="24"/>
              </w:rPr>
              <w:t xml:space="preserve"> Acórdão 891</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18</w:t>
            </w:r>
            <w:r w:rsidR="00C82131" w:rsidRPr="00271BE3">
              <w:rPr>
                <w:rFonts w:ascii="Times New Roman" w:eastAsia="Calibri" w:hAnsi="Times New Roman" w:cs="Times New Roman"/>
                <w:color w:val="000000" w:themeColor="text1"/>
                <w:sz w:val="24"/>
                <w:szCs w:val="24"/>
              </w:rPr>
              <w:t>;</w:t>
            </w:r>
            <w:r w:rsidRPr="00271BE3">
              <w:rPr>
                <w:rFonts w:ascii="Times New Roman" w:eastAsia="Calibri" w:hAnsi="Times New Roman" w:cs="Times New Roman"/>
                <w:color w:val="000000" w:themeColor="text1"/>
                <w:sz w:val="24"/>
                <w:szCs w:val="24"/>
              </w:rPr>
              <w:t> </w:t>
            </w:r>
            <w:r w:rsidRPr="005D3B70">
              <w:rPr>
                <w:rFonts w:ascii="Times New Roman" w:eastAsia="Calibri" w:hAnsi="Times New Roman" w:cs="Times New Roman"/>
                <w:sz w:val="24"/>
                <w:szCs w:val="24"/>
              </w:rPr>
              <w:t>Acórdão 134</w:t>
            </w:r>
            <w:r w:rsidR="008A21F9" w:rsidRPr="005D3B70">
              <w:rPr>
                <w:rFonts w:ascii="Times New Roman" w:eastAsia="Calibri" w:hAnsi="Times New Roman" w:cs="Times New Roman"/>
                <w:sz w:val="24"/>
                <w:szCs w:val="24"/>
              </w:rPr>
              <w:t>, de 20</w:t>
            </w:r>
            <w:r w:rsidRPr="005D3B70">
              <w:rPr>
                <w:rFonts w:ascii="Times New Roman" w:eastAsia="Calibri" w:hAnsi="Times New Roman" w:cs="Times New Roman"/>
                <w:sz w:val="24"/>
                <w:szCs w:val="24"/>
              </w:rPr>
              <w:t>17</w:t>
            </w:r>
            <w:r w:rsidR="00C82131" w:rsidRPr="00271BE3">
              <w:rPr>
                <w:rStyle w:val="Hyperlink"/>
                <w:rFonts w:ascii="Times New Roman" w:eastAsia="Calibri" w:hAnsi="Times New Roman" w:cs="Times New Roman"/>
                <w:sz w:val="24"/>
                <w:szCs w:val="24"/>
              </w:rPr>
              <w:t>;</w:t>
            </w:r>
            <w:r w:rsidRPr="00271BE3">
              <w:rPr>
                <w:rFonts w:ascii="Times New Roman" w:eastAsia="Calibri" w:hAnsi="Times New Roman" w:cs="Times New Roman"/>
                <w:color w:val="000000" w:themeColor="text1"/>
                <w:sz w:val="24"/>
                <w:szCs w:val="24"/>
              </w:rPr>
              <w:t> </w:t>
            </w:r>
            <w:r w:rsidRPr="00271BE3">
              <w:rPr>
                <w:rFonts w:ascii="Times New Roman" w:eastAsia="Calibri" w:hAnsi="Times New Roman" w:cs="Times New Roman"/>
                <w:sz w:val="24"/>
                <w:szCs w:val="24"/>
              </w:rPr>
              <w:t>Acórdão 2066</w:t>
            </w:r>
            <w:r w:rsidR="008A21F9" w:rsidRPr="00271BE3">
              <w:rPr>
                <w:rFonts w:ascii="Times New Roman" w:eastAsia="Calibri" w:hAnsi="Times New Roman" w:cs="Times New Roman"/>
                <w:sz w:val="24"/>
                <w:szCs w:val="24"/>
              </w:rPr>
              <w:t>, de 20</w:t>
            </w:r>
            <w:r w:rsidRPr="00271BE3">
              <w:rPr>
                <w:rFonts w:ascii="Times New Roman" w:eastAsia="Calibri" w:hAnsi="Times New Roman" w:cs="Times New Roman"/>
                <w:sz w:val="24"/>
                <w:szCs w:val="24"/>
              </w:rPr>
              <w:t>16</w:t>
            </w:r>
            <w:r w:rsidR="00C82131" w:rsidRPr="00271BE3">
              <w:rPr>
                <w:rFonts w:ascii="Times New Roman" w:eastAsia="Calibri" w:hAnsi="Times New Roman" w:cs="Times New Roman"/>
                <w:color w:val="000000" w:themeColor="text1"/>
                <w:sz w:val="24"/>
                <w:szCs w:val="24"/>
              </w:rPr>
              <w:t>;</w:t>
            </w:r>
            <w:r w:rsidRPr="00271BE3">
              <w:rPr>
                <w:rFonts w:ascii="Times New Roman" w:eastAsia="Calibri" w:hAnsi="Times New Roman" w:cs="Times New Roman"/>
                <w:color w:val="000000" w:themeColor="text1"/>
                <w:sz w:val="24"/>
                <w:szCs w:val="24"/>
              </w:rPr>
              <w:t> </w:t>
            </w:r>
            <w:r w:rsidRPr="005D3B70">
              <w:rPr>
                <w:rFonts w:ascii="Times New Roman" w:eastAsia="Calibri" w:hAnsi="Times New Roman" w:cs="Times New Roman"/>
                <w:sz w:val="24"/>
                <w:szCs w:val="24"/>
              </w:rPr>
              <w:t>Acórdão 2769</w:t>
            </w:r>
            <w:r w:rsidR="008A21F9" w:rsidRPr="005D3B70">
              <w:rPr>
                <w:rFonts w:ascii="Times New Roman" w:eastAsia="Calibri" w:hAnsi="Times New Roman" w:cs="Times New Roman"/>
                <w:sz w:val="24"/>
                <w:szCs w:val="24"/>
              </w:rPr>
              <w:t>, de 20</w:t>
            </w:r>
            <w:r w:rsidRPr="005D3B70">
              <w:rPr>
                <w:rFonts w:ascii="Times New Roman" w:eastAsia="Calibri" w:hAnsi="Times New Roman" w:cs="Times New Roman"/>
                <w:sz w:val="24"/>
                <w:szCs w:val="24"/>
              </w:rPr>
              <w:t>14</w:t>
            </w:r>
            <w:r w:rsidRPr="00271BE3">
              <w:rPr>
                <w:rFonts w:ascii="Times New Roman" w:eastAsia="Calibri" w:hAnsi="Times New Roman" w:cs="Times New Roman"/>
                <w:color w:val="000000" w:themeColor="text1"/>
                <w:sz w:val="24"/>
                <w:szCs w:val="24"/>
              </w:rPr>
              <w:t> e Acórdão 2914</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 xml:space="preserve">13. </w:t>
            </w:r>
          </w:p>
        </w:tc>
      </w:tr>
    </w:tbl>
    <w:p w14:paraId="4E39A548" w14:textId="52E8C13F" w:rsidR="2ED1DD09" w:rsidRPr="00271BE3" w:rsidRDefault="2ED1DD09" w:rsidP="00952A35">
      <w:pPr>
        <w:spacing w:after="0" w:line="240" w:lineRule="auto"/>
        <w:rPr>
          <w:rFonts w:ascii="Times New Roman" w:hAnsi="Times New Roman" w:cs="Times New Roman"/>
          <w:sz w:val="24"/>
          <w:szCs w:val="24"/>
        </w:rPr>
      </w:pPr>
    </w:p>
    <w:p w14:paraId="2EA021D6" w14:textId="1E4799EA" w:rsidR="7D8B226D" w:rsidRPr="006C0EE2" w:rsidRDefault="7D8B226D" w:rsidP="00952A35">
      <w:pPr>
        <w:pStyle w:val="PargrafodaLista"/>
        <w:numPr>
          <w:ilvl w:val="0"/>
          <w:numId w:val="2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6C0EE2">
        <w:rPr>
          <w:rFonts w:ascii="Times New Roman" w:eastAsia="Calibri" w:hAnsi="Times New Roman" w:cs="Times New Roman"/>
          <w:color w:val="FF0000"/>
          <w:sz w:val="20"/>
          <w:szCs w:val="20"/>
        </w:rPr>
        <w:t>juntar, como anexo ao termo de referência, os "estudos preliminares" (subitem 2.2, a, do anexo V da IN SEGES/MP nº 05</w:t>
      </w:r>
      <w:r w:rsidR="008A21F9" w:rsidRPr="006C0EE2">
        <w:rPr>
          <w:rFonts w:ascii="Times New Roman" w:eastAsia="Calibri" w:hAnsi="Times New Roman" w:cs="Times New Roman"/>
          <w:color w:val="FF0000"/>
          <w:sz w:val="20"/>
          <w:szCs w:val="20"/>
        </w:rPr>
        <w:t>, de 20</w:t>
      </w:r>
      <w:r w:rsidRPr="006C0EE2">
        <w:rPr>
          <w:rFonts w:ascii="Times New Roman" w:eastAsia="Calibri" w:hAnsi="Times New Roman" w:cs="Times New Roman"/>
          <w:color w:val="FF0000"/>
          <w:sz w:val="20"/>
          <w:szCs w:val="20"/>
        </w:rPr>
        <w:t>17);</w:t>
      </w:r>
    </w:p>
    <w:p w14:paraId="16334E8D" w14:textId="77777777" w:rsidR="006C0EE2" w:rsidRPr="006C0EE2" w:rsidRDefault="006C0EE2" w:rsidP="00952A35">
      <w:pPr>
        <w:pStyle w:val="PargrafodaLista"/>
        <w:tabs>
          <w:tab w:val="left" w:pos="2552"/>
        </w:tabs>
        <w:spacing w:after="0" w:line="240" w:lineRule="auto"/>
        <w:ind w:left="2268"/>
        <w:jc w:val="both"/>
        <w:rPr>
          <w:rFonts w:ascii="Times New Roman" w:eastAsia="Calibri" w:hAnsi="Times New Roman" w:cs="Times New Roman"/>
          <w:color w:val="FF0000"/>
          <w:sz w:val="20"/>
          <w:szCs w:val="20"/>
        </w:rPr>
      </w:pPr>
    </w:p>
    <w:p w14:paraId="2262C266" w14:textId="3A5C2927" w:rsidR="000F224A" w:rsidRPr="000F224A" w:rsidRDefault="7D8B226D" w:rsidP="000F224A">
      <w:pPr>
        <w:pStyle w:val="PargrafodaLista"/>
        <w:numPr>
          <w:ilvl w:val="0"/>
          <w:numId w:val="24"/>
        </w:numPr>
        <w:tabs>
          <w:tab w:val="left" w:pos="2552"/>
        </w:tabs>
        <w:spacing w:after="0" w:line="240" w:lineRule="auto"/>
        <w:ind w:left="2268" w:firstLine="0"/>
        <w:jc w:val="both"/>
        <w:rPr>
          <w:rFonts w:ascii="Times New Roman" w:eastAsia="Calibri" w:hAnsi="Times New Roman" w:cs="Times New Roman"/>
          <w:strike/>
          <w:color w:val="FF0000"/>
          <w:sz w:val="20"/>
          <w:szCs w:val="20"/>
        </w:rPr>
      </w:pPr>
      <w:r w:rsidRPr="006C0EE2">
        <w:rPr>
          <w:rFonts w:ascii="Times New Roman" w:eastAsia="Calibri" w:hAnsi="Times New Roman" w:cs="Times New Roman"/>
          <w:color w:val="FF0000"/>
          <w:sz w:val="20"/>
          <w:szCs w:val="20"/>
        </w:rPr>
        <w:t>compatibilizar o conteúdo dos estudos preliminares com o termo de referência revisado à luz das orientações dos itens XXX deste parecer, de modo que não existam contradições entre os documentos, tais quais XXX;</w:t>
      </w:r>
    </w:p>
    <w:p w14:paraId="765D92C9" w14:textId="1C3A22C2" w:rsidR="7D8B226D" w:rsidRPr="000F224A" w:rsidRDefault="7D8B226D" w:rsidP="000F224A">
      <w:pPr>
        <w:pStyle w:val="PargrafodaLista"/>
        <w:numPr>
          <w:ilvl w:val="0"/>
          <w:numId w:val="24"/>
        </w:numPr>
        <w:tabs>
          <w:tab w:val="left" w:pos="2552"/>
        </w:tabs>
        <w:spacing w:after="0" w:line="240" w:lineRule="auto"/>
        <w:ind w:left="2268" w:firstLine="0"/>
        <w:jc w:val="both"/>
        <w:rPr>
          <w:rFonts w:ascii="Times New Roman" w:eastAsia="Calibri" w:hAnsi="Times New Roman" w:cs="Times New Roman"/>
          <w:strike/>
          <w:color w:val="FF0000"/>
          <w:sz w:val="20"/>
          <w:szCs w:val="20"/>
        </w:rPr>
      </w:pPr>
      <w:r w:rsidRPr="000F224A">
        <w:rPr>
          <w:rFonts w:ascii="Times New Roman" w:eastAsia="Calibri" w:hAnsi="Times New Roman" w:cs="Times New Roman"/>
          <w:color w:val="FF0000"/>
          <w:sz w:val="20"/>
          <w:szCs w:val="20"/>
        </w:rPr>
        <w:t>em razão das peculiaridades do objeto, a equipe de planejamento deve ter integrante com formação em engenharia e/ou arquitetura</w:t>
      </w:r>
      <w:r w:rsidR="7519D4F6" w:rsidRPr="000F224A">
        <w:rPr>
          <w:rFonts w:ascii="Times New Roman" w:eastAsia="Calibri" w:hAnsi="Times New Roman" w:cs="Times New Roman"/>
          <w:color w:val="FF0000"/>
          <w:sz w:val="20"/>
          <w:szCs w:val="20"/>
        </w:rPr>
        <w:t xml:space="preserve"> e/ou técnica industrial</w:t>
      </w:r>
      <w:r w:rsidRPr="000F224A">
        <w:rPr>
          <w:rFonts w:ascii="Times New Roman" w:eastAsia="Calibri" w:hAnsi="Times New Roman" w:cs="Times New Roman"/>
          <w:color w:val="FF0000"/>
          <w:sz w:val="20"/>
          <w:szCs w:val="20"/>
        </w:rPr>
        <w:t>.</w:t>
      </w:r>
      <w:r w:rsidR="1AD39F67" w:rsidRPr="000F224A">
        <w:rPr>
          <w:rFonts w:ascii="Times New Roman" w:eastAsia="Calibri" w:hAnsi="Times New Roman" w:cs="Times New Roman"/>
          <w:color w:val="FF0000"/>
          <w:sz w:val="20"/>
          <w:szCs w:val="20"/>
        </w:rPr>
        <w:t xml:space="preserve"> </w:t>
      </w:r>
      <w:r w:rsidRPr="000F224A">
        <w:rPr>
          <w:rFonts w:ascii="Times New Roman" w:eastAsia="Calibri" w:hAnsi="Times New Roman" w:cs="Times New Roman"/>
          <w:color w:val="FF0000"/>
          <w:sz w:val="20"/>
          <w:szCs w:val="20"/>
        </w:rPr>
        <w:t>Confira-se, nesse sentido, os ditames abaixo da IN SEGES/MP nº 05</w:t>
      </w:r>
      <w:r w:rsidR="008A21F9" w:rsidRPr="000F224A">
        <w:rPr>
          <w:rFonts w:ascii="Times New Roman" w:eastAsia="Calibri" w:hAnsi="Times New Roman" w:cs="Times New Roman"/>
          <w:color w:val="FF0000"/>
          <w:sz w:val="20"/>
          <w:szCs w:val="20"/>
        </w:rPr>
        <w:t>, de 20</w:t>
      </w:r>
      <w:r w:rsidRPr="000F224A">
        <w:rPr>
          <w:rFonts w:ascii="Times New Roman" w:eastAsia="Calibri" w:hAnsi="Times New Roman" w:cs="Times New Roman"/>
          <w:color w:val="FF0000"/>
          <w:sz w:val="20"/>
          <w:szCs w:val="20"/>
        </w:rPr>
        <w:t>17:</w:t>
      </w:r>
      <w:r w:rsidR="00C459E5" w:rsidRPr="000F224A">
        <w:rPr>
          <w:rFonts w:ascii="Times New Roman" w:eastAsia="Calibri" w:hAnsi="Times New Roman" w:cs="Times New Roman"/>
          <w:color w:val="FF0000"/>
          <w:sz w:val="20"/>
          <w:szCs w:val="20"/>
        </w:rPr>
        <w:t xml:space="preserve"> </w:t>
      </w:r>
      <w:r w:rsidRPr="000F224A">
        <w:rPr>
          <w:rFonts w:ascii="Times New Roman" w:eastAsia="Calibri" w:hAnsi="Times New Roman" w:cs="Times New Roman"/>
          <w:i/>
          <w:iCs/>
          <w:color w:val="FF0000"/>
          <w:sz w:val="20"/>
          <w:szCs w:val="20"/>
        </w:rPr>
        <w:t xml:space="preserve">Art. 22, § 1º A equipe de Planejamento da Contratação é o conjunto de servidores, que reúnem as competências necessárias à </w:t>
      </w:r>
      <w:r w:rsidRPr="000F224A">
        <w:rPr>
          <w:rFonts w:ascii="Times New Roman" w:eastAsia="Calibri" w:hAnsi="Times New Roman" w:cs="Times New Roman"/>
          <w:b/>
          <w:bCs/>
          <w:i/>
          <w:iCs/>
          <w:color w:val="FF0000"/>
          <w:sz w:val="20"/>
          <w:szCs w:val="20"/>
        </w:rPr>
        <w:t>completa execução das etapas</w:t>
      </w:r>
      <w:r w:rsidRPr="000F224A">
        <w:rPr>
          <w:rFonts w:ascii="Times New Roman" w:eastAsia="Calibri" w:hAnsi="Times New Roman" w:cs="Times New Roman"/>
          <w:i/>
          <w:iCs/>
          <w:color w:val="FF0000"/>
          <w:sz w:val="20"/>
          <w:szCs w:val="20"/>
        </w:rPr>
        <w:t xml:space="preserve"> de Planejamento da Contratação, </w:t>
      </w:r>
      <w:r w:rsidRPr="000F224A">
        <w:rPr>
          <w:rFonts w:ascii="Times New Roman" w:eastAsia="Calibri" w:hAnsi="Times New Roman" w:cs="Times New Roman"/>
          <w:b/>
          <w:bCs/>
          <w:i/>
          <w:iCs/>
          <w:color w:val="FF0000"/>
          <w:sz w:val="20"/>
          <w:szCs w:val="20"/>
        </w:rPr>
        <w:t>o que inclui conhecimentos sobre aspectos técnicos e de uso do objeto,</w:t>
      </w:r>
      <w:r w:rsidRPr="000F224A">
        <w:rPr>
          <w:rFonts w:ascii="Times New Roman" w:eastAsia="Calibri" w:hAnsi="Times New Roman" w:cs="Times New Roman"/>
          <w:i/>
          <w:iCs/>
          <w:color w:val="FF0000"/>
          <w:sz w:val="20"/>
          <w:szCs w:val="20"/>
        </w:rPr>
        <w:t xml:space="preserve"> licitações e contratos, dentre outros.</w:t>
      </w:r>
    </w:p>
    <w:p w14:paraId="77FD73EB" w14:textId="77777777" w:rsidR="00E841B3" w:rsidRPr="00E841B3" w:rsidRDefault="00E841B3" w:rsidP="00952A35">
      <w:pPr>
        <w:tabs>
          <w:tab w:val="left" w:pos="2552"/>
        </w:tabs>
        <w:spacing w:after="0" w:line="240" w:lineRule="auto"/>
        <w:ind w:left="2268"/>
        <w:jc w:val="both"/>
        <w:rPr>
          <w:rFonts w:ascii="Times New Roman" w:hAnsi="Times New Roman" w:cs="Times New Roman"/>
          <w:sz w:val="24"/>
          <w:szCs w:val="24"/>
        </w:rPr>
      </w:pPr>
    </w:p>
    <w:p w14:paraId="2CCC94BB" w14:textId="4AAA9E07" w:rsidR="7D8B226D" w:rsidRDefault="6C0AC17A" w:rsidP="00952A35">
      <w:pPr>
        <w:pStyle w:val="PargrafodaLista"/>
        <w:numPr>
          <w:ilvl w:val="0"/>
          <w:numId w:val="2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6C0EE2">
        <w:rPr>
          <w:rFonts w:ascii="Times New Roman" w:eastAsia="Calibri" w:hAnsi="Times New Roman" w:cs="Times New Roman"/>
          <w:color w:val="FF0000"/>
          <w:sz w:val="20"/>
          <w:szCs w:val="20"/>
        </w:rPr>
        <w:t xml:space="preserve">a área técnica deverá certificar-se de que todos os elementos do art. 6º, </w:t>
      </w:r>
      <w:r w:rsidR="56F0626C" w:rsidRPr="006C0EE2">
        <w:rPr>
          <w:rFonts w:ascii="Times New Roman" w:eastAsia="Calibri" w:hAnsi="Times New Roman" w:cs="Times New Roman"/>
          <w:color w:val="FF0000"/>
          <w:sz w:val="20"/>
          <w:szCs w:val="20"/>
        </w:rPr>
        <w:t>XXV</w:t>
      </w:r>
      <w:r w:rsidRPr="006C0EE2">
        <w:rPr>
          <w:rFonts w:ascii="Times New Roman" w:eastAsia="Calibri" w:hAnsi="Times New Roman" w:cs="Times New Roman"/>
          <w:color w:val="FF0000"/>
          <w:sz w:val="20"/>
          <w:szCs w:val="20"/>
        </w:rPr>
        <w:t xml:space="preserve">, da Lei nº </w:t>
      </w:r>
      <w:r w:rsidR="38998DDD" w:rsidRPr="006C0EE2">
        <w:rPr>
          <w:rFonts w:ascii="Times New Roman" w:eastAsia="Calibri" w:hAnsi="Times New Roman" w:cs="Times New Roman"/>
          <w:color w:val="FF0000"/>
          <w:sz w:val="20"/>
          <w:szCs w:val="20"/>
        </w:rPr>
        <w:t>14.133</w:t>
      </w:r>
      <w:r w:rsidR="00AB1EAE" w:rsidRPr="006C0EE2">
        <w:rPr>
          <w:rFonts w:ascii="Times New Roman" w:eastAsia="Calibri" w:hAnsi="Times New Roman" w:cs="Times New Roman"/>
          <w:color w:val="FF0000"/>
          <w:sz w:val="20"/>
          <w:szCs w:val="20"/>
        </w:rPr>
        <w:t xml:space="preserve">, de </w:t>
      </w:r>
      <w:r w:rsidR="38998DDD" w:rsidRPr="006C0EE2">
        <w:rPr>
          <w:rFonts w:ascii="Times New Roman" w:eastAsia="Calibri" w:hAnsi="Times New Roman" w:cs="Times New Roman"/>
          <w:color w:val="FF0000"/>
          <w:sz w:val="20"/>
          <w:szCs w:val="20"/>
        </w:rPr>
        <w:t>2021</w:t>
      </w:r>
      <w:r w:rsidRPr="006C0EE2">
        <w:rPr>
          <w:rFonts w:ascii="Times New Roman" w:eastAsia="Calibri" w:hAnsi="Times New Roman" w:cs="Times New Roman"/>
          <w:color w:val="FF0000"/>
          <w:sz w:val="20"/>
          <w:szCs w:val="20"/>
        </w:rPr>
        <w:t xml:space="preserve"> foram contemplados no termo de referência (Súmula TCU nº 261). Recomenda-se ainda a consulta à Decisão Normativa CONFEA nº 106</w:t>
      </w:r>
      <w:r w:rsidR="008A21F9" w:rsidRPr="006C0EE2">
        <w:rPr>
          <w:rFonts w:ascii="Times New Roman" w:eastAsia="Calibri" w:hAnsi="Times New Roman" w:cs="Times New Roman"/>
          <w:color w:val="FF0000"/>
          <w:sz w:val="20"/>
          <w:szCs w:val="20"/>
        </w:rPr>
        <w:t>, de 20</w:t>
      </w:r>
      <w:r w:rsidRPr="006C0EE2">
        <w:rPr>
          <w:rFonts w:ascii="Times New Roman" w:eastAsia="Calibri" w:hAnsi="Times New Roman" w:cs="Times New Roman"/>
          <w:color w:val="FF0000"/>
          <w:sz w:val="20"/>
          <w:szCs w:val="20"/>
        </w:rPr>
        <w:t>15 e à OT - IBR 001</w:t>
      </w:r>
      <w:r w:rsidR="008A21F9" w:rsidRPr="006C0EE2">
        <w:rPr>
          <w:rFonts w:ascii="Times New Roman" w:eastAsia="Calibri" w:hAnsi="Times New Roman" w:cs="Times New Roman"/>
          <w:color w:val="FF0000"/>
          <w:sz w:val="20"/>
          <w:szCs w:val="20"/>
        </w:rPr>
        <w:t>, de 20</w:t>
      </w:r>
      <w:r w:rsidRPr="006C0EE2">
        <w:rPr>
          <w:rFonts w:ascii="Times New Roman" w:eastAsia="Calibri" w:hAnsi="Times New Roman" w:cs="Times New Roman"/>
          <w:color w:val="FF0000"/>
          <w:sz w:val="20"/>
          <w:szCs w:val="20"/>
        </w:rPr>
        <w:t>06, do Instituto Brasileiro de Auditoria de Obras Pública - IBRAOP. Tais documentos trazem orientações específicas sobre o conteúdo de projetos básicos para obras e serviços de engenharia planejados pela Administração Pública</w:t>
      </w:r>
      <w:r w:rsidR="001124A5" w:rsidRPr="006C0EE2">
        <w:rPr>
          <w:rFonts w:ascii="Times New Roman" w:eastAsia="Calibri" w:hAnsi="Times New Roman" w:cs="Times New Roman"/>
          <w:color w:val="FF0000"/>
          <w:sz w:val="20"/>
          <w:szCs w:val="20"/>
        </w:rPr>
        <w:t>.</w:t>
      </w:r>
    </w:p>
    <w:p w14:paraId="4434A38B" w14:textId="77777777" w:rsidR="00D35E10" w:rsidRPr="00D35E10" w:rsidRDefault="00D35E10" w:rsidP="00D35E10">
      <w:pPr>
        <w:tabs>
          <w:tab w:val="left" w:pos="2552"/>
        </w:tabs>
        <w:spacing w:after="0" w:line="240" w:lineRule="auto"/>
        <w:jc w:val="both"/>
        <w:rPr>
          <w:rFonts w:ascii="Times New Roman" w:eastAsia="Calibri" w:hAnsi="Times New Roman" w:cs="Times New Roman"/>
          <w:color w:val="FF0000"/>
          <w:sz w:val="20"/>
          <w:szCs w:val="20"/>
        </w:rPr>
      </w:pPr>
    </w:p>
    <w:p w14:paraId="717A8794" w14:textId="1D5FCE42" w:rsidR="7D8B226D" w:rsidRPr="006C0EE2" w:rsidRDefault="7D8B226D" w:rsidP="00952A35">
      <w:pPr>
        <w:pStyle w:val="PargrafodaLista"/>
        <w:numPr>
          <w:ilvl w:val="0"/>
          <w:numId w:val="24"/>
        </w:numPr>
        <w:tabs>
          <w:tab w:val="left" w:pos="2552"/>
        </w:tabs>
        <w:spacing w:after="0" w:line="240" w:lineRule="auto"/>
        <w:ind w:left="2268" w:firstLine="0"/>
        <w:jc w:val="both"/>
        <w:rPr>
          <w:rFonts w:ascii="Times New Roman" w:hAnsi="Times New Roman" w:cs="Times New Roman"/>
          <w:sz w:val="20"/>
          <w:szCs w:val="20"/>
        </w:rPr>
      </w:pPr>
      <w:r w:rsidRPr="006C0EE2">
        <w:rPr>
          <w:rFonts w:ascii="Times New Roman" w:eastAsia="Calibri" w:hAnsi="Times New Roman" w:cs="Times New Roman"/>
          <w:color w:val="FF0000"/>
          <w:sz w:val="20"/>
          <w:szCs w:val="20"/>
        </w:rPr>
        <w:t xml:space="preserve">os responsáveis pela produção dos elementos e/ou peças técnicas exclusivamente relacionados com engenharia e/ou arquitetura </w:t>
      </w:r>
      <w:r w:rsidR="6A4BDFE5" w:rsidRPr="006C0EE2">
        <w:rPr>
          <w:rFonts w:ascii="Times New Roman" w:eastAsia="Calibri" w:hAnsi="Times New Roman" w:cs="Times New Roman"/>
          <w:color w:val="FF0000"/>
          <w:sz w:val="20"/>
          <w:szCs w:val="20"/>
        </w:rPr>
        <w:t xml:space="preserve">e/ou técnica industrial </w:t>
      </w:r>
      <w:r w:rsidRPr="006C0EE2">
        <w:rPr>
          <w:rFonts w:ascii="Times New Roman" w:eastAsia="Calibri" w:hAnsi="Times New Roman" w:cs="Times New Roman"/>
          <w:color w:val="FF0000"/>
          <w:sz w:val="20"/>
          <w:szCs w:val="20"/>
        </w:rPr>
        <w:t>devem ser identificados nos autos (art. 2º, I, da IN Conjunta MP/CGU nº 01</w:t>
      </w:r>
      <w:r w:rsidR="008A21F9" w:rsidRPr="006C0EE2">
        <w:rPr>
          <w:rFonts w:ascii="Times New Roman" w:eastAsia="Calibri" w:hAnsi="Times New Roman" w:cs="Times New Roman"/>
          <w:color w:val="FF0000"/>
          <w:sz w:val="20"/>
          <w:szCs w:val="20"/>
        </w:rPr>
        <w:t>, de 20</w:t>
      </w:r>
      <w:r w:rsidRPr="006C0EE2">
        <w:rPr>
          <w:rFonts w:ascii="Times New Roman" w:eastAsia="Calibri" w:hAnsi="Times New Roman" w:cs="Times New Roman"/>
          <w:color w:val="FF0000"/>
          <w:sz w:val="20"/>
          <w:szCs w:val="20"/>
        </w:rPr>
        <w:t>16).</w:t>
      </w:r>
      <w:r w:rsidRPr="006C0EE2">
        <w:rPr>
          <w:rFonts w:ascii="Times New Roman" w:eastAsia="Calibri" w:hAnsi="Times New Roman" w:cs="Times New Roman"/>
          <w:color w:val="000000" w:themeColor="text1"/>
          <w:sz w:val="20"/>
          <w:szCs w:val="20"/>
        </w:rPr>
        <w:t xml:space="preserve"> </w:t>
      </w:r>
    </w:p>
    <w:p w14:paraId="7B867D1F" w14:textId="4708DD92" w:rsidR="64660B45" w:rsidRPr="00271BE3" w:rsidRDefault="64660B45" w:rsidP="00952A35">
      <w:pPr>
        <w:spacing w:after="0" w:line="240" w:lineRule="auto"/>
        <w:jc w:val="both"/>
        <w:rPr>
          <w:rFonts w:ascii="Times New Roman" w:eastAsiaTheme="minorEastAsia" w:hAnsi="Times New Roman" w:cs="Times New Roman"/>
          <w:color w:val="000000" w:themeColor="text1"/>
          <w:sz w:val="24"/>
          <w:szCs w:val="24"/>
          <w:highlight w:val="cyan"/>
        </w:rPr>
      </w:pPr>
    </w:p>
    <w:p w14:paraId="6A102B63" w14:textId="7E087565" w:rsidR="4C7D3EBF" w:rsidRPr="00271BE3" w:rsidRDefault="4C7D3EBF" w:rsidP="00952A35">
      <w:pPr>
        <w:spacing w:after="0" w:line="240" w:lineRule="auto"/>
        <w:jc w:val="both"/>
        <w:rPr>
          <w:rFonts w:ascii="Times New Roman" w:eastAsia="Calibri" w:hAnsi="Times New Roman" w:cs="Times New Roman"/>
          <w:sz w:val="24"/>
          <w:szCs w:val="24"/>
          <w:highlight w:val="cyan"/>
        </w:rPr>
      </w:pPr>
      <w:r w:rsidRPr="00271BE3">
        <w:rPr>
          <w:rFonts w:ascii="Times New Roman" w:eastAsiaTheme="minorEastAsia" w:hAnsi="Times New Roman" w:cs="Times New Roman"/>
          <w:color w:val="000000" w:themeColor="text1"/>
          <w:sz w:val="24"/>
          <w:szCs w:val="24"/>
          <w:highlight w:val="cyan"/>
        </w:rPr>
        <w:lastRenderedPageBreak/>
        <w:t>Apenas para registro formal, destacamos que foram fixados preços unitários máximos para cada item do termo de referência (</w:t>
      </w:r>
      <w:r w:rsidR="5730D7F5" w:rsidRPr="00271BE3">
        <w:rPr>
          <w:rFonts w:ascii="Times New Roman" w:eastAsiaTheme="minorEastAsia" w:hAnsi="Times New Roman" w:cs="Times New Roman"/>
          <w:color w:val="000000" w:themeColor="text1"/>
          <w:sz w:val="24"/>
          <w:szCs w:val="24"/>
          <w:highlight w:val="cyan"/>
        </w:rPr>
        <w:t>a</w:t>
      </w:r>
      <w:r w:rsidRPr="00271BE3">
        <w:rPr>
          <w:rFonts w:ascii="Times New Roman" w:eastAsiaTheme="minorEastAsia" w:hAnsi="Times New Roman" w:cs="Times New Roman"/>
          <w:color w:val="000000" w:themeColor="text1"/>
          <w:sz w:val="24"/>
          <w:szCs w:val="24"/>
          <w:highlight w:val="cyan"/>
        </w:rPr>
        <w:t xml:space="preserve">rt. 6º, XXIII, alínea "i", art. 23, § </w:t>
      </w:r>
      <w:r w:rsidR="43BD30B6" w:rsidRPr="00271BE3">
        <w:rPr>
          <w:rFonts w:ascii="Times New Roman" w:eastAsiaTheme="minorEastAsia" w:hAnsi="Times New Roman" w:cs="Times New Roman"/>
          <w:color w:val="000000" w:themeColor="text1"/>
          <w:sz w:val="24"/>
          <w:szCs w:val="24"/>
          <w:highlight w:val="cyan"/>
        </w:rPr>
        <w:t>2</w:t>
      </w:r>
      <w:r w:rsidRPr="00271BE3">
        <w:rPr>
          <w:rFonts w:ascii="Times New Roman" w:eastAsiaTheme="minorEastAsia" w:hAnsi="Times New Roman" w:cs="Times New Roman"/>
          <w:color w:val="000000" w:themeColor="text1"/>
          <w:sz w:val="24"/>
          <w:szCs w:val="24"/>
          <w:highlight w:val="cyan"/>
        </w:rPr>
        <w:t>º, I, da Lei nº 14.133</w:t>
      </w:r>
      <w:r w:rsidR="00985F37" w:rsidRPr="00271BE3">
        <w:rPr>
          <w:rFonts w:ascii="Times New Roman" w:eastAsiaTheme="minorEastAsia" w:hAnsi="Times New Roman" w:cs="Times New Roman"/>
          <w:color w:val="000000" w:themeColor="text1"/>
          <w:sz w:val="24"/>
          <w:szCs w:val="24"/>
          <w:highlight w:val="cyan"/>
        </w:rPr>
        <w:t xml:space="preserve">, de </w:t>
      </w:r>
      <w:r w:rsidRPr="00271BE3">
        <w:rPr>
          <w:rFonts w:ascii="Times New Roman" w:eastAsiaTheme="minorEastAsia" w:hAnsi="Times New Roman" w:cs="Times New Roman"/>
          <w:color w:val="000000" w:themeColor="text1"/>
          <w:sz w:val="24"/>
          <w:szCs w:val="24"/>
          <w:highlight w:val="cyan"/>
        </w:rPr>
        <w:t xml:space="preserve">2021 c/c </w:t>
      </w:r>
      <w:r w:rsidR="183AD70A" w:rsidRPr="00271BE3">
        <w:rPr>
          <w:rFonts w:ascii="Times New Roman" w:eastAsiaTheme="minorEastAsia" w:hAnsi="Times New Roman" w:cs="Times New Roman"/>
          <w:color w:val="000000" w:themeColor="text1"/>
          <w:sz w:val="24"/>
          <w:szCs w:val="24"/>
          <w:highlight w:val="cyan"/>
        </w:rPr>
        <w:t xml:space="preserve">art. 2º, IX, do </w:t>
      </w:r>
      <w:r w:rsidR="00AB1EAE" w:rsidRPr="00271BE3">
        <w:rPr>
          <w:rFonts w:ascii="Times New Roman" w:eastAsiaTheme="minorEastAsia" w:hAnsi="Times New Roman" w:cs="Times New Roman"/>
          <w:sz w:val="24"/>
          <w:szCs w:val="24"/>
          <w:highlight w:val="cyan"/>
        </w:rPr>
        <w:t>Decreto n</w:t>
      </w:r>
      <w:r w:rsidR="183AD70A" w:rsidRPr="00271BE3">
        <w:rPr>
          <w:rFonts w:ascii="Times New Roman" w:eastAsiaTheme="minorEastAsia" w:hAnsi="Times New Roman" w:cs="Times New Roman"/>
          <w:sz w:val="24"/>
          <w:szCs w:val="24"/>
          <w:highlight w:val="cyan"/>
        </w:rPr>
        <w:t xml:space="preserve">º 7.983, </w:t>
      </w:r>
      <w:r w:rsidR="00AB1EAE" w:rsidRPr="00271BE3">
        <w:rPr>
          <w:rFonts w:ascii="Times New Roman" w:eastAsiaTheme="minorEastAsia" w:hAnsi="Times New Roman" w:cs="Times New Roman"/>
          <w:sz w:val="24"/>
          <w:szCs w:val="24"/>
          <w:highlight w:val="cyan"/>
        </w:rPr>
        <w:t xml:space="preserve">de </w:t>
      </w:r>
      <w:r w:rsidR="183AD70A" w:rsidRPr="00271BE3">
        <w:rPr>
          <w:rFonts w:ascii="Times New Roman" w:eastAsiaTheme="minorEastAsia" w:hAnsi="Times New Roman" w:cs="Times New Roman"/>
          <w:sz w:val="24"/>
          <w:szCs w:val="24"/>
          <w:highlight w:val="cyan"/>
        </w:rPr>
        <w:t>2013</w:t>
      </w:r>
      <w:r w:rsidRPr="00271BE3">
        <w:rPr>
          <w:rFonts w:ascii="Times New Roman" w:eastAsiaTheme="minorEastAsia" w:hAnsi="Times New Roman" w:cs="Times New Roman"/>
          <w:color w:val="000000" w:themeColor="text1"/>
          <w:sz w:val="24"/>
          <w:szCs w:val="24"/>
          <w:highlight w:val="cyan"/>
        </w:rPr>
        <w:t xml:space="preserve">, </w:t>
      </w:r>
      <w:r w:rsidR="799D49BD" w:rsidRPr="00271BE3">
        <w:rPr>
          <w:rFonts w:ascii="Times New Roman" w:eastAsiaTheme="minorEastAsia" w:hAnsi="Times New Roman" w:cs="Times New Roman"/>
          <w:color w:val="000000" w:themeColor="text1"/>
          <w:sz w:val="24"/>
          <w:szCs w:val="24"/>
          <w:highlight w:val="cyan"/>
        </w:rPr>
        <w:t xml:space="preserve">e </w:t>
      </w:r>
      <w:r w:rsidRPr="00271BE3">
        <w:rPr>
          <w:rFonts w:ascii="Times New Roman" w:eastAsiaTheme="minorEastAsia" w:hAnsi="Times New Roman" w:cs="Times New Roman"/>
          <w:color w:val="000000" w:themeColor="text1"/>
          <w:sz w:val="24"/>
          <w:szCs w:val="24"/>
          <w:highlight w:val="cyan"/>
        </w:rPr>
        <w:t>Súmula TCU nº 259</w:t>
      </w:r>
      <w:r w:rsidR="455D5D9F" w:rsidRPr="00271BE3">
        <w:rPr>
          <w:rFonts w:ascii="Times New Roman" w:eastAsia="Calibri" w:hAnsi="Times New Roman" w:cs="Times New Roman"/>
          <w:color w:val="000000" w:themeColor="text1"/>
          <w:sz w:val="24"/>
          <w:szCs w:val="24"/>
          <w:highlight w:val="cyan"/>
        </w:rPr>
        <w:t>.</w:t>
      </w:r>
    </w:p>
    <w:p w14:paraId="490025AE" w14:textId="58A43BEA" w:rsidR="5EDA9859" w:rsidRPr="00271BE3" w:rsidRDefault="00952A35" w:rsidP="00952A35">
      <w:pPr>
        <w:spacing w:after="0" w:line="240" w:lineRule="auto"/>
        <w:ind w:firstLine="708"/>
        <w:jc w:val="both"/>
        <w:rPr>
          <w:rFonts w:ascii="Times New Roman" w:eastAsiaTheme="minorEastAsia" w:hAnsi="Times New Roman" w:cs="Times New Roman"/>
          <w:b/>
          <w:bCs/>
          <w:color w:val="000000" w:themeColor="text1"/>
          <w:sz w:val="24"/>
          <w:szCs w:val="24"/>
          <w:highlight w:val="cyan"/>
          <w:u w:val="single"/>
        </w:rPr>
      </w:pPr>
      <w:r>
        <w:rPr>
          <w:rFonts w:ascii="Times New Roman" w:eastAsiaTheme="minorEastAsia" w:hAnsi="Times New Roman" w:cs="Times New Roman"/>
          <w:b/>
          <w:bCs/>
          <w:color w:val="000000" w:themeColor="text1"/>
          <w:sz w:val="24"/>
          <w:szCs w:val="24"/>
          <w:highlight w:val="cyan"/>
          <w:u w:val="single"/>
        </w:rPr>
        <w:t>O</w:t>
      </w:r>
      <w:r w:rsidR="5EDA9859" w:rsidRPr="00271BE3">
        <w:rPr>
          <w:rFonts w:ascii="Times New Roman" w:eastAsiaTheme="minorEastAsia" w:hAnsi="Times New Roman" w:cs="Times New Roman"/>
          <w:b/>
          <w:bCs/>
          <w:color w:val="000000" w:themeColor="text1"/>
          <w:sz w:val="24"/>
          <w:szCs w:val="24"/>
          <w:highlight w:val="cyan"/>
          <w:u w:val="single"/>
        </w:rPr>
        <w:t>U</w:t>
      </w:r>
    </w:p>
    <w:p w14:paraId="33724AD8" w14:textId="1EA96341" w:rsidR="5EDA9859" w:rsidRPr="00271BE3" w:rsidRDefault="5EDA9859" w:rsidP="00180E82">
      <w:pPr>
        <w:spacing w:after="0" w:line="240" w:lineRule="auto"/>
        <w:ind w:firstLine="708"/>
        <w:jc w:val="both"/>
        <w:rPr>
          <w:rFonts w:ascii="Times New Roman" w:eastAsiaTheme="minorEastAsia" w:hAnsi="Times New Roman" w:cs="Times New Roman"/>
          <w:color w:val="000000" w:themeColor="text1"/>
          <w:sz w:val="24"/>
          <w:szCs w:val="24"/>
          <w:highlight w:val="cyan"/>
        </w:rPr>
      </w:pPr>
      <w:r w:rsidRPr="594C5555">
        <w:rPr>
          <w:rFonts w:ascii="Times New Roman" w:eastAsiaTheme="minorEastAsia" w:hAnsi="Times New Roman" w:cs="Times New Roman"/>
          <w:color w:val="000000" w:themeColor="text1"/>
          <w:sz w:val="24"/>
          <w:szCs w:val="24"/>
          <w:highlight w:val="cyan"/>
        </w:rPr>
        <w:t xml:space="preserve">Destaca-se que </w:t>
      </w:r>
      <w:r w:rsidRPr="594C5555">
        <w:rPr>
          <w:rFonts w:ascii="Times New Roman" w:eastAsiaTheme="minorEastAsia" w:hAnsi="Times New Roman" w:cs="Times New Roman"/>
          <w:color w:val="000000" w:themeColor="text1"/>
          <w:sz w:val="24"/>
          <w:szCs w:val="24"/>
          <w:highlight w:val="cyan"/>
          <w:u w:val="single"/>
        </w:rPr>
        <w:t>não foram fixados preços unitários máximos</w:t>
      </w:r>
      <w:r w:rsidRPr="594C5555">
        <w:rPr>
          <w:rFonts w:ascii="Times New Roman" w:eastAsiaTheme="minorEastAsia" w:hAnsi="Times New Roman" w:cs="Times New Roman"/>
          <w:color w:val="000000" w:themeColor="text1"/>
          <w:sz w:val="24"/>
          <w:szCs w:val="24"/>
          <w:highlight w:val="cyan"/>
        </w:rPr>
        <w:t xml:space="preserve"> para cada item do termo de referência (</w:t>
      </w:r>
      <w:r w:rsidR="11CA1380" w:rsidRPr="594C5555">
        <w:rPr>
          <w:rFonts w:ascii="Times New Roman" w:eastAsiaTheme="minorEastAsia" w:hAnsi="Times New Roman" w:cs="Times New Roman"/>
          <w:color w:val="000000" w:themeColor="text1"/>
          <w:sz w:val="24"/>
          <w:szCs w:val="24"/>
          <w:highlight w:val="cyan"/>
        </w:rPr>
        <w:t>art. 6º, XXIII, alínea "i", art. 23, § 2º, I, da Lei nº 14.133</w:t>
      </w:r>
      <w:r w:rsidR="00F302DA" w:rsidRPr="594C5555">
        <w:rPr>
          <w:rFonts w:ascii="Times New Roman" w:eastAsiaTheme="minorEastAsia" w:hAnsi="Times New Roman" w:cs="Times New Roman"/>
          <w:color w:val="000000" w:themeColor="text1"/>
          <w:sz w:val="24"/>
          <w:szCs w:val="24"/>
          <w:highlight w:val="cyan"/>
        </w:rPr>
        <w:t xml:space="preserve">, de </w:t>
      </w:r>
      <w:r w:rsidR="11CA1380" w:rsidRPr="594C5555">
        <w:rPr>
          <w:rFonts w:ascii="Times New Roman" w:eastAsiaTheme="minorEastAsia" w:hAnsi="Times New Roman" w:cs="Times New Roman"/>
          <w:color w:val="000000" w:themeColor="text1"/>
          <w:sz w:val="24"/>
          <w:szCs w:val="24"/>
          <w:highlight w:val="cyan"/>
        </w:rPr>
        <w:t xml:space="preserve">2021 c/c art. 2º, IX, do </w:t>
      </w:r>
      <w:r w:rsidR="00AB1EAE" w:rsidRPr="594C5555">
        <w:rPr>
          <w:rFonts w:ascii="Times New Roman" w:eastAsiaTheme="minorEastAsia" w:hAnsi="Times New Roman" w:cs="Times New Roman"/>
          <w:sz w:val="24"/>
          <w:szCs w:val="24"/>
          <w:highlight w:val="cyan"/>
        </w:rPr>
        <w:t>Decreto n</w:t>
      </w:r>
      <w:r w:rsidR="11CA1380" w:rsidRPr="594C5555">
        <w:rPr>
          <w:rFonts w:ascii="Times New Roman" w:eastAsiaTheme="minorEastAsia" w:hAnsi="Times New Roman" w:cs="Times New Roman"/>
          <w:sz w:val="24"/>
          <w:szCs w:val="24"/>
          <w:highlight w:val="cyan"/>
        </w:rPr>
        <w:t xml:space="preserve">º 7.983, </w:t>
      </w:r>
      <w:r w:rsidR="00AB1EAE" w:rsidRPr="594C5555">
        <w:rPr>
          <w:rFonts w:ascii="Times New Roman" w:eastAsiaTheme="minorEastAsia" w:hAnsi="Times New Roman" w:cs="Times New Roman"/>
          <w:sz w:val="24"/>
          <w:szCs w:val="24"/>
          <w:highlight w:val="cyan"/>
        </w:rPr>
        <w:t xml:space="preserve">de </w:t>
      </w:r>
      <w:r w:rsidR="11CA1380" w:rsidRPr="594C5555">
        <w:rPr>
          <w:rFonts w:ascii="Times New Roman" w:eastAsiaTheme="minorEastAsia" w:hAnsi="Times New Roman" w:cs="Times New Roman"/>
          <w:sz w:val="24"/>
          <w:szCs w:val="24"/>
          <w:highlight w:val="cyan"/>
        </w:rPr>
        <w:t>2013</w:t>
      </w:r>
      <w:r w:rsidR="11CA1380" w:rsidRPr="594C5555">
        <w:rPr>
          <w:rFonts w:ascii="Times New Roman" w:eastAsiaTheme="minorEastAsia" w:hAnsi="Times New Roman" w:cs="Times New Roman"/>
          <w:color w:val="000000" w:themeColor="text1"/>
          <w:sz w:val="24"/>
          <w:szCs w:val="24"/>
          <w:highlight w:val="cyan"/>
        </w:rPr>
        <w:t>, e Súmula TCU nº 259</w:t>
      </w:r>
      <w:r w:rsidRPr="594C5555">
        <w:rPr>
          <w:rFonts w:ascii="Times New Roman" w:eastAsiaTheme="minorEastAsia" w:hAnsi="Times New Roman" w:cs="Times New Roman"/>
          <w:color w:val="000000" w:themeColor="text1"/>
          <w:sz w:val="24"/>
          <w:szCs w:val="24"/>
          <w:highlight w:val="cyan"/>
        </w:rPr>
        <w:t xml:space="preserve">), </w:t>
      </w:r>
      <w:r w:rsidRPr="594C5555">
        <w:rPr>
          <w:rFonts w:ascii="Times New Roman" w:eastAsiaTheme="minorEastAsia" w:hAnsi="Times New Roman" w:cs="Times New Roman"/>
          <w:color w:val="000000" w:themeColor="text1"/>
          <w:sz w:val="24"/>
          <w:szCs w:val="24"/>
          <w:highlight w:val="cyan"/>
          <w:u w:val="single"/>
        </w:rPr>
        <w:t>o que deve ser providenciado</w:t>
      </w:r>
      <w:r w:rsidRPr="594C5555">
        <w:rPr>
          <w:rFonts w:ascii="Times New Roman" w:eastAsiaTheme="minorEastAsia" w:hAnsi="Times New Roman" w:cs="Times New Roman"/>
          <w:color w:val="000000" w:themeColor="text1"/>
          <w:sz w:val="24"/>
          <w:szCs w:val="24"/>
          <w:highlight w:val="cyan"/>
        </w:rPr>
        <w:t>.</w:t>
      </w:r>
    </w:p>
    <w:p w14:paraId="3AFC2703" w14:textId="321355D9" w:rsidR="78D0A4A4" w:rsidRPr="00271BE3" w:rsidRDefault="2EE1D6DC" w:rsidP="00952A35">
      <w:pPr>
        <w:spacing w:after="0" w:line="240" w:lineRule="auto"/>
        <w:ind w:firstLine="708"/>
        <w:jc w:val="both"/>
        <w:rPr>
          <w:rFonts w:ascii="Times New Roman" w:eastAsiaTheme="minorEastAsia" w:hAnsi="Times New Roman" w:cs="Times New Roman"/>
          <w:b/>
          <w:bCs/>
          <w:color w:val="000000" w:themeColor="text1"/>
          <w:sz w:val="24"/>
          <w:szCs w:val="24"/>
          <w:highlight w:val="cyan"/>
          <w:u w:val="single"/>
        </w:rPr>
      </w:pPr>
      <w:r w:rsidRPr="00271BE3">
        <w:rPr>
          <w:rFonts w:ascii="Times New Roman" w:eastAsiaTheme="minorEastAsia" w:hAnsi="Times New Roman" w:cs="Times New Roman"/>
          <w:b/>
          <w:bCs/>
          <w:color w:val="000000" w:themeColor="text1"/>
          <w:sz w:val="24"/>
          <w:szCs w:val="24"/>
          <w:highlight w:val="cyan"/>
          <w:u w:val="single"/>
        </w:rPr>
        <w:t>OU</w:t>
      </w:r>
    </w:p>
    <w:p w14:paraId="33A84F72" w14:textId="72273628" w:rsidR="78D0A4A4" w:rsidRPr="00271BE3" w:rsidRDefault="0A05BE05" w:rsidP="00180E82">
      <w:pPr>
        <w:spacing w:after="0" w:line="240" w:lineRule="auto"/>
        <w:ind w:firstLine="708"/>
        <w:jc w:val="both"/>
        <w:rPr>
          <w:rFonts w:ascii="Times New Roman" w:eastAsia="Calibri" w:hAnsi="Times New Roman" w:cs="Times New Roman"/>
          <w:color w:val="000000" w:themeColor="text1"/>
          <w:sz w:val="24"/>
          <w:szCs w:val="24"/>
          <w:highlight w:val="cyan"/>
        </w:rPr>
      </w:pPr>
      <w:r w:rsidRPr="594C5555">
        <w:rPr>
          <w:rFonts w:ascii="Times New Roman" w:eastAsia="Calibri" w:hAnsi="Times New Roman" w:cs="Times New Roman"/>
          <w:color w:val="000000" w:themeColor="text1"/>
          <w:sz w:val="24"/>
          <w:szCs w:val="24"/>
          <w:highlight w:val="cyan"/>
        </w:rPr>
        <w:t>Destaca-se que a Administração optou pela não divulgação do orçamento, tornando-o sigiloso, conforme permissão do art. 24 da Lei nº 14.133</w:t>
      </w:r>
      <w:r w:rsidR="00F302DA" w:rsidRPr="594C5555">
        <w:rPr>
          <w:rFonts w:ascii="Times New Roman" w:eastAsia="Calibri" w:hAnsi="Times New Roman" w:cs="Times New Roman"/>
          <w:color w:val="000000" w:themeColor="text1"/>
          <w:sz w:val="24"/>
          <w:szCs w:val="24"/>
          <w:highlight w:val="cyan"/>
        </w:rPr>
        <w:t xml:space="preserve">, de </w:t>
      </w:r>
      <w:r w:rsidRPr="594C5555">
        <w:rPr>
          <w:rFonts w:ascii="Times New Roman" w:eastAsia="Calibri" w:hAnsi="Times New Roman" w:cs="Times New Roman"/>
          <w:color w:val="000000" w:themeColor="text1"/>
          <w:sz w:val="24"/>
          <w:szCs w:val="24"/>
          <w:highlight w:val="cyan"/>
        </w:rPr>
        <w:t>2021. Vale observar que, ainda assim, o orçamento deverá ser disponibilizado exclusiva e permanentemente aos órgãos de controle externo e interno.</w:t>
      </w:r>
    </w:p>
    <w:p w14:paraId="6A70E017" w14:textId="5FD06B4F" w:rsidR="78D0A4A4" w:rsidRPr="00271BE3" w:rsidRDefault="78D0A4A4" w:rsidP="00952A35">
      <w:pPr>
        <w:spacing w:after="0" w:line="240" w:lineRule="auto"/>
        <w:ind w:firstLine="708"/>
        <w:jc w:val="both"/>
        <w:rPr>
          <w:rFonts w:ascii="Times New Roman" w:hAnsi="Times New Roman" w:cs="Times New Roman"/>
          <w:sz w:val="24"/>
          <w:szCs w:val="24"/>
          <w:highlight w:val="cyan"/>
        </w:rPr>
      </w:pPr>
      <w:r w:rsidRPr="00271BE3">
        <w:rPr>
          <w:rFonts w:ascii="Times New Roman" w:eastAsia="Calibri" w:hAnsi="Times New Roman" w:cs="Times New Roman"/>
          <w:b/>
          <w:bCs/>
          <w:color w:val="000000" w:themeColor="text1"/>
          <w:sz w:val="24"/>
          <w:szCs w:val="24"/>
          <w:highlight w:val="cyan"/>
          <w:u w:val="single"/>
        </w:rPr>
        <w:t>OU</w:t>
      </w:r>
    </w:p>
    <w:p w14:paraId="1467CD9A" w14:textId="70765AF5" w:rsidR="78D0A4A4" w:rsidRPr="00271BE3" w:rsidRDefault="0A05BE05" w:rsidP="00180E82">
      <w:pPr>
        <w:spacing w:after="0" w:line="240" w:lineRule="auto"/>
        <w:ind w:firstLine="708"/>
        <w:jc w:val="both"/>
        <w:rPr>
          <w:rFonts w:ascii="Times New Roman" w:hAnsi="Times New Roman" w:cs="Times New Roman"/>
          <w:b/>
          <w:bCs/>
          <w:sz w:val="24"/>
          <w:szCs w:val="24"/>
        </w:rPr>
      </w:pPr>
      <w:r w:rsidRPr="594C5555">
        <w:rPr>
          <w:rFonts w:ascii="Times New Roman" w:eastAsia="Calibri" w:hAnsi="Times New Roman" w:cs="Times New Roman"/>
          <w:color w:val="000000" w:themeColor="text1"/>
          <w:sz w:val="24"/>
          <w:szCs w:val="24"/>
          <w:highlight w:val="cyan"/>
        </w:rPr>
        <w:t xml:space="preserve">Considerando que a presente licitação tem como critério de julgamento o maior desconto, o </w:t>
      </w:r>
      <w:r w:rsidRPr="594C5555">
        <w:rPr>
          <w:rFonts w:ascii="Times New Roman" w:eastAsia="Calibri" w:hAnsi="Times New Roman" w:cs="Times New Roman"/>
          <w:sz w:val="24"/>
          <w:szCs w:val="24"/>
          <w:highlight w:val="cyan"/>
        </w:rPr>
        <w:t>preço estimado ou o máximo aceitável</w:t>
      </w:r>
      <w:r w:rsidRPr="594C5555">
        <w:rPr>
          <w:rFonts w:ascii="Times New Roman" w:eastAsia="Calibri" w:hAnsi="Times New Roman" w:cs="Times New Roman"/>
          <w:color w:val="000000" w:themeColor="text1"/>
          <w:sz w:val="24"/>
          <w:szCs w:val="24"/>
          <w:highlight w:val="cyan"/>
        </w:rPr>
        <w:t xml:space="preserve"> para a aplicação do desconto devem constar obrigatoriamente do instrumento convocatório, nos termos do art. 24, parágrafo único, da Lei nº 14.133</w:t>
      </w:r>
      <w:r w:rsidR="00F302DA" w:rsidRPr="594C5555">
        <w:rPr>
          <w:rFonts w:ascii="Times New Roman" w:eastAsia="Calibri" w:hAnsi="Times New Roman" w:cs="Times New Roman"/>
          <w:color w:val="000000" w:themeColor="text1"/>
          <w:sz w:val="24"/>
          <w:szCs w:val="24"/>
          <w:highlight w:val="cyan"/>
        </w:rPr>
        <w:t xml:space="preserve">, de </w:t>
      </w:r>
      <w:r w:rsidRPr="594C5555">
        <w:rPr>
          <w:rFonts w:ascii="Times New Roman" w:eastAsia="Calibri" w:hAnsi="Times New Roman" w:cs="Times New Roman"/>
          <w:color w:val="000000" w:themeColor="text1"/>
          <w:sz w:val="24"/>
          <w:szCs w:val="24"/>
          <w:highlight w:val="cyan"/>
        </w:rPr>
        <w:t xml:space="preserve">2021, </w:t>
      </w:r>
      <w:r w:rsidRPr="594C5555">
        <w:rPr>
          <w:rFonts w:ascii="Times New Roman" w:eastAsia="Calibri" w:hAnsi="Times New Roman" w:cs="Times New Roman"/>
          <w:color w:val="FF0000"/>
          <w:sz w:val="24"/>
          <w:szCs w:val="24"/>
          <w:highlight w:val="cyan"/>
        </w:rPr>
        <w:t>o que foi observado no presente caso (</w:t>
      </w:r>
      <w:r w:rsidRPr="594C5555">
        <w:rPr>
          <w:rFonts w:ascii="Times New Roman" w:eastAsia="Calibri" w:hAnsi="Times New Roman" w:cs="Times New Roman"/>
          <w:color w:val="FF0000"/>
          <w:sz w:val="24"/>
          <w:szCs w:val="24"/>
          <w:highlight w:val="cyan"/>
          <w:u w:val="single"/>
        </w:rPr>
        <w:t>OU</w:t>
      </w:r>
      <w:r w:rsidRPr="594C5555">
        <w:rPr>
          <w:rFonts w:ascii="Times New Roman" w:eastAsia="Calibri" w:hAnsi="Times New Roman" w:cs="Times New Roman"/>
          <w:color w:val="FF0000"/>
          <w:sz w:val="24"/>
          <w:szCs w:val="24"/>
          <w:highlight w:val="cyan"/>
        </w:rPr>
        <w:t xml:space="preserve"> </w:t>
      </w:r>
      <w:r w:rsidRPr="594C5555">
        <w:rPr>
          <w:rFonts w:ascii="Times New Roman" w:eastAsia="Calibri" w:hAnsi="Times New Roman" w:cs="Times New Roman"/>
          <w:color w:val="FF0000"/>
          <w:sz w:val="24"/>
          <w:szCs w:val="24"/>
          <w:highlight w:val="cyan"/>
          <w:u w:val="single"/>
        </w:rPr>
        <w:t>o que deve ser regularizado no presente caso</w:t>
      </w:r>
      <w:r w:rsidRPr="594C5555">
        <w:rPr>
          <w:rFonts w:ascii="Times New Roman" w:eastAsia="Calibri" w:hAnsi="Times New Roman" w:cs="Times New Roman"/>
          <w:color w:val="FF0000"/>
          <w:sz w:val="24"/>
          <w:szCs w:val="24"/>
          <w:highlight w:val="cyan"/>
        </w:rPr>
        <w:t>).</w:t>
      </w:r>
    </w:p>
    <w:p w14:paraId="1A648E71"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D13AA02" w14:textId="77777777" w:rsidR="000F224A" w:rsidRDefault="79B9EDE3" w:rsidP="00952A35">
      <w:pPr>
        <w:spacing w:after="0" w:line="240" w:lineRule="auto"/>
        <w:jc w:val="both"/>
        <w:rPr>
          <w:rFonts w:ascii="Times New Roman" w:eastAsia="Times New Roman" w:hAnsi="Times New Roman" w:cs="Times New Roman"/>
          <w:b/>
          <w:bCs/>
          <w:color w:val="000000" w:themeColor="text1"/>
          <w:sz w:val="24"/>
          <w:szCs w:val="24"/>
          <w:lang w:eastAsia="pt-BR"/>
        </w:rPr>
      </w:pPr>
      <w:r w:rsidRPr="00271BE3">
        <w:rPr>
          <w:rFonts w:ascii="Times New Roman" w:eastAsia="Times New Roman" w:hAnsi="Times New Roman" w:cs="Times New Roman"/>
          <w:color w:val="000000" w:themeColor="text1"/>
          <w:sz w:val="24"/>
          <w:szCs w:val="24"/>
          <w:lang w:eastAsia="pt-BR"/>
        </w:rPr>
        <w:t>Dito isto, passaremos a destacar, nos tópicos seguintes, pontos específicos do planejamento da contratação, considerados essenciais à avaliação da regularidade geral do presente procedimento.</w:t>
      </w:r>
    </w:p>
    <w:p w14:paraId="5403B761" w14:textId="77777777" w:rsidR="000F224A" w:rsidRDefault="000F224A" w:rsidP="00952A35">
      <w:pPr>
        <w:spacing w:after="0" w:line="240" w:lineRule="auto"/>
        <w:jc w:val="both"/>
        <w:rPr>
          <w:rFonts w:ascii="Times New Roman" w:eastAsia="Times New Roman" w:hAnsi="Times New Roman" w:cs="Times New Roman"/>
          <w:b/>
          <w:bCs/>
          <w:color w:val="000000" w:themeColor="text1"/>
          <w:sz w:val="24"/>
          <w:szCs w:val="24"/>
          <w:lang w:eastAsia="pt-BR"/>
        </w:rPr>
      </w:pPr>
    </w:p>
    <w:p w14:paraId="533BF2AE" w14:textId="6D79DEBB" w:rsidR="004423CE" w:rsidRPr="00271BE3" w:rsidRDefault="79B9EDE3"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Necessidade da contratação e vedações às especificações restritivas</w:t>
      </w:r>
    </w:p>
    <w:p w14:paraId="64000E17" w14:textId="2CB6AFEB" w:rsidR="66EBB3D6" w:rsidRPr="00271BE3" w:rsidRDefault="66EBB3D6" w:rsidP="00952A35">
      <w:pPr>
        <w:spacing w:after="0" w:line="240" w:lineRule="auto"/>
        <w:ind w:firstLine="1418"/>
        <w:jc w:val="both"/>
        <w:rPr>
          <w:rFonts w:ascii="Times New Roman" w:eastAsia="Times New Roman" w:hAnsi="Times New Roman" w:cs="Times New Roman"/>
          <w:color w:val="000000" w:themeColor="text1"/>
          <w:sz w:val="24"/>
          <w:szCs w:val="24"/>
          <w:lang w:eastAsia="pt-BR"/>
        </w:rPr>
      </w:pPr>
    </w:p>
    <w:p w14:paraId="7AEA4E3D" w14:textId="195A9917" w:rsidR="4D6C5088" w:rsidRDefault="4D6C5088" w:rsidP="00473110">
      <w:pPr>
        <w:spacing w:after="0" w:line="240" w:lineRule="auto"/>
        <w:jc w:val="both"/>
        <w:rPr>
          <w:rFonts w:ascii="Times New Roman" w:eastAsia="Calibri" w:hAnsi="Times New Roman" w:cs="Times New Roman"/>
          <w:color w:val="000000" w:themeColor="text1"/>
          <w:sz w:val="24"/>
          <w:szCs w:val="24"/>
        </w:rPr>
      </w:pPr>
      <w:r w:rsidRPr="00BB0272">
        <w:rPr>
          <w:rFonts w:ascii="Times New Roman" w:eastAsia="Calibri" w:hAnsi="Times New Roman" w:cs="Times New Roman"/>
          <w:color w:val="000000" w:themeColor="text1"/>
          <w:sz w:val="24"/>
          <w:szCs w:val="24"/>
        </w:rPr>
        <w:t xml:space="preserve">A necessidade da contratação foi justificada, tendo sido estimados os quantitativos de serviço a partir de método amparado por documentos juntados aos autos (fls. </w:t>
      </w:r>
      <w:r w:rsidRPr="00BB0272">
        <w:rPr>
          <w:rFonts w:ascii="Times New Roman" w:eastAsia="Calibri" w:hAnsi="Times New Roman" w:cs="Times New Roman"/>
          <w:color w:val="FF0000"/>
          <w:sz w:val="24"/>
          <w:szCs w:val="24"/>
        </w:rPr>
        <w:t>XXX/doc. SEI XXX</w:t>
      </w:r>
      <w:r w:rsidRPr="00BB0272">
        <w:rPr>
          <w:rFonts w:ascii="Times New Roman" w:eastAsia="Calibri" w:hAnsi="Times New Roman" w:cs="Times New Roman"/>
          <w:color w:val="000000" w:themeColor="text1"/>
          <w:sz w:val="24"/>
          <w:szCs w:val="24"/>
        </w:rPr>
        <w:t>).</w:t>
      </w:r>
      <w:r w:rsidRPr="00271BE3">
        <w:rPr>
          <w:rFonts w:ascii="Times New Roman" w:eastAsia="Calibri" w:hAnsi="Times New Roman" w:cs="Times New Roman"/>
          <w:color w:val="000000" w:themeColor="text1"/>
          <w:sz w:val="24"/>
          <w:szCs w:val="24"/>
        </w:rPr>
        <w:t xml:space="preserve"> </w:t>
      </w:r>
    </w:p>
    <w:p w14:paraId="7E7C78F0" w14:textId="77777777" w:rsidR="00BB0272" w:rsidRPr="00271BE3" w:rsidRDefault="00BB0272" w:rsidP="00473110">
      <w:pPr>
        <w:spacing w:after="0" w:line="240" w:lineRule="auto"/>
        <w:jc w:val="both"/>
        <w:rPr>
          <w:rFonts w:ascii="Times New Roman" w:hAnsi="Times New Roman" w:cs="Times New Roman"/>
          <w:sz w:val="24"/>
          <w:szCs w:val="24"/>
        </w:rPr>
      </w:pPr>
    </w:p>
    <w:p w14:paraId="502CA97B" w14:textId="3A000297" w:rsidR="4D6C5088" w:rsidRPr="00271BE3" w:rsidRDefault="4D6C5088"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highlight w:val="cyan"/>
        </w:rPr>
        <w:t>Como se sabe, a justificativa da necessidade da contratação constitui questão de ordem técnica e administrativa, razão pela qual, a teor do Enunciado nº 07 do Manual de Boas Práticas Consultivas da Advocacia</w:t>
      </w:r>
      <w:r w:rsidR="003B2A96" w:rsidRPr="00271BE3">
        <w:rPr>
          <w:rFonts w:ascii="Times New Roman" w:eastAsia="Calibri" w:hAnsi="Times New Roman" w:cs="Times New Roman"/>
          <w:color w:val="000000" w:themeColor="text1"/>
          <w:sz w:val="24"/>
          <w:szCs w:val="24"/>
          <w:highlight w:val="cyan"/>
        </w:rPr>
        <w:t>-</w:t>
      </w:r>
      <w:r w:rsidRPr="00271BE3">
        <w:rPr>
          <w:rFonts w:ascii="Times New Roman" w:eastAsia="Calibri" w:hAnsi="Times New Roman" w:cs="Times New Roman"/>
          <w:color w:val="000000" w:themeColor="text1"/>
          <w:sz w:val="24"/>
          <w:szCs w:val="24"/>
          <w:highlight w:val="cyan"/>
        </w:rPr>
        <w:t>Geral da União, não deve esta Procuradoria se pronunciar conclusivamente acerca do mérito (oportunidade e conveniência) da motivação apresentada e das opções feitas pelo administrador, exceto na hipótese de afronta a preceitos legais, o que não nos parece ser o caso.</w:t>
      </w:r>
    </w:p>
    <w:p w14:paraId="1F40134B" w14:textId="4680EDBA" w:rsidR="4D6C5088" w:rsidRPr="00271BE3" w:rsidRDefault="4D6C5088" w:rsidP="00473110">
      <w:pPr>
        <w:spacing w:after="0" w:line="240" w:lineRule="auto"/>
        <w:ind w:firstLine="708"/>
        <w:jc w:val="both"/>
        <w:rPr>
          <w:rFonts w:ascii="Times New Roman" w:hAnsi="Times New Roman" w:cs="Times New Roman"/>
          <w:sz w:val="24"/>
          <w:szCs w:val="24"/>
        </w:rPr>
      </w:pPr>
      <w:r w:rsidRPr="00271BE3">
        <w:rPr>
          <w:rFonts w:ascii="Times New Roman" w:eastAsia="Calibri" w:hAnsi="Times New Roman" w:cs="Times New Roman"/>
          <w:b/>
          <w:bCs/>
          <w:color w:val="000000" w:themeColor="text1"/>
          <w:sz w:val="24"/>
          <w:szCs w:val="24"/>
          <w:highlight w:val="cyan"/>
          <w:u w:val="single"/>
        </w:rPr>
        <w:t>OU</w:t>
      </w:r>
    </w:p>
    <w:p w14:paraId="75D848CD" w14:textId="11FF30E7" w:rsidR="4D6C5088" w:rsidRPr="00271BE3" w:rsidRDefault="3298BCD5" w:rsidP="00180E82">
      <w:pPr>
        <w:spacing w:after="0" w:line="240" w:lineRule="auto"/>
        <w:ind w:firstLine="708"/>
        <w:jc w:val="both"/>
        <w:rPr>
          <w:rFonts w:ascii="Times New Roman" w:hAnsi="Times New Roman" w:cs="Times New Roman"/>
          <w:sz w:val="24"/>
          <w:szCs w:val="24"/>
        </w:rPr>
      </w:pPr>
      <w:r w:rsidRPr="594C5555">
        <w:rPr>
          <w:rFonts w:ascii="Times New Roman" w:eastAsia="Calibri" w:hAnsi="Times New Roman" w:cs="Times New Roman"/>
          <w:color w:val="000000" w:themeColor="text1"/>
          <w:sz w:val="24"/>
          <w:szCs w:val="24"/>
          <w:highlight w:val="cyan"/>
        </w:rPr>
        <w:t>No caso, não consta a justificativa da contratação nos autos, sendo indispensável que a Administração a providencie em conformidade com as diretrizes da IN SEGES nº 58</w:t>
      </w:r>
      <w:r w:rsidR="008A21F9" w:rsidRPr="594C5555">
        <w:rPr>
          <w:rFonts w:ascii="Times New Roman" w:eastAsia="Calibri" w:hAnsi="Times New Roman" w:cs="Times New Roman"/>
          <w:color w:val="000000" w:themeColor="text1"/>
          <w:sz w:val="24"/>
          <w:szCs w:val="24"/>
          <w:highlight w:val="cyan"/>
        </w:rPr>
        <w:t>, de 20</w:t>
      </w:r>
      <w:r w:rsidRPr="594C5555">
        <w:rPr>
          <w:rFonts w:ascii="Times New Roman" w:eastAsia="Calibri" w:hAnsi="Times New Roman" w:cs="Times New Roman"/>
          <w:color w:val="000000" w:themeColor="text1"/>
          <w:sz w:val="24"/>
          <w:szCs w:val="24"/>
          <w:highlight w:val="cyan"/>
        </w:rPr>
        <w:t>22. Recomenda-se, ainda, que o esclarecimento técnico contenha menção expressa aos documentos do processo que foram utilizados para o cálculo da estimativa dos quantitativos a serem licitados.</w:t>
      </w:r>
    </w:p>
    <w:p w14:paraId="216C89C2" w14:textId="20C0A79B" w:rsidR="4D6C5088" w:rsidRPr="00271BE3" w:rsidRDefault="4D6C5088" w:rsidP="00473110">
      <w:pPr>
        <w:spacing w:after="0" w:line="240" w:lineRule="auto"/>
        <w:ind w:firstLine="708"/>
        <w:jc w:val="both"/>
        <w:rPr>
          <w:rFonts w:ascii="Times New Roman" w:hAnsi="Times New Roman" w:cs="Times New Roman"/>
          <w:sz w:val="24"/>
          <w:szCs w:val="24"/>
        </w:rPr>
      </w:pPr>
      <w:r w:rsidRPr="00271BE3">
        <w:rPr>
          <w:rFonts w:ascii="Times New Roman" w:eastAsia="Calibri" w:hAnsi="Times New Roman" w:cs="Times New Roman"/>
          <w:b/>
          <w:bCs/>
          <w:color w:val="000000" w:themeColor="text1"/>
          <w:sz w:val="24"/>
          <w:szCs w:val="24"/>
          <w:highlight w:val="cyan"/>
          <w:u w:val="single"/>
        </w:rPr>
        <w:t>OU</w:t>
      </w:r>
    </w:p>
    <w:p w14:paraId="113D767E" w14:textId="27B0BB0D" w:rsidR="4D6C5088" w:rsidRPr="00271BE3" w:rsidRDefault="4D6C5088" w:rsidP="00180E82">
      <w:pPr>
        <w:spacing w:after="0" w:line="240" w:lineRule="auto"/>
        <w:ind w:firstLine="708"/>
        <w:jc w:val="both"/>
        <w:rPr>
          <w:rFonts w:ascii="Times New Roman" w:hAnsi="Times New Roman" w:cs="Times New Roman"/>
          <w:sz w:val="24"/>
          <w:szCs w:val="24"/>
        </w:rPr>
      </w:pPr>
      <w:r w:rsidRPr="594C5555">
        <w:rPr>
          <w:rFonts w:ascii="Times New Roman" w:eastAsia="Calibri" w:hAnsi="Times New Roman" w:cs="Times New Roman"/>
          <w:color w:val="000000" w:themeColor="text1"/>
          <w:sz w:val="24"/>
          <w:szCs w:val="24"/>
          <w:highlight w:val="cyan"/>
        </w:rPr>
        <w:t xml:space="preserve">No caso, </w:t>
      </w:r>
      <w:r w:rsidRPr="594C5555">
        <w:rPr>
          <w:rFonts w:ascii="Times New Roman" w:eastAsia="Calibri" w:hAnsi="Times New Roman" w:cs="Times New Roman"/>
          <w:color w:val="000000" w:themeColor="text1"/>
          <w:sz w:val="24"/>
          <w:szCs w:val="24"/>
          <w:highlight w:val="cyan"/>
          <w:u w:val="single"/>
        </w:rPr>
        <w:t>a justificativa da necessidade da contratação</w:t>
      </w:r>
      <w:r w:rsidRPr="594C5555">
        <w:rPr>
          <w:rFonts w:ascii="Times New Roman" w:eastAsia="Calibri" w:hAnsi="Times New Roman" w:cs="Times New Roman"/>
          <w:color w:val="000000" w:themeColor="text1"/>
          <w:sz w:val="24"/>
          <w:szCs w:val="24"/>
          <w:highlight w:val="cyan"/>
        </w:rPr>
        <w:t xml:space="preserve"> lançada no processo </w:t>
      </w:r>
      <w:r w:rsidRPr="594C5555">
        <w:rPr>
          <w:rFonts w:ascii="Times New Roman" w:eastAsia="Calibri" w:hAnsi="Times New Roman" w:cs="Times New Roman"/>
          <w:color w:val="000000" w:themeColor="text1"/>
          <w:sz w:val="24"/>
          <w:szCs w:val="24"/>
          <w:highlight w:val="cyan"/>
          <w:u w:val="single"/>
        </w:rPr>
        <w:t>merece ser aperfeiçoada</w:t>
      </w:r>
      <w:r w:rsidRPr="594C5555">
        <w:rPr>
          <w:rFonts w:ascii="Times New Roman" w:eastAsia="Calibri" w:hAnsi="Times New Roman" w:cs="Times New Roman"/>
          <w:color w:val="000000" w:themeColor="text1"/>
          <w:sz w:val="24"/>
          <w:szCs w:val="24"/>
          <w:highlight w:val="cyan"/>
        </w:rPr>
        <w:t>, sendo certo que a Administração deverá juntar manifestação técnica que esclareça a metodologia utilizada para estimativa dos quantitativos a serem licitados, com a respectiva memória de cálculo e documentos (ex.: histórico de outras contratações, relatórios, dados sobre a demanda interna, gráficos, séries históricas), pois as informações trazidas aos autos estão pouco detalhadas. Recomenda-se, ainda, que o esclarecimento técnico contenha menção expressa aos documentos do processo que foram utilizados para o cálculo da estimativa de quantidades.</w:t>
      </w:r>
    </w:p>
    <w:p w14:paraId="27848762" w14:textId="424D3BDA" w:rsidR="4D6C5088" w:rsidRPr="00271BE3" w:rsidRDefault="3298BCD5" w:rsidP="000F224A">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lastRenderedPageBreak/>
        <w:t>Observe-se, ainda, que são vedadas especificações do objeto que, por excessivas, irrelevantes ou desnecessárias, limitem ou frustrem a competição ou sua realização (art. 9º, da Lei nº 14.133</w:t>
      </w:r>
      <w:r w:rsidR="00F302DA" w:rsidRPr="00271BE3">
        <w:rPr>
          <w:rFonts w:ascii="Times New Roman" w:eastAsia="Calibri" w:hAnsi="Times New Roman" w:cs="Times New Roman"/>
          <w:color w:val="000000" w:themeColor="text1"/>
          <w:sz w:val="24"/>
          <w:szCs w:val="24"/>
        </w:rPr>
        <w:t xml:space="preserve">, de </w:t>
      </w:r>
      <w:r w:rsidRPr="00271BE3">
        <w:rPr>
          <w:rFonts w:ascii="Times New Roman" w:eastAsia="Calibri" w:hAnsi="Times New Roman" w:cs="Times New Roman"/>
          <w:color w:val="000000" w:themeColor="text1"/>
          <w:sz w:val="24"/>
          <w:szCs w:val="24"/>
        </w:rPr>
        <w:t>2021). Portanto, o gestor deverá tomar as devidas cautelas para assegurar que as especificações correspondam àquelas essenciais à contratação, sem as quais não poderão ser atendidas as necessidades da Administração.</w:t>
      </w:r>
    </w:p>
    <w:p w14:paraId="134FF816" w14:textId="29F96E4E" w:rsidR="4D6C5088" w:rsidRPr="00271BE3" w:rsidRDefault="4D6C5088" w:rsidP="00952A35">
      <w:pPr>
        <w:spacing w:after="0" w:line="240" w:lineRule="auto"/>
        <w:ind w:firstLine="1418"/>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t xml:space="preserve"> </w:t>
      </w:r>
    </w:p>
    <w:p w14:paraId="36049DF5" w14:textId="0E044644" w:rsidR="4D6C5088" w:rsidRPr="00271BE3" w:rsidRDefault="4D6C5088"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t xml:space="preserve">Registre-se que </w:t>
      </w:r>
      <w:r w:rsidRPr="00271BE3">
        <w:rPr>
          <w:rFonts w:ascii="Times New Roman" w:eastAsia="Calibri" w:hAnsi="Times New Roman" w:cs="Times New Roman"/>
          <w:color w:val="000000" w:themeColor="text1"/>
          <w:sz w:val="24"/>
          <w:szCs w:val="24"/>
          <w:u w:val="single"/>
        </w:rPr>
        <w:t>o gestor deverá estar atento às diretrizes gerais</w:t>
      </w:r>
      <w:r w:rsidRPr="00271BE3">
        <w:rPr>
          <w:rFonts w:ascii="Times New Roman" w:eastAsia="Calibri" w:hAnsi="Times New Roman" w:cs="Times New Roman"/>
          <w:color w:val="000000" w:themeColor="text1"/>
          <w:sz w:val="24"/>
          <w:szCs w:val="24"/>
        </w:rPr>
        <w:t xml:space="preserve"> do subitem 1.1 do anexo V da IN SEGES/MP nº 05</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17, quais sejam:</w:t>
      </w:r>
    </w:p>
    <w:p w14:paraId="5AF13BFD" w14:textId="584B68C6" w:rsidR="4D6C5088" w:rsidRPr="00271BE3" w:rsidRDefault="4D6C5088" w:rsidP="00952A35">
      <w:pPr>
        <w:spacing w:after="0" w:line="240" w:lineRule="auto"/>
        <w:ind w:firstLine="1418"/>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t xml:space="preserve"> </w:t>
      </w:r>
    </w:p>
    <w:p w14:paraId="738579D3" w14:textId="724ADF57" w:rsidR="4D6C5088" w:rsidRPr="00450AD9" w:rsidRDefault="4D6C5088" w:rsidP="00952A35">
      <w:pPr>
        <w:spacing w:after="0" w:line="240" w:lineRule="auto"/>
        <w:ind w:left="2268"/>
        <w:jc w:val="both"/>
        <w:rPr>
          <w:rFonts w:ascii="Times New Roman" w:hAnsi="Times New Roman" w:cs="Times New Roman"/>
          <w:sz w:val="20"/>
          <w:szCs w:val="20"/>
        </w:rPr>
      </w:pPr>
      <w:r w:rsidRPr="00450AD9">
        <w:rPr>
          <w:rFonts w:ascii="Times New Roman" w:eastAsia="Calibri" w:hAnsi="Times New Roman" w:cs="Times New Roman"/>
          <w:color w:val="000000" w:themeColor="text1"/>
          <w:sz w:val="20"/>
          <w:szCs w:val="20"/>
        </w:rPr>
        <w:t>a) prever especificações que representem a real demanda de desempenho do órgão ou entidade, não sendo admissíveis especificações que deixem de agregar valor ao resultado da contratação ou sejam superiores às necessidades do órgão ou entidade;</w:t>
      </w:r>
    </w:p>
    <w:p w14:paraId="2D94EF8B" w14:textId="13890B64" w:rsidR="4D6C5088" w:rsidRPr="00450AD9" w:rsidRDefault="4D6C5088" w:rsidP="00952A35">
      <w:pPr>
        <w:spacing w:after="0" w:line="240" w:lineRule="auto"/>
        <w:ind w:left="2268"/>
        <w:jc w:val="both"/>
        <w:rPr>
          <w:rFonts w:ascii="Times New Roman" w:hAnsi="Times New Roman" w:cs="Times New Roman"/>
          <w:sz w:val="20"/>
          <w:szCs w:val="20"/>
        </w:rPr>
      </w:pPr>
      <w:r w:rsidRPr="00450AD9">
        <w:rPr>
          <w:rFonts w:ascii="Times New Roman" w:eastAsia="Calibri" w:hAnsi="Times New Roman" w:cs="Times New Roman"/>
          <w:color w:val="000000" w:themeColor="text1"/>
          <w:sz w:val="20"/>
          <w:szCs w:val="20"/>
        </w:rPr>
        <w:t>b) não fixar especificações que, por excessivas, irrelevantes ou desnecessárias, limitam, injustificadamente, a competitividade ou direcionam ou favoreçam a contratação de prestador específico;</w:t>
      </w:r>
    </w:p>
    <w:p w14:paraId="6B17349B" w14:textId="28F463DA" w:rsidR="4D6C5088" w:rsidRPr="00450AD9" w:rsidRDefault="2AE9FF99" w:rsidP="00952A35">
      <w:pPr>
        <w:spacing w:after="0" w:line="240" w:lineRule="auto"/>
        <w:ind w:left="2268"/>
        <w:jc w:val="both"/>
        <w:rPr>
          <w:rFonts w:ascii="Times New Roman" w:hAnsi="Times New Roman" w:cs="Times New Roman"/>
          <w:sz w:val="20"/>
          <w:szCs w:val="20"/>
        </w:rPr>
      </w:pPr>
      <w:r w:rsidRPr="00450AD9">
        <w:rPr>
          <w:rFonts w:ascii="Times New Roman" w:eastAsia="Calibri" w:hAnsi="Times New Roman" w:cs="Times New Roman"/>
          <w:color w:val="000000" w:themeColor="text1"/>
          <w:sz w:val="20"/>
          <w:szCs w:val="20"/>
        </w:rPr>
        <w:t>c) não adotar especificações que estejam defasadas tecnológica e/ou metodologicamente ou com preços superiores aos de serviços com melhor desempenho.</w:t>
      </w:r>
    </w:p>
    <w:p w14:paraId="6F7DEF17" w14:textId="53E26DF2" w:rsidR="3BB4FC71" w:rsidRPr="00271BE3" w:rsidRDefault="3BB4FC71" w:rsidP="00952A35">
      <w:pPr>
        <w:spacing w:after="0" w:line="240" w:lineRule="auto"/>
        <w:jc w:val="both"/>
        <w:rPr>
          <w:rFonts w:ascii="Times New Roman" w:eastAsia="Calibri" w:hAnsi="Times New Roman" w:cs="Times New Roman"/>
          <w:color w:val="000000" w:themeColor="text1"/>
          <w:sz w:val="24"/>
          <w:szCs w:val="24"/>
        </w:rPr>
      </w:pPr>
    </w:p>
    <w:p w14:paraId="408E3CFE" w14:textId="5DB7A4F5" w:rsidR="3BB4FC71" w:rsidRPr="00271BE3" w:rsidRDefault="2AE9FF99" w:rsidP="008A6DA8">
      <w:pPr>
        <w:spacing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u w:val="single"/>
        </w:rPr>
        <w:t>Recomenda-se</w:t>
      </w:r>
      <w:r w:rsidRPr="00271BE3">
        <w:rPr>
          <w:rFonts w:ascii="Times New Roman" w:eastAsia="Calibri" w:hAnsi="Times New Roman" w:cs="Times New Roman"/>
          <w:color w:val="000000" w:themeColor="text1"/>
          <w:sz w:val="24"/>
          <w:szCs w:val="24"/>
        </w:rPr>
        <w:t xml:space="preserve"> que a Administração se certifique de que as especificações técnicas previstas no Termo de Referência atendem às premissas acima citadas.</w:t>
      </w:r>
    </w:p>
    <w:p w14:paraId="1E4D98F1" w14:textId="694027FD" w:rsidR="4D6C5088" w:rsidRPr="00271BE3" w:rsidRDefault="3298BCD5" w:rsidP="00952A35">
      <w:pPr>
        <w:spacing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 xml:space="preserve">Ainda sobre esse tema, vale destacar que, caso as especificações somente possam ser atendidas por uma quantidade de fornecedores considerada restrita, deverá ser avaliada a pertinência de retirar ou flexibilizar requisitos, de modo que se possa manter apenas aqueles considerados indispensáveis (art. 9º, I, §2º, da IN SEGES </w:t>
      </w:r>
      <w:r w:rsidR="00197CAC" w:rsidRPr="00271BE3">
        <w:rPr>
          <w:rFonts w:ascii="Times New Roman" w:eastAsia="Calibri" w:hAnsi="Times New Roman" w:cs="Times New Roman"/>
          <w:color w:val="000000" w:themeColor="text1"/>
          <w:sz w:val="24"/>
          <w:szCs w:val="24"/>
        </w:rPr>
        <w:t>nº</w:t>
      </w:r>
      <w:r w:rsidRPr="00271BE3">
        <w:rPr>
          <w:rFonts w:ascii="Times New Roman" w:eastAsia="Calibri" w:hAnsi="Times New Roman" w:cs="Times New Roman"/>
          <w:color w:val="000000" w:themeColor="text1"/>
          <w:sz w:val="24"/>
          <w:szCs w:val="24"/>
        </w:rPr>
        <w:t xml:space="preserve"> 58</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22).</w:t>
      </w:r>
    </w:p>
    <w:p w14:paraId="5A76F330" w14:textId="77777777" w:rsidR="00985F37" w:rsidRPr="00271BE3" w:rsidRDefault="00985F37" w:rsidP="00952A35">
      <w:pPr>
        <w:spacing w:after="0" w:line="240" w:lineRule="auto"/>
        <w:jc w:val="both"/>
        <w:rPr>
          <w:rFonts w:ascii="Times New Roman" w:hAnsi="Times New Roman" w:cs="Times New Roman"/>
          <w:sz w:val="24"/>
          <w:szCs w:val="24"/>
        </w:rPr>
      </w:pPr>
    </w:p>
    <w:tbl>
      <w:tblPr>
        <w:tblW w:w="9062" w:type="dxa"/>
        <w:tblLayout w:type="fixed"/>
        <w:tblLook w:val="04A0" w:firstRow="1" w:lastRow="0" w:firstColumn="1" w:lastColumn="0" w:noHBand="0" w:noVBand="1"/>
      </w:tblPr>
      <w:tblGrid>
        <w:gridCol w:w="9062"/>
      </w:tblGrid>
      <w:tr w:rsidR="66EBB3D6" w:rsidRPr="00271BE3" w14:paraId="668B546D" w14:textId="77777777" w:rsidTr="000F224A">
        <w:trPr>
          <w:trHeight w:val="300"/>
        </w:trPr>
        <w:tc>
          <w:tcPr>
            <w:tcW w:w="9062" w:type="dxa"/>
            <w:tcBorders>
              <w:top w:val="inset" w:sz="8" w:space="0" w:color="000000" w:themeColor="text1"/>
              <w:left w:val="inset" w:sz="8" w:space="0" w:color="000000" w:themeColor="text1"/>
              <w:bottom w:val="inset" w:sz="8" w:space="0" w:color="000000" w:themeColor="text1"/>
              <w:right w:val="inset" w:sz="8" w:space="0" w:color="000000" w:themeColor="text1"/>
            </w:tcBorders>
            <w:shd w:val="clear" w:color="auto" w:fill="FFFF00"/>
            <w:tcMar>
              <w:top w:w="30" w:type="dxa"/>
              <w:left w:w="30" w:type="dxa"/>
              <w:bottom w:w="30" w:type="dxa"/>
              <w:right w:w="30" w:type="dxa"/>
            </w:tcMar>
            <w:vAlign w:val="center"/>
          </w:tcPr>
          <w:p w14:paraId="1619DC7B" w14:textId="7E84044F" w:rsidR="66EBB3D6" w:rsidRPr="00271BE3" w:rsidRDefault="66EBB3D6" w:rsidP="00952A35">
            <w:pPr>
              <w:spacing w:line="240" w:lineRule="auto"/>
              <w:jc w:val="both"/>
              <w:rPr>
                <w:rFonts w:ascii="Times New Roman" w:hAnsi="Times New Roman" w:cs="Times New Roman"/>
                <w:sz w:val="24"/>
                <w:szCs w:val="24"/>
              </w:rPr>
            </w:pPr>
            <w:r w:rsidRPr="00271BE3">
              <w:rPr>
                <w:rFonts w:ascii="Times New Roman" w:eastAsia="Calibri" w:hAnsi="Times New Roman" w:cs="Times New Roman"/>
                <w:b/>
                <w:bCs/>
                <w:i/>
                <w:iCs/>
                <w:color w:val="000000" w:themeColor="text1"/>
                <w:sz w:val="24"/>
                <w:szCs w:val="24"/>
              </w:rPr>
              <w:t>Nota Explicativa:</w:t>
            </w:r>
            <w:r w:rsidRPr="00271BE3">
              <w:rPr>
                <w:rFonts w:ascii="Times New Roman" w:eastAsia="Calibri" w:hAnsi="Times New Roman" w:cs="Times New Roman"/>
                <w:sz w:val="24"/>
                <w:szCs w:val="24"/>
              </w:rPr>
              <w:t xml:space="preserve"> </w:t>
            </w:r>
            <w:r w:rsidRPr="00271BE3">
              <w:rPr>
                <w:rFonts w:ascii="Times New Roman" w:eastAsia="Calibri" w:hAnsi="Times New Roman" w:cs="Times New Roman"/>
                <w:color w:val="000000" w:themeColor="text1"/>
                <w:sz w:val="24"/>
                <w:szCs w:val="24"/>
              </w:rPr>
              <w:t>Se houver indícios de que há especificação restritiva, acrescentar o tópico abaixo:</w:t>
            </w:r>
          </w:p>
        </w:tc>
      </w:tr>
    </w:tbl>
    <w:p w14:paraId="1F854D11" w14:textId="38E64D5A" w:rsidR="4D6C5088" w:rsidRPr="00271BE3" w:rsidRDefault="4D6C5088" w:rsidP="00952A35">
      <w:pPr>
        <w:spacing w:after="0" w:line="240" w:lineRule="auto"/>
        <w:ind w:firstLine="1418"/>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t xml:space="preserve"> </w:t>
      </w:r>
    </w:p>
    <w:p w14:paraId="02CF6792" w14:textId="495C0711" w:rsidR="4D6C5088" w:rsidRPr="00271BE3" w:rsidRDefault="3298BCD5" w:rsidP="00952A35">
      <w:pPr>
        <w:spacing w:line="240" w:lineRule="auto"/>
        <w:jc w:val="both"/>
        <w:rPr>
          <w:rFonts w:ascii="Times New Roman" w:hAnsi="Times New Roman" w:cs="Times New Roman"/>
          <w:sz w:val="24"/>
          <w:szCs w:val="24"/>
        </w:rPr>
      </w:pPr>
      <w:r w:rsidRPr="00271BE3">
        <w:rPr>
          <w:rFonts w:ascii="Times New Roman" w:eastAsia="Calibri" w:hAnsi="Times New Roman" w:cs="Times New Roman"/>
          <w:color w:val="FF0000"/>
          <w:sz w:val="24"/>
          <w:szCs w:val="24"/>
        </w:rPr>
        <w:t xml:space="preserve">Diante dessa exigência legal, percebe-se que, aparentemente, houve a inclusão de especificação potencialmente restritiva à competição, uma vez que foi exigido XXX. Desse modo, </w:t>
      </w:r>
      <w:r w:rsidRPr="00271BE3">
        <w:rPr>
          <w:rFonts w:ascii="Times New Roman" w:eastAsia="Calibri" w:hAnsi="Times New Roman" w:cs="Times New Roman"/>
          <w:color w:val="FF0000"/>
          <w:sz w:val="24"/>
          <w:szCs w:val="24"/>
          <w:u w:val="single"/>
        </w:rPr>
        <w:t>deve haver justificativa</w:t>
      </w:r>
      <w:r w:rsidRPr="00271BE3">
        <w:rPr>
          <w:rFonts w:ascii="Times New Roman" w:eastAsia="Calibri" w:hAnsi="Times New Roman" w:cs="Times New Roman"/>
          <w:color w:val="FF0000"/>
          <w:sz w:val="24"/>
          <w:szCs w:val="24"/>
        </w:rPr>
        <w:t xml:space="preserve"> da razão pela qual se torna necessária a </w:t>
      </w:r>
      <w:r w:rsidR="0267CD09" w:rsidRPr="00271BE3">
        <w:rPr>
          <w:rFonts w:ascii="Times New Roman" w:eastAsia="Calibri" w:hAnsi="Times New Roman" w:cs="Times New Roman"/>
          <w:color w:val="FF0000"/>
          <w:sz w:val="24"/>
          <w:szCs w:val="24"/>
        </w:rPr>
        <w:t xml:space="preserve">contratação </w:t>
      </w:r>
      <w:r w:rsidRPr="00271BE3">
        <w:rPr>
          <w:rFonts w:ascii="Times New Roman" w:eastAsia="Calibri" w:hAnsi="Times New Roman" w:cs="Times New Roman"/>
          <w:color w:val="FF0000"/>
          <w:sz w:val="24"/>
          <w:szCs w:val="24"/>
        </w:rPr>
        <w:t xml:space="preserve">de </w:t>
      </w:r>
      <w:r w:rsidR="4A55EEB0" w:rsidRPr="00271BE3">
        <w:rPr>
          <w:rFonts w:ascii="Times New Roman" w:eastAsia="Calibri" w:hAnsi="Times New Roman" w:cs="Times New Roman"/>
          <w:color w:val="FF0000"/>
          <w:sz w:val="24"/>
          <w:szCs w:val="24"/>
        </w:rPr>
        <w:t>serviços</w:t>
      </w:r>
      <w:r w:rsidRPr="00271BE3">
        <w:rPr>
          <w:rFonts w:ascii="Times New Roman" w:eastAsia="Calibri" w:hAnsi="Times New Roman" w:cs="Times New Roman"/>
          <w:color w:val="FF0000"/>
          <w:sz w:val="24"/>
          <w:szCs w:val="24"/>
        </w:rPr>
        <w:t xml:space="preserve"> com essas características, sob pena de inviabilizar o regular prosseguimento do certame. </w:t>
      </w:r>
      <w:r w:rsidRPr="00271BE3">
        <w:rPr>
          <w:rFonts w:ascii="Times New Roman" w:eastAsia="Calibri" w:hAnsi="Times New Roman" w:cs="Times New Roman"/>
          <w:color w:val="000000" w:themeColor="text1"/>
          <w:sz w:val="24"/>
          <w:szCs w:val="24"/>
        </w:rPr>
        <w:t xml:space="preserve"> </w:t>
      </w:r>
    </w:p>
    <w:p w14:paraId="59FF895B" w14:textId="1B4BA75C" w:rsidR="66EBB3D6" w:rsidRPr="00271BE3" w:rsidRDefault="66EBB3D6" w:rsidP="00952A35">
      <w:pPr>
        <w:spacing w:after="0" w:line="240" w:lineRule="auto"/>
        <w:ind w:firstLine="1418"/>
        <w:jc w:val="both"/>
        <w:rPr>
          <w:rFonts w:ascii="Times New Roman" w:eastAsia="Calibri" w:hAnsi="Times New Roman" w:cs="Times New Roman"/>
          <w:color w:val="000000" w:themeColor="text1"/>
          <w:sz w:val="24"/>
          <w:szCs w:val="24"/>
        </w:rPr>
      </w:pPr>
    </w:p>
    <w:p w14:paraId="10AC4307" w14:textId="406BDF0E" w:rsidR="004423CE" w:rsidRPr="00271BE3" w:rsidRDefault="6B97850B"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Da viabilidade jurídica da terceirização</w:t>
      </w:r>
    </w:p>
    <w:p w14:paraId="3B94131F"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0C5DABD2" w14:textId="77777777" w:rsidR="002D1353" w:rsidRPr="00F562B4" w:rsidRDefault="002D1353" w:rsidP="002D1353">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O art. 48 da Lei n. 14.133, de 2021, permite a terceirização de atividades acessórias, instrumentais ou complementares, observadas as vedações a seguir: </w:t>
      </w:r>
    </w:p>
    <w:p w14:paraId="00953DA8" w14:textId="77777777" w:rsidR="002D1353" w:rsidRPr="00F562B4" w:rsidRDefault="002D1353" w:rsidP="002D1353">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 </w:t>
      </w:r>
    </w:p>
    <w:p w14:paraId="786B0981" w14:textId="77777777" w:rsidR="002D1353" w:rsidRPr="00F562B4" w:rsidRDefault="002D1353" w:rsidP="002D1353">
      <w:pPr>
        <w:spacing w:after="48" w:line="240" w:lineRule="auto"/>
        <w:ind w:left="2268"/>
        <w:jc w:val="both"/>
        <w:rPr>
          <w:rFonts w:ascii="Times New Roman" w:eastAsia="Times New Roman" w:hAnsi="Times New Roman" w:cs="Times New Roman"/>
          <w:color w:val="000000"/>
          <w:sz w:val="24"/>
          <w:szCs w:val="24"/>
          <w:lang w:eastAsia="pt-BR"/>
        </w:rPr>
      </w:pPr>
      <w:r w:rsidRPr="00CC093A">
        <w:rPr>
          <w:rFonts w:ascii="Times New Roman" w:eastAsia="Times New Roman" w:hAnsi="Times New Roman" w:cs="Times New Roman"/>
          <w:i/>
          <w:iCs/>
          <w:color w:val="000000"/>
          <w:sz w:val="24"/>
          <w:szCs w:val="24"/>
          <w:lang w:eastAsia="pt-BR"/>
        </w:rPr>
        <w:t>Art. 48. </w:t>
      </w:r>
      <w:r w:rsidRPr="00CC093A">
        <w:rPr>
          <w:rFonts w:ascii="Times New Roman" w:eastAsia="Times New Roman" w:hAnsi="Times New Roman" w:cs="Times New Roman"/>
          <w:b/>
          <w:bCs/>
          <w:i/>
          <w:iCs/>
          <w:color w:val="000000"/>
          <w:sz w:val="24"/>
          <w:szCs w:val="24"/>
          <w:u w:val="single"/>
          <w:lang w:eastAsia="pt-BR"/>
        </w:rPr>
        <w:t>Poderão ser objeto de execução por terceiros</w:t>
      </w:r>
      <w:r w:rsidRPr="00CC093A">
        <w:rPr>
          <w:rFonts w:ascii="Times New Roman" w:eastAsia="Times New Roman" w:hAnsi="Times New Roman" w:cs="Times New Roman"/>
          <w:b/>
          <w:bCs/>
          <w:i/>
          <w:iCs/>
          <w:color w:val="000000"/>
          <w:sz w:val="24"/>
          <w:szCs w:val="24"/>
          <w:lang w:eastAsia="pt-BR"/>
        </w:rPr>
        <w:t> as atividades materiais acessórias, instrumentais ou complementares aos assuntos que constituam área de competência legal do órgão ou da entidade,</w:t>
      </w:r>
      <w:r w:rsidRPr="00CC093A">
        <w:rPr>
          <w:rFonts w:ascii="Times New Roman" w:eastAsia="Times New Roman" w:hAnsi="Times New Roman" w:cs="Times New Roman"/>
          <w:i/>
          <w:iCs/>
          <w:color w:val="000000"/>
          <w:sz w:val="24"/>
          <w:szCs w:val="24"/>
          <w:lang w:eastAsia="pt-BR"/>
        </w:rPr>
        <w:t> </w:t>
      </w:r>
      <w:r w:rsidRPr="00CC093A">
        <w:rPr>
          <w:rFonts w:ascii="Times New Roman" w:eastAsia="Times New Roman" w:hAnsi="Times New Roman" w:cs="Times New Roman"/>
          <w:b/>
          <w:bCs/>
          <w:i/>
          <w:iCs/>
          <w:color w:val="000000"/>
          <w:sz w:val="24"/>
          <w:szCs w:val="24"/>
          <w:u w:val="single"/>
          <w:lang w:eastAsia="pt-BR"/>
        </w:rPr>
        <w:t>vedado</w:t>
      </w:r>
      <w:r w:rsidRPr="00CC093A">
        <w:rPr>
          <w:rFonts w:ascii="Times New Roman" w:eastAsia="Times New Roman" w:hAnsi="Times New Roman" w:cs="Times New Roman"/>
          <w:b/>
          <w:bCs/>
          <w:i/>
          <w:iCs/>
          <w:color w:val="000000"/>
          <w:sz w:val="24"/>
          <w:szCs w:val="24"/>
          <w:lang w:eastAsia="pt-BR"/>
        </w:rPr>
        <w:t> à Administração ou a seus agentes, na contratação do serviço terceirizado:</w:t>
      </w:r>
    </w:p>
    <w:p w14:paraId="3D5891E6" w14:textId="77777777" w:rsidR="002D1353" w:rsidRPr="00F562B4" w:rsidRDefault="002D1353" w:rsidP="002D1353">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I - indicar pessoas expressamente nominadas para executar direta ou indiretamente o objeto contratado; </w:t>
      </w:r>
    </w:p>
    <w:p w14:paraId="09E2097D" w14:textId="77777777" w:rsidR="002D1353" w:rsidRPr="00F562B4" w:rsidRDefault="002D1353" w:rsidP="002D1353">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lastRenderedPageBreak/>
        <w:t>II - fixar salário inferior ao definido em lei ou em ato normativo a ser pago pelo contratado; </w:t>
      </w:r>
    </w:p>
    <w:p w14:paraId="3F92A739" w14:textId="77777777" w:rsidR="002D1353" w:rsidRPr="00F562B4" w:rsidRDefault="002D1353" w:rsidP="002D1353">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III - estabelecer vínculo de subordinação com funcionário de empresa prestadora de serviço terceirizado; </w:t>
      </w:r>
    </w:p>
    <w:p w14:paraId="782612FD" w14:textId="77777777" w:rsidR="002D1353" w:rsidRPr="00F562B4" w:rsidRDefault="002D1353" w:rsidP="002D1353">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IV - definir forma de pagamento mediante exclusivo reembolso dos salários pagos; </w:t>
      </w:r>
    </w:p>
    <w:p w14:paraId="67B37995" w14:textId="77777777" w:rsidR="002D1353" w:rsidRPr="00F562B4" w:rsidRDefault="002D1353" w:rsidP="002D1353">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V - demandar a funcionário de empresa prestadora de serviço terceirizado a execução de tarefas fora do escopo do objeto da contratação; </w:t>
      </w:r>
    </w:p>
    <w:p w14:paraId="6B4C24C4" w14:textId="77777777" w:rsidR="002D1353" w:rsidRPr="00F562B4" w:rsidRDefault="002D1353" w:rsidP="002D1353">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VI - prever em edital exigências que constituam intervenção indevida da Administração na gestão interna do contratado. </w:t>
      </w:r>
    </w:p>
    <w:p w14:paraId="632B52A9" w14:textId="77777777" w:rsidR="002D1353" w:rsidRPr="00F562B4" w:rsidRDefault="002D1353" w:rsidP="002D1353">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Parágrafo único. Durante a vigência do contrato, é vedado ao contratado contratar cônjuge, companheiro ou parente em linha reta, colateral ou por afinidade, até o terceiro grau, de dirigente do órgão ou entidade contratante ou de agente público que desempenhe função na licitação ou atue na fiscalização ou na gestão do contrato, devendo essa proibição constar expressamente do edital de licitação. </w:t>
      </w:r>
    </w:p>
    <w:p w14:paraId="100F071F" w14:textId="77777777" w:rsidR="002D1353" w:rsidRPr="00F562B4" w:rsidRDefault="002D1353" w:rsidP="002D1353">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 </w:t>
      </w:r>
    </w:p>
    <w:p w14:paraId="2B90EF0E" w14:textId="77777777" w:rsidR="002D1353" w:rsidRPr="00F562B4" w:rsidRDefault="002D1353" w:rsidP="002D1353">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Diante disso, como condição preliminar à realização da licitação, cabe à Administração atestar nos autos, à luz dos dispositivos acima citados,</w:t>
      </w:r>
      <w:r w:rsidRPr="00F562B4">
        <w:rPr>
          <w:rFonts w:ascii="Times New Roman" w:eastAsia="Times New Roman" w:hAnsi="Times New Roman" w:cs="Times New Roman"/>
          <w:color w:val="000000"/>
          <w:sz w:val="24"/>
          <w:szCs w:val="24"/>
          <w:u w:val="single"/>
          <w:lang w:eastAsia="pt-BR"/>
        </w:rPr>
        <w:t> a viabilidade jurídica de terceirização das atividades a serem licitadas e contratadas</w:t>
      </w:r>
      <w:r w:rsidRPr="00F562B4">
        <w:rPr>
          <w:rFonts w:ascii="Times New Roman" w:eastAsia="Times New Roman" w:hAnsi="Times New Roman" w:cs="Times New Roman"/>
          <w:color w:val="000000"/>
          <w:sz w:val="24"/>
          <w:szCs w:val="24"/>
          <w:lang w:eastAsia="pt-BR"/>
        </w:rPr>
        <w:t>. </w:t>
      </w:r>
    </w:p>
    <w:p w14:paraId="722FA7CD" w14:textId="77777777" w:rsidR="002D1353" w:rsidRPr="00F562B4" w:rsidRDefault="002D1353" w:rsidP="002D1353">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Em sendo assim, </w:t>
      </w:r>
      <w:r w:rsidRPr="00F562B4">
        <w:rPr>
          <w:rFonts w:ascii="Times New Roman" w:eastAsia="Times New Roman" w:hAnsi="Times New Roman" w:cs="Times New Roman"/>
          <w:color w:val="000000"/>
          <w:sz w:val="24"/>
          <w:szCs w:val="24"/>
          <w:u w:val="single"/>
          <w:lang w:eastAsia="pt-BR"/>
        </w:rPr>
        <w:t>compete à Administração demonstrar que a contratação pretendida se encontra em consonância com o disposto na Lei n. 14.133, de 2021.</w:t>
      </w:r>
    </w:p>
    <w:p w14:paraId="3F99F264" w14:textId="4187A8A5"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p>
    <w:p w14:paraId="0FF4CE56"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tbl>
      <w:tblPr>
        <w:tblW w:w="9064" w:type="dxa"/>
        <w:tblBorders>
          <w:top w:val="outset" w:sz="6" w:space="0" w:color="000000" w:themeColor="text1"/>
          <w:left w:val="outset" w:sz="6" w:space="0" w:color="000000" w:themeColor="text1"/>
          <w:bottom w:val="outset" w:sz="6" w:space="0" w:color="000000" w:themeColor="text1"/>
          <w:right w:val="outset" w:sz="6" w:space="0" w:color="000000" w:themeColor="text1"/>
        </w:tblBorders>
        <w:tblCellMar>
          <w:top w:w="15" w:type="dxa"/>
          <w:left w:w="15" w:type="dxa"/>
          <w:bottom w:w="15" w:type="dxa"/>
          <w:right w:w="15" w:type="dxa"/>
        </w:tblCellMar>
        <w:tblLook w:val="04A0" w:firstRow="1" w:lastRow="0" w:firstColumn="1" w:lastColumn="0" w:noHBand="0" w:noVBand="1"/>
      </w:tblPr>
      <w:tblGrid>
        <w:gridCol w:w="9064"/>
      </w:tblGrid>
      <w:tr w:rsidR="004423CE" w:rsidRPr="00271BE3" w14:paraId="3362D345" w14:textId="77777777" w:rsidTr="000F224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00"/>
            <w:tcMar>
              <w:top w:w="30" w:type="dxa"/>
              <w:left w:w="30" w:type="dxa"/>
              <w:bottom w:w="30" w:type="dxa"/>
              <w:right w:w="30" w:type="dxa"/>
            </w:tcMar>
            <w:vAlign w:val="center"/>
            <w:hideMark/>
          </w:tcPr>
          <w:p w14:paraId="3D9C61DB" w14:textId="77777777" w:rsidR="004423CE" w:rsidRPr="00271BE3" w:rsidRDefault="77389D1F" w:rsidP="00952A35">
            <w:pPr>
              <w:spacing w:after="0" w:line="240" w:lineRule="auto"/>
              <w:jc w:val="both"/>
              <w:rPr>
                <w:rFonts w:ascii="Times New Roman" w:eastAsia="Times New Roman" w:hAnsi="Times New Roman" w:cs="Times New Roman"/>
                <w:sz w:val="24"/>
                <w:szCs w:val="24"/>
                <w:lang w:eastAsia="pt-BR"/>
              </w:rPr>
            </w:pPr>
            <w:r w:rsidRPr="00271BE3">
              <w:rPr>
                <w:rFonts w:ascii="Times New Roman" w:eastAsia="Times New Roman" w:hAnsi="Times New Roman" w:cs="Times New Roman"/>
                <w:b/>
                <w:bCs/>
                <w:i/>
                <w:iCs/>
                <w:sz w:val="24"/>
                <w:szCs w:val="24"/>
                <w:highlight w:val="yellow"/>
                <w:shd w:val="clear" w:color="auto" w:fill="FFFF99"/>
                <w:lang w:eastAsia="pt-BR"/>
              </w:rPr>
              <w:t>Nota Explicativa:</w:t>
            </w:r>
            <w:r w:rsidRPr="00271BE3">
              <w:rPr>
                <w:rFonts w:ascii="Times New Roman" w:eastAsia="Times New Roman" w:hAnsi="Times New Roman" w:cs="Times New Roman"/>
                <w:sz w:val="24"/>
                <w:szCs w:val="24"/>
                <w:highlight w:val="yellow"/>
                <w:shd w:val="clear" w:color="auto" w:fill="FFFF99"/>
                <w:lang w:eastAsia="pt-BR"/>
              </w:rPr>
              <w:t> Caso conste dos autos declaração expressa de que as atividades podem ser terceirizadas, deverá ser acrescentado o trecho abaixo:</w:t>
            </w:r>
          </w:p>
        </w:tc>
      </w:tr>
    </w:tbl>
    <w:p w14:paraId="714FC732"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45EEC60F" w14:textId="77777777" w:rsidR="002D1353" w:rsidRPr="00F562B4" w:rsidRDefault="002D1353" w:rsidP="002D1353">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shd w:val="clear" w:color="auto" w:fill="00FFFF"/>
          <w:lang w:eastAsia="pt-BR"/>
        </w:rPr>
        <w:t>Percebe-se, nesse sentido, que a Administração declarou, à </w:t>
      </w:r>
      <w:r w:rsidRPr="00F562B4">
        <w:rPr>
          <w:rFonts w:ascii="Times New Roman" w:eastAsia="Times New Roman" w:hAnsi="Times New Roman" w:cs="Times New Roman"/>
          <w:color w:val="FF0000"/>
          <w:sz w:val="24"/>
          <w:szCs w:val="24"/>
          <w:shd w:val="clear" w:color="auto" w:fill="00FFFF"/>
          <w:lang w:eastAsia="pt-BR"/>
        </w:rPr>
        <w:t>fl. XXX/doc. SEI XXX</w:t>
      </w:r>
      <w:r w:rsidRPr="00F562B4">
        <w:rPr>
          <w:rFonts w:ascii="Times New Roman" w:eastAsia="Times New Roman" w:hAnsi="Times New Roman" w:cs="Times New Roman"/>
          <w:color w:val="000000"/>
          <w:sz w:val="24"/>
          <w:szCs w:val="24"/>
          <w:shd w:val="clear" w:color="auto" w:fill="00FFFF"/>
          <w:lang w:eastAsia="pt-BR"/>
        </w:rPr>
        <w:t>, que as atividades podem ser terceirizadas em razão de </w:t>
      </w:r>
      <w:r w:rsidRPr="00F562B4">
        <w:rPr>
          <w:rFonts w:ascii="Times New Roman" w:eastAsia="Times New Roman" w:hAnsi="Times New Roman" w:cs="Times New Roman"/>
          <w:color w:val="FF0000"/>
          <w:sz w:val="24"/>
          <w:szCs w:val="24"/>
          <w:shd w:val="clear" w:color="auto" w:fill="00FFFF"/>
          <w:lang w:eastAsia="pt-BR"/>
        </w:rPr>
        <w:t>XXX</w:t>
      </w:r>
      <w:r w:rsidRPr="00F562B4">
        <w:rPr>
          <w:rFonts w:ascii="Times New Roman" w:eastAsia="Times New Roman" w:hAnsi="Times New Roman" w:cs="Times New Roman"/>
          <w:color w:val="000000"/>
          <w:sz w:val="24"/>
          <w:szCs w:val="24"/>
          <w:shd w:val="clear" w:color="auto" w:fill="00FFFF"/>
          <w:lang w:eastAsia="pt-BR"/>
        </w:rPr>
        <w:t>. Não certificou, contudo, </w:t>
      </w:r>
      <w:r w:rsidRPr="00F562B4">
        <w:rPr>
          <w:rFonts w:ascii="Times New Roman" w:eastAsia="Times New Roman" w:hAnsi="Times New Roman" w:cs="Times New Roman"/>
          <w:color w:val="000000"/>
          <w:sz w:val="24"/>
          <w:szCs w:val="24"/>
          <w:u w:val="single"/>
          <w:shd w:val="clear" w:color="auto" w:fill="00FFFF"/>
          <w:lang w:eastAsia="pt-BR"/>
        </w:rPr>
        <w:t>se estariam ou não compreendidas entre as desempenhadas por categorias funcionais</w:t>
      </w:r>
      <w:r w:rsidRPr="00F562B4">
        <w:rPr>
          <w:rFonts w:ascii="Times New Roman" w:eastAsia="Times New Roman" w:hAnsi="Times New Roman" w:cs="Times New Roman"/>
          <w:color w:val="000000"/>
          <w:sz w:val="24"/>
          <w:szCs w:val="24"/>
          <w:shd w:val="clear" w:color="auto" w:fill="00FFFF"/>
          <w:lang w:eastAsia="pt-BR"/>
        </w:rPr>
        <w:t> abrangidas pelo plano de cargos do ente. </w:t>
      </w:r>
    </w:p>
    <w:p w14:paraId="74310483" w14:textId="77777777" w:rsidR="002D1353" w:rsidRPr="00F562B4" w:rsidRDefault="002D1353" w:rsidP="002D1353">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shd w:val="clear" w:color="auto" w:fill="00FFFF"/>
          <w:lang w:eastAsia="pt-BR"/>
        </w:rPr>
        <w:t>Nesse sentido, como condição para o prosseguimento da licitação, deverá haver </w:t>
      </w:r>
      <w:r w:rsidRPr="00F562B4">
        <w:rPr>
          <w:rFonts w:ascii="Times New Roman" w:eastAsia="Times New Roman" w:hAnsi="Times New Roman" w:cs="Times New Roman"/>
          <w:color w:val="000000"/>
          <w:sz w:val="24"/>
          <w:szCs w:val="24"/>
          <w:u w:val="single"/>
          <w:shd w:val="clear" w:color="auto" w:fill="00FFFF"/>
          <w:lang w:eastAsia="pt-BR"/>
        </w:rPr>
        <w:t>a manifestação sobre a incidência ou não da vedação disposta no </w:t>
      </w:r>
      <w:r w:rsidRPr="00F562B4">
        <w:rPr>
          <w:rFonts w:ascii="Times New Roman" w:eastAsia="Times New Roman" w:hAnsi="Times New Roman" w:cs="Times New Roman"/>
          <w:color w:val="FF0000"/>
          <w:sz w:val="24"/>
          <w:szCs w:val="24"/>
          <w:u w:val="single"/>
          <w:shd w:val="clear" w:color="auto" w:fill="00FFFF"/>
          <w:lang w:eastAsia="pt-BR"/>
        </w:rPr>
        <w:t>inc. XXX</w:t>
      </w:r>
      <w:r w:rsidRPr="00F562B4">
        <w:rPr>
          <w:rFonts w:ascii="Times New Roman" w:eastAsia="Times New Roman" w:hAnsi="Times New Roman" w:cs="Times New Roman"/>
          <w:color w:val="000000"/>
          <w:sz w:val="24"/>
          <w:szCs w:val="24"/>
          <w:u w:val="single"/>
          <w:shd w:val="clear" w:color="auto" w:fill="00FFFF"/>
          <w:lang w:eastAsia="pt-BR"/>
        </w:rPr>
        <w:t> do art. 48 da Lei n. 14.133, de 2021</w:t>
      </w:r>
      <w:r w:rsidRPr="00F562B4">
        <w:rPr>
          <w:rFonts w:ascii="Times New Roman" w:eastAsia="Times New Roman" w:hAnsi="Times New Roman" w:cs="Times New Roman"/>
          <w:color w:val="000000"/>
          <w:sz w:val="24"/>
          <w:szCs w:val="24"/>
          <w:shd w:val="clear" w:color="auto" w:fill="00FFFF"/>
          <w:lang w:eastAsia="pt-BR"/>
        </w:rPr>
        <w:t>. Se necessário, deve demonstrar que há autorização legal para a terceirização, isto é, que (i) o cargo fora extinto total ou parcialmente, (</w:t>
      </w:r>
      <w:proofErr w:type="spellStart"/>
      <w:r w:rsidRPr="00F562B4">
        <w:rPr>
          <w:rFonts w:ascii="Times New Roman" w:eastAsia="Times New Roman" w:hAnsi="Times New Roman" w:cs="Times New Roman"/>
          <w:color w:val="000000"/>
          <w:sz w:val="24"/>
          <w:szCs w:val="24"/>
          <w:shd w:val="clear" w:color="auto" w:fill="00FFFF"/>
          <w:lang w:eastAsia="pt-BR"/>
        </w:rPr>
        <w:t>ii</w:t>
      </w:r>
      <w:proofErr w:type="spellEnd"/>
      <w:r w:rsidRPr="00F562B4">
        <w:rPr>
          <w:rFonts w:ascii="Times New Roman" w:eastAsia="Times New Roman" w:hAnsi="Times New Roman" w:cs="Times New Roman"/>
          <w:color w:val="000000"/>
          <w:sz w:val="24"/>
          <w:szCs w:val="24"/>
          <w:shd w:val="clear" w:color="auto" w:fill="00FFFF"/>
          <w:lang w:eastAsia="pt-BR"/>
        </w:rPr>
        <w:t>) está em extinção ou (</w:t>
      </w:r>
      <w:proofErr w:type="spellStart"/>
      <w:r w:rsidRPr="00F562B4">
        <w:rPr>
          <w:rFonts w:ascii="Times New Roman" w:eastAsia="Times New Roman" w:hAnsi="Times New Roman" w:cs="Times New Roman"/>
          <w:color w:val="000000"/>
          <w:sz w:val="24"/>
          <w:szCs w:val="24"/>
          <w:shd w:val="clear" w:color="auto" w:fill="00FFFF"/>
          <w:lang w:eastAsia="pt-BR"/>
        </w:rPr>
        <w:t>iii</w:t>
      </w:r>
      <w:proofErr w:type="spellEnd"/>
      <w:r w:rsidRPr="00F562B4">
        <w:rPr>
          <w:rFonts w:ascii="Times New Roman" w:eastAsia="Times New Roman" w:hAnsi="Times New Roman" w:cs="Times New Roman"/>
          <w:color w:val="000000"/>
          <w:sz w:val="24"/>
          <w:szCs w:val="24"/>
          <w:shd w:val="clear" w:color="auto" w:fill="00FFFF"/>
          <w:lang w:eastAsia="pt-BR"/>
        </w:rPr>
        <w:t>) ao menos o objeto se refere a atividades auxiliares, instrumentais, acessórias ou de apoio administrativo (arts. 7º, 8º e 9º, da IN SEGES/MP nº 05, de 26 de maio de 2017).  </w:t>
      </w:r>
    </w:p>
    <w:p w14:paraId="17871858" w14:textId="77777777" w:rsidR="002D1353" w:rsidRPr="00F562B4" w:rsidRDefault="002D1353" w:rsidP="002D1353">
      <w:pPr>
        <w:spacing w:after="48" w:line="240" w:lineRule="auto"/>
        <w:jc w:val="both"/>
        <w:rPr>
          <w:rFonts w:ascii="Times New Roman" w:eastAsia="Times New Roman" w:hAnsi="Times New Roman" w:cs="Times New Roman"/>
          <w:color w:val="000000"/>
          <w:sz w:val="24"/>
          <w:szCs w:val="24"/>
          <w:lang w:eastAsia="pt-BR"/>
        </w:rPr>
      </w:pPr>
      <w:r w:rsidRPr="00CC093A">
        <w:rPr>
          <w:rFonts w:ascii="Times New Roman" w:eastAsia="Times New Roman" w:hAnsi="Times New Roman" w:cs="Times New Roman"/>
          <w:b/>
          <w:bCs/>
          <w:color w:val="000000"/>
          <w:sz w:val="24"/>
          <w:szCs w:val="24"/>
          <w:u w:val="single"/>
          <w:shd w:val="clear" w:color="auto" w:fill="00FFFF"/>
          <w:lang w:eastAsia="pt-BR"/>
        </w:rPr>
        <w:t>OU</w:t>
      </w:r>
    </w:p>
    <w:p w14:paraId="0AF04F14" w14:textId="2C63AB0C" w:rsidR="004423CE" w:rsidRPr="00271BE3" w:rsidRDefault="004423CE" w:rsidP="008A6DA8">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tbl>
      <w:tblPr>
        <w:tblW w:w="9064" w:type="dxa"/>
        <w:tblBorders>
          <w:top w:val="outset" w:sz="6" w:space="0" w:color="000000" w:themeColor="text1"/>
          <w:left w:val="outset" w:sz="6" w:space="0" w:color="000000" w:themeColor="text1"/>
          <w:bottom w:val="outset" w:sz="6" w:space="0" w:color="000000" w:themeColor="text1"/>
          <w:right w:val="outset" w:sz="6" w:space="0" w:color="000000" w:themeColor="text1"/>
        </w:tblBorders>
        <w:tblCellMar>
          <w:top w:w="15" w:type="dxa"/>
          <w:left w:w="15" w:type="dxa"/>
          <w:bottom w:w="15" w:type="dxa"/>
          <w:right w:w="15" w:type="dxa"/>
        </w:tblCellMar>
        <w:tblLook w:val="04A0" w:firstRow="1" w:lastRow="0" w:firstColumn="1" w:lastColumn="0" w:noHBand="0" w:noVBand="1"/>
      </w:tblPr>
      <w:tblGrid>
        <w:gridCol w:w="9064"/>
      </w:tblGrid>
      <w:tr w:rsidR="004423CE" w:rsidRPr="00271BE3" w14:paraId="4ADC1C7E" w14:textId="77777777" w:rsidTr="000F224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00"/>
            <w:tcMar>
              <w:top w:w="30" w:type="dxa"/>
              <w:left w:w="30" w:type="dxa"/>
              <w:bottom w:w="30" w:type="dxa"/>
              <w:right w:w="30" w:type="dxa"/>
            </w:tcMar>
            <w:vAlign w:val="center"/>
            <w:hideMark/>
          </w:tcPr>
          <w:p w14:paraId="772112D3" w14:textId="77777777" w:rsidR="004423CE" w:rsidRPr="00271BE3" w:rsidRDefault="77389D1F" w:rsidP="00952A35">
            <w:pPr>
              <w:spacing w:after="0" w:line="240" w:lineRule="auto"/>
              <w:jc w:val="both"/>
              <w:rPr>
                <w:rFonts w:ascii="Times New Roman" w:eastAsia="Times New Roman" w:hAnsi="Times New Roman" w:cs="Times New Roman"/>
                <w:sz w:val="24"/>
                <w:szCs w:val="24"/>
                <w:lang w:eastAsia="pt-BR"/>
              </w:rPr>
            </w:pPr>
            <w:r w:rsidRPr="00271BE3">
              <w:rPr>
                <w:rFonts w:ascii="Times New Roman" w:eastAsia="Times New Roman" w:hAnsi="Times New Roman" w:cs="Times New Roman"/>
                <w:b/>
                <w:bCs/>
                <w:i/>
                <w:iCs/>
                <w:sz w:val="24"/>
                <w:szCs w:val="24"/>
                <w:highlight w:val="yellow"/>
                <w:shd w:val="clear" w:color="auto" w:fill="FFFF99"/>
                <w:lang w:eastAsia="pt-BR"/>
              </w:rPr>
              <w:t>Nota Explicativa:</w:t>
            </w:r>
            <w:r w:rsidRPr="00271BE3">
              <w:rPr>
                <w:rFonts w:ascii="Times New Roman" w:eastAsia="Times New Roman" w:hAnsi="Times New Roman" w:cs="Times New Roman"/>
                <w:sz w:val="24"/>
                <w:szCs w:val="24"/>
                <w:highlight w:val="yellow"/>
                <w:shd w:val="clear" w:color="auto" w:fill="FFFF99"/>
                <w:lang w:eastAsia="pt-BR"/>
              </w:rPr>
              <w:t> Caso existam indícios de que a terceirização das atividades é vedada, poderá haver a substituição dos dois parágrafos acima transcritos pelo parágrafo abaixo:</w:t>
            </w:r>
          </w:p>
        </w:tc>
      </w:tr>
    </w:tbl>
    <w:p w14:paraId="793DEC1B"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2D91515A" w14:textId="77777777" w:rsidR="002D1353" w:rsidRPr="00F562B4" w:rsidRDefault="002D1353" w:rsidP="002D1353">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shd w:val="clear" w:color="auto" w:fill="00FFFF"/>
          <w:lang w:eastAsia="pt-BR"/>
        </w:rPr>
        <w:t>Diante desse quadro normativo, percebe-se que, </w:t>
      </w:r>
      <w:r w:rsidRPr="00F562B4">
        <w:rPr>
          <w:rFonts w:ascii="Times New Roman" w:eastAsia="Times New Roman" w:hAnsi="Times New Roman" w:cs="Times New Roman"/>
          <w:color w:val="000000"/>
          <w:sz w:val="24"/>
          <w:szCs w:val="24"/>
          <w:u w:val="single"/>
          <w:shd w:val="clear" w:color="auto" w:fill="00FFFF"/>
          <w:lang w:eastAsia="pt-BR"/>
        </w:rPr>
        <w:t>aparentemente, as atividades indicadas no objeto estão vedadas pelo </w:t>
      </w:r>
      <w:r w:rsidRPr="00F562B4">
        <w:rPr>
          <w:rFonts w:ascii="Times New Roman" w:eastAsia="Times New Roman" w:hAnsi="Times New Roman" w:cs="Times New Roman"/>
          <w:color w:val="FF0000"/>
          <w:sz w:val="24"/>
          <w:szCs w:val="24"/>
          <w:shd w:val="clear" w:color="auto" w:fill="00FFFF"/>
          <w:lang w:eastAsia="pt-BR"/>
        </w:rPr>
        <w:t>inciso</w:t>
      </w:r>
      <w:r w:rsidRPr="00F562B4">
        <w:rPr>
          <w:rFonts w:ascii="Times New Roman" w:eastAsia="Times New Roman" w:hAnsi="Times New Roman" w:cs="Times New Roman"/>
          <w:color w:val="000000"/>
          <w:sz w:val="24"/>
          <w:szCs w:val="24"/>
          <w:lang w:eastAsia="pt-BR"/>
        </w:rPr>
        <w:t> </w:t>
      </w:r>
      <w:r w:rsidRPr="00F562B4">
        <w:rPr>
          <w:rFonts w:ascii="Times New Roman" w:eastAsia="Times New Roman" w:hAnsi="Times New Roman" w:cs="Times New Roman"/>
          <w:color w:val="FF0000"/>
          <w:sz w:val="24"/>
          <w:szCs w:val="24"/>
          <w:u w:val="single"/>
          <w:shd w:val="clear" w:color="auto" w:fill="00FFFF"/>
          <w:lang w:eastAsia="pt-BR"/>
        </w:rPr>
        <w:t>XXX</w:t>
      </w:r>
      <w:r w:rsidRPr="00F562B4">
        <w:rPr>
          <w:rFonts w:ascii="Times New Roman" w:eastAsia="Times New Roman" w:hAnsi="Times New Roman" w:cs="Times New Roman"/>
          <w:color w:val="000000"/>
          <w:sz w:val="24"/>
          <w:szCs w:val="24"/>
          <w:u w:val="single"/>
          <w:lang w:eastAsia="pt-BR"/>
        </w:rPr>
        <w:t> </w:t>
      </w:r>
      <w:r w:rsidRPr="00F562B4">
        <w:rPr>
          <w:rFonts w:ascii="Times New Roman" w:eastAsia="Times New Roman" w:hAnsi="Times New Roman" w:cs="Times New Roman"/>
          <w:color w:val="FF0000"/>
          <w:sz w:val="24"/>
          <w:szCs w:val="24"/>
          <w:u w:val="single"/>
          <w:shd w:val="clear" w:color="auto" w:fill="00FFFF"/>
          <w:lang w:eastAsia="pt-BR"/>
        </w:rPr>
        <w:t>do</w:t>
      </w:r>
      <w:r w:rsidRPr="00F562B4">
        <w:rPr>
          <w:rFonts w:ascii="Times New Roman" w:eastAsia="Times New Roman" w:hAnsi="Times New Roman" w:cs="Times New Roman"/>
          <w:color w:val="000000"/>
          <w:sz w:val="24"/>
          <w:szCs w:val="24"/>
          <w:u w:val="single"/>
          <w:shd w:val="clear" w:color="auto" w:fill="00FFFF"/>
          <w:lang w:eastAsia="pt-BR"/>
        </w:rPr>
        <w:t xml:space="preserve"> art. 48 da Lei n. 14.133, de 2021 e/ou pelo </w:t>
      </w:r>
      <w:proofErr w:type="spellStart"/>
      <w:r w:rsidRPr="00F562B4">
        <w:rPr>
          <w:rFonts w:ascii="Times New Roman" w:eastAsia="Times New Roman" w:hAnsi="Times New Roman" w:cs="Times New Roman"/>
          <w:color w:val="000000"/>
          <w:sz w:val="24"/>
          <w:szCs w:val="24"/>
          <w:u w:val="single"/>
          <w:shd w:val="clear" w:color="auto" w:fill="00FFFF"/>
          <w:lang w:eastAsia="pt-BR"/>
        </w:rPr>
        <w:t>Art</w:t>
      </w:r>
      <w:proofErr w:type="spellEnd"/>
      <w:r w:rsidRPr="00F562B4">
        <w:rPr>
          <w:rFonts w:ascii="Times New Roman" w:eastAsia="Times New Roman" w:hAnsi="Times New Roman" w:cs="Times New Roman"/>
          <w:color w:val="000000"/>
          <w:sz w:val="24"/>
          <w:szCs w:val="24"/>
          <w:u w:val="single"/>
          <w:shd w:val="clear" w:color="auto" w:fill="00FFFF"/>
          <w:lang w:eastAsia="pt-BR"/>
        </w:rPr>
        <w:t xml:space="preserve"> 7º, 8º e 9 da IN SEGES/MP nº 05, de 2017)</w:t>
      </w:r>
      <w:r w:rsidRPr="00F562B4">
        <w:rPr>
          <w:rFonts w:ascii="Times New Roman" w:eastAsia="Times New Roman" w:hAnsi="Times New Roman" w:cs="Times New Roman"/>
          <w:color w:val="000000"/>
          <w:sz w:val="24"/>
          <w:szCs w:val="24"/>
          <w:shd w:val="clear" w:color="auto" w:fill="00FFFF"/>
          <w:lang w:eastAsia="pt-BR"/>
        </w:rPr>
        <w:t xml:space="preserve">. Pelo exposto, como condição preliminar à realização da </w:t>
      </w:r>
      <w:r w:rsidRPr="00F562B4">
        <w:rPr>
          <w:rFonts w:ascii="Times New Roman" w:eastAsia="Times New Roman" w:hAnsi="Times New Roman" w:cs="Times New Roman"/>
          <w:color w:val="000000"/>
          <w:sz w:val="24"/>
          <w:szCs w:val="24"/>
          <w:shd w:val="clear" w:color="auto" w:fill="00FFFF"/>
          <w:lang w:eastAsia="pt-BR"/>
        </w:rPr>
        <w:lastRenderedPageBreak/>
        <w:t>licitação, deverá haver </w:t>
      </w:r>
      <w:r w:rsidRPr="00F562B4">
        <w:rPr>
          <w:rFonts w:ascii="Times New Roman" w:eastAsia="Times New Roman" w:hAnsi="Times New Roman" w:cs="Times New Roman"/>
          <w:color w:val="000000"/>
          <w:sz w:val="24"/>
          <w:szCs w:val="24"/>
          <w:u w:val="single"/>
          <w:shd w:val="clear" w:color="auto" w:fill="00FFFF"/>
          <w:lang w:eastAsia="pt-BR"/>
        </w:rPr>
        <w:t>a demonstração, nos autos, de que há autorização legal para tanto</w:t>
      </w:r>
      <w:r w:rsidRPr="00F562B4">
        <w:rPr>
          <w:rFonts w:ascii="Times New Roman" w:eastAsia="Times New Roman" w:hAnsi="Times New Roman" w:cs="Times New Roman"/>
          <w:color w:val="000000"/>
          <w:sz w:val="24"/>
          <w:szCs w:val="24"/>
          <w:shd w:val="clear" w:color="auto" w:fill="00FFFF"/>
          <w:lang w:eastAsia="pt-BR"/>
        </w:rPr>
        <w:t>, isto é, (i) o cargo fora extinto total ou parcialmente, (</w:t>
      </w:r>
      <w:proofErr w:type="spellStart"/>
      <w:r w:rsidRPr="00F562B4">
        <w:rPr>
          <w:rFonts w:ascii="Times New Roman" w:eastAsia="Times New Roman" w:hAnsi="Times New Roman" w:cs="Times New Roman"/>
          <w:color w:val="000000"/>
          <w:sz w:val="24"/>
          <w:szCs w:val="24"/>
          <w:shd w:val="clear" w:color="auto" w:fill="00FFFF"/>
          <w:lang w:eastAsia="pt-BR"/>
        </w:rPr>
        <w:t>ii</w:t>
      </w:r>
      <w:proofErr w:type="spellEnd"/>
      <w:r w:rsidRPr="00F562B4">
        <w:rPr>
          <w:rFonts w:ascii="Times New Roman" w:eastAsia="Times New Roman" w:hAnsi="Times New Roman" w:cs="Times New Roman"/>
          <w:color w:val="000000"/>
          <w:sz w:val="24"/>
          <w:szCs w:val="24"/>
          <w:shd w:val="clear" w:color="auto" w:fill="00FFFF"/>
          <w:lang w:eastAsia="pt-BR"/>
        </w:rPr>
        <w:t>) está em extinção ou (</w:t>
      </w:r>
      <w:proofErr w:type="spellStart"/>
      <w:r w:rsidRPr="00F562B4">
        <w:rPr>
          <w:rFonts w:ascii="Times New Roman" w:eastAsia="Times New Roman" w:hAnsi="Times New Roman" w:cs="Times New Roman"/>
          <w:color w:val="000000"/>
          <w:sz w:val="24"/>
          <w:szCs w:val="24"/>
          <w:shd w:val="clear" w:color="auto" w:fill="00FFFF"/>
          <w:lang w:eastAsia="pt-BR"/>
        </w:rPr>
        <w:t>iii</w:t>
      </w:r>
      <w:proofErr w:type="spellEnd"/>
      <w:r w:rsidRPr="00F562B4">
        <w:rPr>
          <w:rFonts w:ascii="Times New Roman" w:eastAsia="Times New Roman" w:hAnsi="Times New Roman" w:cs="Times New Roman"/>
          <w:color w:val="000000"/>
          <w:sz w:val="24"/>
          <w:szCs w:val="24"/>
          <w:shd w:val="clear" w:color="auto" w:fill="00FFFF"/>
          <w:lang w:eastAsia="pt-BR"/>
        </w:rPr>
        <w:t>) ao menos o objeto se refere a atividades auxiliares, instrumentais, acessórias ou de apoio administrativo, sob pena de ilicitude da contratação (arts. 7º, 8º e 9º, da IN SEGES/MP nº 05, de 2017). </w:t>
      </w:r>
    </w:p>
    <w:p w14:paraId="5797BBF2" w14:textId="68CD7869" w:rsidR="004423CE" w:rsidRPr="00271BE3" w:rsidRDefault="004423CE" w:rsidP="594C5555">
      <w:pPr>
        <w:spacing w:after="0" w:line="240" w:lineRule="auto"/>
        <w:jc w:val="both"/>
        <w:rPr>
          <w:rFonts w:ascii="Times New Roman" w:eastAsia="Times New Roman" w:hAnsi="Times New Roman" w:cs="Times New Roman"/>
          <w:color w:val="000000"/>
          <w:sz w:val="24"/>
          <w:szCs w:val="24"/>
          <w:lang w:eastAsia="pt-BR"/>
        </w:rPr>
      </w:pPr>
    </w:p>
    <w:p w14:paraId="731221BB"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19A4F594" w14:textId="103075A1" w:rsidR="004423CE" w:rsidRPr="00271BE3" w:rsidRDefault="6817C2E8"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Parcelamento da contratação e regra geral da necessária adjudicação por itens</w:t>
      </w:r>
    </w:p>
    <w:p w14:paraId="686DDEF1"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A0EBBE2" w14:textId="77777777" w:rsidR="004423CE" w:rsidRPr="00271BE3" w:rsidRDefault="79B9EDE3"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Outro ponto relevante diz respeito ao parcelamento do objeto a ser contratado em licitações. Em havendo divisibilidade de natureza técnica e econômica, a regra geral é realizar a adjudicação por itens, tal qual previsto na Súmula TCU nº 247:</w:t>
      </w:r>
    </w:p>
    <w:p w14:paraId="7CD8A013" w14:textId="5E519DD9" w:rsidR="66EBB3D6" w:rsidRPr="00271BE3" w:rsidRDefault="66EBB3D6" w:rsidP="00952A35">
      <w:pPr>
        <w:spacing w:after="0" w:line="240" w:lineRule="auto"/>
        <w:jc w:val="both"/>
        <w:rPr>
          <w:rFonts w:ascii="Times New Roman" w:eastAsia="Times New Roman" w:hAnsi="Times New Roman" w:cs="Times New Roman"/>
          <w:b/>
          <w:bCs/>
          <w:i/>
          <w:iCs/>
          <w:color w:val="000000" w:themeColor="text1"/>
          <w:sz w:val="24"/>
          <w:szCs w:val="24"/>
          <w:lang w:eastAsia="pt-BR"/>
        </w:rPr>
      </w:pPr>
    </w:p>
    <w:p w14:paraId="024AC25E" w14:textId="77777777" w:rsidR="004423CE" w:rsidRPr="005B3CCB" w:rsidRDefault="79B9EDE3" w:rsidP="00952A35">
      <w:pPr>
        <w:spacing w:after="0" w:line="240" w:lineRule="auto"/>
        <w:ind w:left="2268"/>
        <w:jc w:val="both"/>
        <w:rPr>
          <w:rFonts w:ascii="Times New Roman" w:eastAsia="Times New Roman" w:hAnsi="Times New Roman" w:cs="Times New Roman"/>
          <w:color w:val="000000"/>
          <w:sz w:val="20"/>
          <w:szCs w:val="20"/>
          <w:lang w:eastAsia="pt-BR"/>
        </w:rPr>
      </w:pPr>
      <w:r w:rsidRPr="005B3CCB">
        <w:rPr>
          <w:rFonts w:ascii="Times New Roman" w:eastAsia="Times New Roman" w:hAnsi="Times New Roman" w:cs="Times New Roman"/>
          <w:b/>
          <w:bCs/>
          <w:color w:val="000000" w:themeColor="text1"/>
          <w:sz w:val="20"/>
          <w:szCs w:val="20"/>
          <w:lang w:eastAsia="pt-BR"/>
        </w:rPr>
        <w:t>É obrigatória a admissão da adjudicação por item</w:t>
      </w:r>
      <w:r w:rsidRPr="005B3CCB">
        <w:rPr>
          <w:rFonts w:ascii="Times New Roman" w:eastAsia="Times New Roman" w:hAnsi="Times New Roman" w:cs="Times New Roman"/>
          <w:color w:val="000000" w:themeColor="text1"/>
          <w:sz w:val="20"/>
          <w:szCs w:val="20"/>
          <w:lang w:eastAsia="pt-BR"/>
        </w:rPr>
        <w:t> e não por preço global, nos editais das licitações para a contratação de obras, </w:t>
      </w:r>
      <w:r w:rsidRPr="005B3CCB">
        <w:rPr>
          <w:rFonts w:ascii="Times New Roman" w:eastAsia="Times New Roman" w:hAnsi="Times New Roman" w:cs="Times New Roman"/>
          <w:b/>
          <w:bCs/>
          <w:color w:val="000000" w:themeColor="text1"/>
          <w:sz w:val="20"/>
          <w:szCs w:val="20"/>
          <w:lang w:eastAsia="pt-BR"/>
        </w:rPr>
        <w:t>serviços</w:t>
      </w:r>
      <w:r w:rsidRPr="005B3CCB">
        <w:rPr>
          <w:rFonts w:ascii="Times New Roman" w:eastAsia="Times New Roman" w:hAnsi="Times New Roman" w:cs="Times New Roman"/>
          <w:color w:val="000000" w:themeColor="text1"/>
          <w:sz w:val="20"/>
          <w:szCs w:val="20"/>
          <w:lang w:eastAsia="pt-BR"/>
        </w:rPr>
        <w:t>, compras e alienações, </w:t>
      </w:r>
      <w:r w:rsidRPr="005B3CCB">
        <w:rPr>
          <w:rFonts w:ascii="Times New Roman" w:eastAsia="Times New Roman" w:hAnsi="Times New Roman" w:cs="Times New Roman"/>
          <w:b/>
          <w:bCs/>
          <w:color w:val="000000" w:themeColor="text1"/>
          <w:sz w:val="20"/>
          <w:szCs w:val="20"/>
          <w:lang w:eastAsia="pt-BR"/>
        </w:rPr>
        <w:t>cujo objeto seja divisível</w:t>
      </w:r>
      <w:r w:rsidRPr="005B3CCB">
        <w:rPr>
          <w:rFonts w:ascii="Times New Roman" w:eastAsia="Times New Roman" w:hAnsi="Times New Roman" w:cs="Times New Roman"/>
          <w:color w:val="000000" w:themeColor="text1"/>
          <w:sz w:val="20"/>
          <w:szCs w:val="20"/>
          <w:lang w:eastAsia="pt-BR"/>
        </w:rPr>
        <w:t>,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p>
    <w:p w14:paraId="22A180C5" w14:textId="35DA26CF" w:rsidR="000F224A" w:rsidRPr="000F224A" w:rsidRDefault="31329E69" w:rsidP="000F224A">
      <w:pPr>
        <w:spacing w:after="0" w:line="240" w:lineRule="auto"/>
        <w:ind w:left="2268"/>
        <w:jc w:val="both"/>
        <w:rPr>
          <w:rFonts w:ascii="Times New Roman" w:eastAsia="Times New Roman" w:hAnsi="Times New Roman" w:cs="Times New Roman"/>
          <w:sz w:val="20"/>
          <w:szCs w:val="20"/>
          <w:lang w:eastAsia="pt-BR"/>
        </w:rPr>
      </w:pPr>
      <w:r w:rsidRPr="005B3CCB">
        <w:rPr>
          <w:rFonts w:ascii="Times New Roman" w:eastAsia="Times New Roman" w:hAnsi="Times New Roman" w:cs="Times New Roman"/>
          <w:sz w:val="20"/>
          <w:szCs w:val="20"/>
          <w:lang w:eastAsia="pt-BR"/>
        </w:rPr>
        <w:t> </w:t>
      </w:r>
    </w:p>
    <w:p w14:paraId="6DCAC6BE" w14:textId="6A659624" w:rsidR="2B7A4404" w:rsidRPr="00271BE3" w:rsidRDefault="2B7A4404" w:rsidP="00180E82">
      <w:pPr>
        <w:rPr>
          <w:rFonts w:ascii="Times New Roman" w:eastAsia="Calibri" w:hAnsi="Times New Roman" w:cs="Times New Roman"/>
          <w:color w:val="000000" w:themeColor="text1"/>
          <w:sz w:val="24"/>
          <w:szCs w:val="24"/>
        </w:rPr>
      </w:pPr>
      <w:r w:rsidRPr="00271BE3">
        <w:rPr>
          <w:rFonts w:ascii="Times New Roman" w:eastAsia="Calibri" w:hAnsi="Times New Roman" w:cs="Times New Roman"/>
          <w:sz w:val="24"/>
          <w:szCs w:val="24"/>
          <w:u w:val="single"/>
        </w:rPr>
        <w:t>No caso de serviços</w:t>
      </w:r>
      <w:r w:rsidRPr="00271BE3">
        <w:rPr>
          <w:rFonts w:ascii="Times New Roman" w:eastAsia="Calibri" w:hAnsi="Times New Roman" w:cs="Times New Roman"/>
          <w:sz w:val="24"/>
          <w:szCs w:val="24"/>
        </w:rPr>
        <w:t>, na aplicação do princípio do parcelamento, deverão ser considerados (art. 47, II, § 1º, Lei nº 14.133</w:t>
      </w:r>
      <w:r w:rsidR="00B24709" w:rsidRPr="00271BE3">
        <w:rPr>
          <w:rFonts w:ascii="Times New Roman" w:eastAsia="Calibri" w:hAnsi="Times New Roman" w:cs="Times New Roman"/>
          <w:sz w:val="24"/>
          <w:szCs w:val="24"/>
        </w:rPr>
        <w:t xml:space="preserve">, de </w:t>
      </w:r>
      <w:r w:rsidRPr="00271BE3">
        <w:rPr>
          <w:rFonts w:ascii="Times New Roman" w:eastAsia="Calibri" w:hAnsi="Times New Roman" w:cs="Times New Roman"/>
          <w:sz w:val="24"/>
          <w:szCs w:val="24"/>
        </w:rPr>
        <w:t xml:space="preserve">2021): </w:t>
      </w:r>
      <w:r w:rsidRPr="00271BE3">
        <w:rPr>
          <w:rFonts w:ascii="Times New Roman" w:eastAsia="Calibri" w:hAnsi="Times New Roman" w:cs="Times New Roman"/>
          <w:i/>
          <w:iCs/>
          <w:sz w:val="24"/>
          <w:szCs w:val="24"/>
        </w:rPr>
        <w:t>I - a responsabilidade técnica; II - o custo para a Administração de vários contratos frente às vantagens da redução de custos, com divisão do objeto em itens; III - o dever de buscar a ampliação da competição e de evitar a concentração de mercado.</w:t>
      </w:r>
    </w:p>
    <w:p w14:paraId="7FE4C4A9" w14:textId="05EA167E" w:rsidR="3BB4FC71" w:rsidRPr="00271BE3" w:rsidRDefault="3BB4FC71" w:rsidP="00952A35">
      <w:pPr>
        <w:spacing w:after="0" w:line="240" w:lineRule="auto"/>
        <w:jc w:val="both"/>
        <w:rPr>
          <w:rFonts w:ascii="Times New Roman" w:eastAsia="Times New Roman" w:hAnsi="Times New Roman" w:cs="Times New Roman"/>
          <w:color w:val="000000" w:themeColor="text1"/>
          <w:sz w:val="24"/>
          <w:szCs w:val="24"/>
          <w:lang w:eastAsia="pt-BR"/>
        </w:rPr>
      </w:pPr>
    </w:p>
    <w:p w14:paraId="2B2BF115" w14:textId="01AD0E9E" w:rsidR="004423CE" w:rsidRPr="00271BE3" w:rsidRDefault="4A9C1F2F" w:rsidP="00952A35">
      <w:pPr>
        <w:spacing w:after="0" w:line="240" w:lineRule="auto"/>
        <w:jc w:val="both"/>
        <w:rPr>
          <w:rFonts w:ascii="Times New Roman" w:eastAsia="Times New Roman" w:hAnsi="Times New Roman" w:cs="Times New Roman"/>
          <w:color w:val="FF0000"/>
          <w:sz w:val="24"/>
          <w:szCs w:val="24"/>
          <w:lang w:eastAsia="pt-BR"/>
        </w:rPr>
      </w:pPr>
      <w:r w:rsidRPr="00271BE3">
        <w:rPr>
          <w:rFonts w:ascii="Times New Roman" w:eastAsia="Times New Roman" w:hAnsi="Times New Roman" w:cs="Times New Roman"/>
          <w:color w:val="FF0000"/>
          <w:sz w:val="24"/>
          <w:szCs w:val="24"/>
          <w:lang w:eastAsia="pt-BR"/>
        </w:rPr>
        <w:t>Convém registrar que eventual agrupamento de itens não pode se fundar na invocação geral de que há necessidade de integração entre os s</w:t>
      </w:r>
      <w:r w:rsidR="03A5AC4E" w:rsidRPr="00271BE3">
        <w:rPr>
          <w:rFonts w:ascii="Times New Roman" w:eastAsia="Times New Roman" w:hAnsi="Times New Roman" w:cs="Times New Roman"/>
          <w:color w:val="FF0000"/>
          <w:sz w:val="24"/>
          <w:szCs w:val="24"/>
          <w:lang w:eastAsia="pt-BR"/>
        </w:rPr>
        <w:t>erviços a serem contratados</w:t>
      </w:r>
      <w:r w:rsidRPr="00271BE3">
        <w:rPr>
          <w:rFonts w:ascii="Times New Roman" w:eastAsia="Times New Roman" w:hAnsi="Times New Roman" w:cs="Times New Roman"/>
          <w:color w:val="FF0000"/>
          <w:sz w:val="24"/>
          <w:szCs w:val="24"/>
          <w:lang w:eastAsia="pt-BR"/>
        </w:rPr>
        <w:t>, devendo a justificativa avançar para aspectos técnicos e fáticos que confirmem tal posição. Sobre esse ponto, vale destacar o entendimento do TCU sobre a justificativa administrativa para o agrupamento de itens, conforme Acórdão TCU nº 1972</w:t>
      </w:r>
      <w:r w:rsidR="008A21F9" w:rsidRPr="00271BE3">
        <w:rPr>
          <w:rFonts w:ascii="Times New Roman" w:eastAsia="Times New Roman" w:hAnsi="Times New Roman" w:cs="Times New Roman"/>
          <w:color w:val="FF0000"/>
          <w:sz w:val="24"/>
          <w:szCs w:val="24"/>
          <w:lang w:eastAsia="pt-BR"/>
        </w:rPr>
        <w:t>, de 20</w:t>
      </w:r>
      <w:r w:rsidRPr="00271BE3">
        <w:rPr>
          <w:rFonts w:ascii="Times New Roman" w:eastAsia="Times New Roman" w:hAnsi="Times New Roman" w:cs="Times New Roman"/>
          <w:color w:val="FF0000"/>
          <w:sz w:val="24"/>
          <w:szCs w:val="24"/>
          <w:lang w:eastAsia="pt-BR"/>
        </w:rPr>
        <w:t>18-Plenário (Rel. Min, Augusto Sherman, 22/08</w:t>
      </w:r>
      <w:r w:rsidR="00A41179" w:rsidRPr="00271BE3">
        <w:rPr>
          <w:rFonts w:ascii="Times New Roman" w:eastAsia="Times New Roman" w:hAnsi="Times New Roman" w:cs="Times New Roman"/>
          <w:color w:val="FF0000"/>
          <w:sz w:val="24"/>
          <w:szCs w:val="24"/>
          <w:lang w:eastAsia="pt-BR"/>
        </w:rPr>
        <w:t>/</w:t>
      </w:r>
      <w:r w:rsidR="008A21F9" w:rsidRPr="00271BE3">
        <w:rPr>
          <w:rFonts w:ascii="Times New Roman" w:eastAsia="Times New Roman" w:hAnsi="Times New Roman" w:cs="Times New Roman"/>
          <w:color w:val="FF0000"/>
          <w:sz w:val="24"/>
          <w:szCs w:val="24"/>
          <w:lang w:eastAsia="pt-BR"/>
        </w:rPr>
        <w:t>20</w:t>
      </w:r>
      <w:r w:rsidRPr="00271BE3">
        <w:rPr>
          <w:rFonts w:ascii="Times New Roman" w:eastAsia="Times New Roman" w:hAnsi="Times New Roman" w:cs="Times New Roman"/>
          <w:color w:val="FF0000"/>
          <w:sz w:val="24"/>
          <w:szCs w:val="24"/>
          <w:lang w:eastAsia="pt-BR"/>
        </w:rPr>
        <w:t>18):</w:t>
      </w:r>
    </w:p>
    <w:p w14:paraId="40848207" w14:textId="40D4B40B" w:rsidR="66EBB3D6" w:rsidRPr="00271BE3" w:rsidRDefault="66EBB3D6" w:rsidP="00952A35">
      <w:pPr>
        <w:spacing w:after="0" w:line="240" w:lineRule="auto"/>
        <w:ind w:left="1260"/>
        <w:jc w:val="both"/>
        <w:rPr>
          <w:rFonts w:ascii="Times New Roman" w:eastAsia="Times New Roman" w:hAnsi="Times New Roman" w:cs="Times New Roman"/>
          <w:i/>
          <w:iCs/>
          <w:color w:val="FF0000"/>
          <w:sz w:val="24"/>
          <w:szCs w:val="24"/>
          <w:lang w:eastAsia="pt-BR"/>
        </w:rPr>
      </w:pPr>
    </w:p>
    <w:p w14:paraId="4FCC8783" w14:textId="3F73EB80" w:rsidR="004423CE" w:rsidRPr="009D2783" w:rsidRDefault="781A8CA1" w:rsidP="00952A35">
      <w:pPr>
        <w:spacing w:after="0" w:line="240" w:lineRule="auto"/>
        <w:ind w:left="2268"/>
        <w:jc w:val="both"/>
        <w:rPr>
          <w:rFonts w:ascii="Times New Roman" w:eastAsia="Times New Roman" w:hAnsi="Times New Roman" w:cs="Times New Roman"/>
          <w:color w:val="FF0000"/>
          <w:sz w:val="20"/>
          <w:szCs w:val="20"/>
          <w:lang w:eastAsia="pt-BR"/>
        </w:rPr>
      </w:pPr>
      <w:r w:rsidRPr="009D2783">
        <w:rPr>
          <w:rFonts w:ascii="Times New Roman" w:eastAsia="Times New Roman" w:hAnsi="Times New Roman" w:cs="Times New Roman"/>
          <w:color w:val="FF0000"/>
          <w:sz w:val="20"/>
          <w:szCs w:val="20"/>
          <w:lang w:eastAsia="pt-BR"/>
        </w:rPr>
        <w:t>30. [...]</w:t>
      </w:r>
      <w:r w:rsidR="45BF1742" w:rsidRPr="009D2783">
        <w:rPr>
          <w:rFonts w:ascii="Times New Roman" w:eastAsia="Times New Roman" w:hAnsi="Times New Roman" w:cs="Times New Roman"/>
          <w:color w:val="FF0000"/>
          <w:sz w:val="20"/>
          <w:szCs w:val="20"/>
          <w:lang w:eastAsia="pt-BR"/>
        </w:rPr>
        <w:t xml:space="preserve"> </w:t>
      </w:r>
      <w:r w:rsidRPr="009D2783">
        <w:rPr>
          <w:rFonts w:ascii="Times New Roman" w:eastAsia="Times New Roman" w:hAnsi="Times New Roman" w:cs="Times New Roman"/>
          <w:color w:val="FF0000"/>
          <w:sz w:val="20"/>
          <w:szCs w:val="20"/>
          <w:lang w:eastAsia="pt-BR"/>
        </w:rPr>
        <w:t>Além disso, mesmo nas respostas às oitivas, constata-se não haverem sido apresentadas razões de ordem técnica para não se realizar o parcelamento do objeto, apenas sendo explicitados </w:t>
      </w:r>
      <w:r w:rsidRPr="009D2783">
        <w:rPr>
          <w:rFonts w:ascii="Times New Roman" w:eastAsia="Times New Roman" w:hAnsi="Times New Roman" w:cs="Times New Roman"/>
          <w:color w:val="FF0000"/>
          <w:sz w:val="20"/>
          <w:szCs w:val="20"/>
          <w:u w:val="single"/>
          <w:lang w:eastAsia="pt-BR"/>
        </w:rPr>
        <w:t>motivos de cunho gerencial, relacionados, principalmente, com eventuais dificuldades que poderiam surgir na apuração de responsabilidades de prestadores distintos</w:t>
      </w:r>
      <w:r w:rsidRPr="009D2783">
        <w:rPr>
          <w:rFonts w:ascii="Times New Roman" w:eastAsia="Times New Roman" w:hAnsi="Times New Roman" w:cs="Times New Roman"/>
          <w:color w:val="FF0000"/>
          <w:sz w:val="20"/>
          <w:szCs w:val="20"/>
          <w:lang w:eastAsia="pt-BR"/>
        </w:rPr>
        <w:t>.</w:t>
      </w:r>
    </w:p>
    <w:p w14:paraId="2A0171C0" w14:textId="59A81E1C" w:rsidR="000F224A" w:rsidRDefault="6B97850B" w:rsidP="008A6DA8">
      <w:pPr>
        <w:spacing w:after="0" w:line="240" w:lineRule="auto"/>
        <w:ind w:left="2268"/>
        <w:jc w:val="both"/>
        <w:rPr>
          <w:rFonts w:ascii="Times New Roman" w:eastAsia="Times New Roman" w:hAnsi="Times New Roman" w:cs="Times New Roman"/>
          <w:color w:val="FF0000"/>
          <w:sz w:val="20"/>
          <w:szCs w:val="20"/>
          <w:lang w:eastAsia="pt-BR"/>
        </w:rPr>
      </w:pPr>
      <w:r w:rsidRPr="009D2783">
        <w:rPr>
          <w:rFonts w:ascii="Times New Roman" w:eastAsia="Times New Roman" w:hAnsi="Times New Roman" w:cs="Times New Roman"/>
          <w:color w:val="FF0000"/>
          <w:sz w:val="20"/>
          <w:szCs w:val="20"/>
          <w:lang w:eastAsia="pt-BR"/>
        </w:rPr>
        <w:t>[...]</w:t>
      </w:r>
    </w:p>
    <w:p w14:paraId="2ABBB118" w14:textId="0D0F9630" w:rsidR="004423CE" w:rsidRPr="009D2783" w:rsidRDefault="6B97850B" w:rsidP="00952A35">
      <w:pPr>
        <w:spacing w:after="0" w:line="240" w:lineRule="auto"/>
        <w:ind w:left="2268"/>
        <w:jc w:val="both"/>
        <w:rPr>
          <w:rFonts w:ascii="Times New Roman" w:eastAsia="Times New Roman" w:hAnsi="Times New Roman" w:cs="Times New Roman"/>
          <w:color w:val="FF0000"/>
          <w:sz w:val="20"/>
          <w:szCs w:val="20"/>
          <w:lang w:eastAsia="pt-BR"/>
        </w:rPr>
      </w:pPr>
      <w:r w:rsidRPr="009D2783">
        <w:rPr>
          <w:rFonts w:ascii="Times New Roman" w:eastAsia="Times New Roman" w:hAnsi="Times New Roman" w:cs="Times New Roman"/>
          <w:color w:val="FF0000"/>
          <w:sz w:val="20"/>
          <w:szCs w:val="20"/>
          <w:lang w:eastAsia="pt-BR"/>
        </w:rPr>
        <w:t>32. Com efeito, forçoso reconhecer que sempre que existente algum grau de integração entre serviços, tal como no objeto em questão, a possibilidade de surgimento de tais dificuldades, como regra, estará presente. Contudo, </w:t>
      </w:r>
      <w:r w:rsidRPr="009D2783">
        <w:rPr>
          <w:rFonts w:ascii="Times New Roman" w:eastAsia="Times New Roman" w:hAnsi="Times New Roman" w:cs="Times New Roman"/>
          <w:color w:val="FF0000"/>
          <w:sz w:val="20"/>
          <w:szCs w:val="20"/>
          <w:u w:val="single"/>
          <w:lang w:eastAsia="pt-BR"/>
        </w:rPr>
        <w:t>a simples possibilidade de ocorrerem tais problemas, por si só, não pode servir de fundamento para contrariar-se a regra legal de priorizar-se o parcelamento do objeto</w:t>
      </w:r>
      <w:r w:rsidRPr="009D2783">
        <w:rPr>
          <w:rFonts w:ascii="Times New Roman" w:eastAsia="Times New Roman" w:hAnsi="Times New Roman" w:cs="Times New Roman"/>
          <w:color w:val="FF0000"/>
          <w:sz w:val="20"/>
          <w:szCs w:val="20"/>
          <w:lang w:eastAsia="pt-BR"/>
        </w:rPr>
        <w:t>, em especial considerando que os níveis de integração podem variar de um caso para outro, bem como tendo em conta a viabilidade de, em várias hipóteses, serem implementados parâmetros e controles que viabilizem o adequado funcionamento conjunto das prestações ou, se for o caso, a devida identificação de responsabilidades.</w:t>
      </w:r>
    </w:p>
    <w:p w14:paraId="7D85BFDB" w14:textId="77777777" w:rsidR="004423CE" w:rsidRPr="009D2783" w:rsidRDefault="6B97850B" w:rsidP="00952A35">
      <w:pPr>
        <w:spacing w:after="0" w:line="240" w:lineRule="auto"/>
        <w:ind w:left="2268"/>
        <w:jc w:val="both"/>
        <w:rPr>
          <w:rFonts w:ascii="Times New Roman" w:eastAsia="Times New Roman" w:hAnsi="Times New Roman" w:cs="Times New Roman"/>
          <w:color w:val="FF0000"/>
          <w:sz w:val="20"/>
          <w:szCs w:val="20"/>
          <w:lang w:eastAsia="pt-BR"/>
        </w:rPr>
      </w:pPr>
      <w:r w:rsidRPr="009D2783">
        <w:rPr>
          <w:rFonts w:ascii="Times New Roman" w:eastAsia="Times New Roman" w:hAnsi="Times New Roman" w:cs="Times New Roman"/>
          <w:color w:val="FF0000"/>
          <w:sz w:val="20"/>
          <w:szCs w:val="20"/>
          <w:lang w:eastAsia="pt-BR"/>
        </w:rPr>
        <w:t>33. De todo modo, considero que </w:t>
      </w:r>
      <w:r w:rsidRPr="009D2783">
        <w:rPr>
          <w:rFonts w:ascii="Times New Roman" w:eastAsia="Times New Roman" w:hAnsi="Times New Roman" w:cs="Times New Roman"/>
          <w:color w:val="FF0000"/>
          <w:sz w:val="20"/>
          <w:szCs w:val="20"/>
          <w:u w:val="single"/>
          <w:lang w:eastAsia="pt-BR"/>
        </w:rPr>
        <w:t>qualquer grau de aglutinação do objeto que se pretenda, em função de constituir exceção à regra legal do parcelamento, deverá ser prévia e tecnicamente justificado</w:t>
      </w:r>
      <w:r w:rsidRPr="009D2783">
        <w:rPr>
          <w:rFonts w:ascii="Times New Roman" w:eastAsia="Times New Roman" w:hAnsi="Times New Roman" w:cs="Times New Roman"/>
          <w:color w:val="FF0000"/>
          <w:sz w:val="20"/>
          <w:szCs w:val="20"/>
          <w:lang w:eastAsia="pt-BR"/>
        </w:rPr>
        <w:t>.</w:t>
      </w:r>
    </w:p>
    <w:p w14:paraId="0F1E221B" w14:textId="77777777" w:rsidR="004423CE" w:rsidRPr="009D2783" w:rsidRDefault="781A8CA1" w:rsidP="00952A35">
      <w:pPr>
        <w:spacing w:after="0" w:line="240" w:lineRule="auto"/>
        <w:ind w:left="2268"/>
        <w:jc w:val="both"/>
        <w:rPr>
          <w:rFonts w:ascii="Times New Roman" w:eastAsia="Times New Roman" w:hAnsi="Times New Roman" w:cs="Times New Roman"/>
          <w:color w:val="FF0000"/>
          <w:sz w:val="20"/>
          <w:szCs w:val="20"/>
          <w:lang w:eastAsia="pt-BR"/>
        </w:rPr>
      </w:pPr>
      <w:r w:rsidRPr="009D2783">
        <w:rPr>
          <w:rFonts w:ascii="Times New Roman" w:eastAsia="Times New Roman" w:hAnsi="Times New Roman" w:cs="Times New Roman"/>
          <w:color w:val="FF0000"/>
          <w:sz w:val="20"/>
          <w:szCs w:val="20"/>
          <w:lang w:eastAsia="pt-BR"/>
        </w:rPr>
        <w:lastRenderedPageBreak/>
        <w:t>34. As circunstâncias evidenciadas nesta Representação, aliás, sinalizam que a forma de proceder do Crea/MG, com a aglutinação de todos os serviços em questão em um só objeto, </w:t>
      </w:r>
      <w:r w:rsidRPr="009D2783">
        <w:rPr>
          <w:rFonts w:ascii="Times New Roman" w:eastAsia="Times New Roman" w:hAnsi="Times New Roman" w:cs="Times New Roman"/>
          <w:color w:val="FF0000"/>
          <w:sz w:val="20"/>
          <w:szCs w:val="20"/>
          <w:u w:val="single"/>
          <w:lang w:eastAsia="pt-BR"/>
        </w:rPr>
        <w:t>pode estar viabilizando que uma só empresa se eternize como a única prestadora</w:t>
      </w:r>
      <w:r w:rsidRPr="009D2783">
        <w:rPr>
          <w:rFonts w:ascii="Times New Roman" w:eastAsia="Times New Roman" w:hAnsi="Times New Roman" w:cs="Times New Roman"/>
          <w:color w:val="FF0000"/>
          <w:sz w:val="20"/>
          <w:szCs w:val="20"/>
          <w:lang w:eastAsia="pt-BR"/>
        </w:rPr>
        <w:t> possível. (grifo nosso)</w:t>
      </w:r>
    </w:p>
    <w:p w14:paraId="120F2EDE" w14:textId="77777777" w:rsidR="004423CE" w:rsidRPr="00271BE3" w:rsidRDefault="31329E69" w:rsidP="00952A35">
      <w:pPr>
        <w:spacing w:after="0" w:line="240" w:lineRule="auto"/>
        <w:jc w:val="both"/>
        <w:rPr>
          <w:rFonts w:ascii="Times New Roman" w:eastAsia="Times New Roman" w:hAnsi="Times New Roman" w:cs="Times New Roman"/>
          <w:strike/>
          <w:color w:val="000000"/>
          <w:sz w:val="24"/>
          <w:szCs w:val="24"/>
          <w:lang w:eastAsia="pt-BR"/>
        </w:rPr>
      </w:pPr>
      <w:r w:rsidRPr="00271BE3">
        <w:rPr>
          <w:rFonts w:ascii="Times New Roman" w:eastAsia="Times New Roman" w:hAnsi="Times New Roman" w:cs="Times New Roman"/>
          <w:strike/>
          <w:color w:val="000000" w:themeColor="text1"/>
          <w:sz w:val="24"/>
          <w:szCs w:val="24"/>
          <w:lang w:eastAsia="pt-BR"/>
        </w:rPr>
        <w:t> </w:t>
      </w:r>
    </w:p>
    <w:p w14:paraId="6B85B1F1"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shd w:val="clear" w:color="auto" w:fill="00FFFF"/>
          <w:lang w:eastAsia="pt-BR"/>
        </w:rPr>
        <w:t>Dito isso, percebe-se que o presente certame previu a adjudicação do objeto por itens, razão pela qual não há observação adicional a fazer.</w:t>
      </w:r>
    </w:p>
    <w:p w14:paraId="03086CB5" w14:textId="77777777" w:rsidR="004423CE" w:rsidRPr="00271BE3" w:rsidRDefault="004423CE" w:rsidP="00250BCC">
      <w:pPr>
        <w:spacing w:after="0" w:line="240" w:lineRule="auto"/>
        <w:ind w:firstLine="70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sz w:val="24"/>
          <w:szCs w:val="24"/>
          <w:u w:val="single"/>
          <w:shd w:val="clear" w:color="auto" w:fill="00FFFF"/>
          <w:lang w:eastAsia="pt-BR"/>
        </w:rPr>
        <w:t>OU</w:t>
      </w:r>
    </w:p>
    <w:p w14:paraId="753EFC7F" w14:textId="77777777" w:rsidR="004423CE" w:rsidRPr="00271BE3" w:rsidRDefault="004423CE" w:rsidP="00180E82">
      <w:pPr>
        <w:spacing w:after="0" w:line="240" w:lineRule="auto"/>
        <w:ind w:firstLine="70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shd w:val="clear" w:color="auto" w:fill="00FFFF"/>
          <w:lang w:eastAsia="pt-BR"/>
        </w:rPr>
        <w:t>Dito isso, percebe-se que o presente certame previu a adjudicação do objeto</w:t>
      </w:r>
      <w:r w:rsidRPr="00271BE3">
        <w:rPr>
          <w:rFonts w:ascii="Times New Roman" w:eastAsia="Times New Roman" w:hAnsi="Times New Roman" w:cs="Times New Roman"/>
          <w:color w:val="FF0000"/>
          <w:sz w:val="24"/>
          <w:szCs w:val="24"/>
          <w:shd w:val="clear" w:color="auto" w:fill="00FFFF"/>
          <w:lang w:eastAsia="pt-BR"/>
        </w:rPr>
        <w:t> por lotes/grupo (</w:t>
      </w:r>
      <w:r w:rsidRPr="00271BE3">
        <w:rPr>
          <w:rFonts w:ascii="Times New Roman" w:eastAsia="Times New Roman" w:hAnsi="Times New Roman" w:cs="Times New Roman"/>
          <w:b/>
          <w:bCs/>
          <w:color w:val="FF0000"/>
          <w:sz w:val="24"/>
          <w:szCs w:val="24"/>
          <w:u w:val="single"/>
          <w:shd w:val="clear" w:color="auto" w:fill="00FFFF"/>
          <w:lang w:eastAsia="pt-BR"/>
        </w:rPr>
        <w:t>OU</w:t>
      </w:r>
      <w:r w:rsidRPr="00271BE3">
        <w:rPr>
          <w:rFonts w:ascii="Times New Roman" w:eastAsia="Times New Roman" w:hAnsi="Times New Roman" w:cs="Times New Roman"/>
          <w:color w:val="FF0000"/>
          <w:sz w:val="24"/>
          <w:szCs w:val="24"/>
          <w:shd w:val="clear" w:color="auto" w:fill="00FFFF"/>
          <w:lang w:eastAsia="pt-BR"/>
        </w:rPr>
        <w:t> a um único vencedor),</w:t>
      </w:r>
      <w:r w:rsidRPr="00271BE3">
        <w:rPr>
          <w:rFonts w:ascii="Times New Roman" w:eastAsia="Times New Roman" w:hAnsi="Times New Roman" w:cs="Times New Roman"/>
          <w:color w:val="000000"/>
          <w:sz w:val="24"/>
          <w:szCs w:val="24"/>
          <w:shd w:val="clear" w:color="auto" w:fill="00FFFF"/>
          <w:lang w:eastAsia="pt-BR"/>
        </w:rPr>
        <w:t> com as justificativas de ordem técnica e econômica </w:t>
      </w:r>
      <w:r w:rsidRPr="00271BE3">
        <w:rPr>
          <w:rFonts w:ascii="Times New Roman" w:eastAsia="Times New Roman" w:hAnsi="Times New Roman" w:cs="Times New Roman"/>
          <w:color w:val="FF0000"/>
          <w:sz w:val="24"/>
          <w:szCs w:val="24"/>
          <w:shd w:val="clear" w:color="auto" w:fill="00FFFF"/>
          <w:lang w:eastAsia="pt-BR"/>
        </w:rPr>
        <w:t>às fls. XXX/ no doc. SEI n. XXX</w:t>
      </w:r>
      <w:r w:rsidRPr="00271BE3">
        <w:rPr>
          <w:rFonts w:ascii="Times New Roman" w:eastAsia="Times New Roman" w:hAnsi="Times New Roman" w:cs="Times New Roman"/>
          <w:color w:val="000000"/>
          <w:sz w:val="24"/>
          <w:szCs w:val="24"/>
          <w:shd w:val="clear" w:color="auto" w:fill="00FFFF"/>
          <w:lang w:eastAsia="pt-BR"/>
        </w:rPr>
        <w:t>. Por essa razão, não há observação adicional a fazer.</w:t>
      </w:r>
    </w:p>
    <w:p w14:paraId="0C697C71" w14:textId="77777777" w:rsidR="004423CE" w:rsidRPr="00271BE3" w:rsidRDefault="004423CE" w:rsidP="00250BCC">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271BE3">
        <w:rPr>
          <w:rFonts w:ascii="Times New Roman" w:eastAsia="Times New Roman" w:hAnsi="Times New Roman" w:cs="Times New Roman"/>
          <w:b/>
          <w:bCs/>
          <w:color w:val="000000"/>
          <w:sz w:val="24"/>
          <w:szCs w:val="24"/>
          <w:highlight w:val="cyan"/>
          <w:u w:val="single"/>
          <w:shd w:val="clear" w:color="auto" w:fill="00FFFF"/>
          <w:lang w:eastAsia="pt-BR"/>
        </w:rPr>
        <w:t>OU</w:t>
      </w:r>
    </w:p>
    <w:p w14:paraId="45D7BF9C" w14:textId="49DD1BB6" w:rsidR="004423CE" w:rsidRPr="00271BE3" w:rsidRDefault="77389D1F" w:rsidP="00180E82">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271BE3">
        <w:rPr>
          <w:rFonts w:ascii="Times New Roman" w:eastAsia="Times New Roman" w:hAnsi="Times New Roman" w:cs="Times New Roman"/>
          <w:color w:val="000000"/>
          <w:sz w:val="24"/>
          <w:szCs w:val="24"/>
          <w:highlight w:val="cyan"/>
          <w:shd w:val="clear" w:color="auto" w:fill="00FFFF"/>
          <w:lang w:eastAsia="pt-BR"/>
        </w:rPr>
        <w:t xml:space="preserve">Dito isso, </w:t>
      </w:r>
      <w:r w:rsidR="79DA6999" w:rsidRPr="00271BE3">
        <w:rPr>
          <w:rFonts w:ascii="Times New Roman" w:eastAsia="Times New Roman" w:hAnsi="Times New Roman" w:cs="Times New Roman"/>
          <w:color w:val="000000"/>
          <w:sz w:val="24"/>
          <w:szCs w:val="24"/>
          <w:highlight w:val="cyan"/>
          <w:shd w:val="clear" w:color="auto" w:fill="00FFFF"/>
          <w:lang w:eastAsia="pt-BR"/>
        </w:rPr>
        <w:t xml:space="preserve">e dada </w:t>
      </w:r>
      <w:r w:rsidRPr="00271BE3">
        <w:rPr>
          <w:rFonts w:ascii="Times New Roman" w:eastAsia="Times New Roman" w:hAnsi="Times New Roman" w:cs="Times New Roman"/>
          <w:color w:val="000000"/>
          <w:sz w:val="24"/>
          <w:szCs w:val="24"/>
          <w:highlight w:val="cyan"/>
          <w:shd w:val="clear" w:color="auto" w:fill="00FFFF"/>
          <w:lang w:eastAsia="pt-BR"/>
        </w:rPr>
        <w:t>a</w:t>
      </w:r>
      <w:r w:rsidR="4C5268BE" w:rsidRPr="00271BE3">
        <w:rPr>
          <w:rFonts w:ascii="Times New Roman" w:eastAsia="Times New Roman" w:hAnsi="Times New Roman" w:cs="Times New Roman"/>
          <w:color w:val="000000"/>
          <w:sz w:val="24"/>
          <w:szCs w:val="24"/>
          <w:highlight w:val="cyan"/>
          <w:shd w:val="clear" w:color="auto" w:fill="00FFFF"/>
          <w:lang w:eastAsia="pt-BR"/>
        </w:rPr>
        <w:t xml:space="preserve"> exigência de motivação </w:t>
      </w:r>
      <w:r w:rsidR="60769A92" w:rsidRPr="00271BE3">
        <w:rPr>
          <w:rFonts w:ascii="Times New Roman" w:eastAsia="Calibri" w:hAnsi="Times New Roman" w:cs="Times New Roman"/>
          <w:color w:val="000000" w:themeColor="text1"/>
          <w:sz w:val="24"/>
          <w:szCs w:val="24"/>
          <w:highlight w:val="cyan"/>
        </w:rPr>
        <w:t>prevista no art. 18, § 1º, VIII, da Lei nº 14.133</w:t>
      </w:r>
      <w:r w:rsidR="00531733" w:rsidRPr="00271BE3">
        <w:rPr>
          <w:rFonts w:ascii="Times New Roman" w:eastAsia="Calibri" w:hAnsi="Times New Roman" w:cs="Times New Roman"/>
          <w:color w:val="000000" w:themeColor="text1"/>
          <w:sz w:val="24"/>
          <w:szCs w:val="24"/>
          <w:highlight w:val="cyan"/>
        </w:rPr>
        <w:t xml:space="preserve">, de </w:t>
      </w:r>
      <w:r w:rsidR="60769A92" w:rsidRPr="00271BE3">
        <w:rPr>
          <w:rFonts w:ascii="Times New Roman" w:eastAsia="Calibri" w:hAnsi="Times New Roman" w:cs="Times New Roman"/>
          <w:color w:val="000000" w:themeColor="text1"/>
          <w:sz w:val="24"/>
          <w:szCs w:val="24"/>
          <w:highlight w:val="cyan"/>
        </w:rPr>
        <w:t>2021</w:t>
      </w:r>
      <w:r w:rsidRPr="00271BE3">
        <w:rPr>
          <w:rFonts w:ascii="Times New Roman" w:eastAsia="Times New Roman" w:hAnsi="Times New Roman" w:cs="Times New Roman"/>
          <w:sz w:val="24"/>
          <w:szCs w:val="24"/>
          <w:highlight w:val="cyan"/>
          <w:shd w:val="clear" w:color="auto" w:fill="00FFFF"/>
          <w:lang w:eastAsia="pt-BR"/>
        </w:rPr>
        <w:t>,</w:t>
      </w:r>
      <w:r w:rsidRPr="00271BE3">
        <w:rPr>
          <w:rFonts w:ascii="Times New Roman" w:eastAsia="Times New Roman" w:hAnsi="Times New Roman" w:cs="Times New Roman"/>
          <w:color w:val="FF0000"/>
          <w:sz w:val="24"/>
          <w:szCs w:val="24"/>
          <w:highlight w:val="cyan"/>
          <w:shd w:val="clear" w:color="auto" w:fill="00FFFF"/>
          <w:lang w:eastAsia="pt-BR"/>
        </w:rPr>
        <w:t xml:space="preserve"> </w:t>
      </w:r>
      <w:r w:rsidRPr="00271BE3">
        <w:rPr>
          <w:rFonts w:ascii="Times New Roman" w:eastAsia="Times New Roman" w:hAnsi="Times New Roman" w:cs="Times New Roman"/>
          <w:color w:val="000000" w:themeColor="text1"/>
          <w:sz w:val="24"/>
          <w:szCs w:val="24"/>
          <w:highlight w:val="cyan"/>
          <w:u w:val="single"/>
          <w:shd w:val="clear" w:color="auto" w:fill="00FFFF"/>
          <w:lang w:eastAsia="pt-BR"/>
        </w:rPr>
        <w:t>deverá ser providenciada</w:t>
      </w:r>
      <w:r w:rsidRPr="00271BE3">
        <w:rPr>
          <w:rFonts w:ascii="Times New Roman" w:eastAsia="Times New Roman" w:hAnsi="Times New Roman" w:cs="Times New Roman"/>
          <w:color w:val="000000" w:themeColor="text1"/>
          <w:sz w:val="24"/>
          <w:szCs w:val="24"/>
          <w:highlight w:val="cyan"/>
          <w:shd w:val="clear" w:color="auto" w:fill="00FFFF"/>
          <w:lang w:eastAsia="pt-BR"/>
        </w:rPr>
        <w:t> </w:t>
      </w:r>
      <w:r w:rsidRPr="00271BE3">
        <w:rPr>
          <w:rFonts w:ascii="Times New Roman" w:eastAsia="Times New Roman" w:hAnsi="Times New Roman" w:cs="Times New Roman"/>
          <w:color w:val="000000" w:themeColor="text1"/>
          <w:sz w:val="24"/>
          <w:szCs w:val="24"/>
          <w:highlight w:val="cyan"/>
          <w:u w:val="single"/>
          <w:shd w:val="clear" w:color="auto" w:fill="00FFFF"/>
          <w:lang w:eastAsia="pt-BR"/>
        </w:rPr>
        <w:t xml:space="preserve">justificativa </w:t>
      </w:r>
      <w:r w:rsidRPr="008A5F7C">
        <w:rPr>
          <w:rFonts w:ascii="Times New Roman" w:eastAsia="Times New Roman" w:hAnsi="Times New Roman" w:cs="Times New Roman"/>
          <w:color w:val="000000" w:themeColor="text1"/>
          <w:sz w:val="24"/>
          <w:szCs w:val="24"/>
          <w:highlight w:val="cyan"/>
          <w:shd w:val="clear" w:color="auto" w:fill="00FFFF"/>
          <w:lang w:eastAsia="pt-BR"/>
        </w:rPr>
        <w:t xml:space="preserve">adequada </w:t>
      </w:r>
      <w:r w:rsidRPr="008A5F7C">
        <w:rPr>
          <w:rFonts w:ascii="Times New Roman" w:eastAsia="Times New Roman" w:hAnsi="Times New Roman" w:cs="Times New Roman"/>
          <w:color w:val="FF0000"/>
          <w:sz w:val="24"/>
          <w:szCs w:val="24"/>
          <w:highlight w:val="cyan"/>
          <w:shd w:val="clear" w:color="auto" w:fill="00FFFF"/>
          <w:lang w:eastAsia="pt-BR"/>
        </w:rPr>
        <w:t>para a agregação de todos os itens em lote/grupo (OU para a adjudicação a um único vencedor)</w:t>
      </w:r>
      <w:r w:rsidRPr="008A5F7C">
        <w:rPr>
          <w:rFonts w:ascii="Times New Roman" w:eastAsia="Times New Roman" w:hAnsi="Times New Roman" w:cs="Times New Roman"/>
          <w:color w:val="000000" w:themeColor="text1"/>
          <w:sz w:val="24"/>
          <w:szCs w:val="24"/>
          <w:highlight w:val="cyan"/>
          <w:shd w:val="clear" w:color="auto" w:fill="00FFFF"/>
          <w:lang w:eastAsia="pt-BR"/>
        </w:rPr>
        <w:t>,</w:t>
      </w:r>
      <w:r w:rsidRPr="00271BE3">
        <w:rPr>
          <w:rFonts w:ascii="Times New Roman" w:eastAsia="Times New Roman" w:hAnsi="Times New Roman" w:cs="Times New Roman"/>
          <w:color w:val="000000" w:themeColor="text1"/>
          <w:sz w:val="24"/>
          <w:szCs w:val="24"/>
          <w:highlight w:val="cyan"/>
          <w:shd w:val="clear" w:color="auto" w:fill="00FFFF"/>
          <w:lang w:eastAsia="pt-BR"/>
        </w:rPr>
        <w:t> o que não se verifica</w:t>
      </w:r>
      <w:r w:rsidRPr="594C5555">
        <w:rPr>
          <w:rFonts w:ascii="Times New Roman" w:eastAsiaTheme="minorEastAsia" w:hAnsi="Times New Roman" w:cs="Times New Roman"/>
          <w:color w:val="000000" w:themeColor="text1"/>
          <w:sz w:val="24"/>
          <w:szCs w:val="24"/>
          <w:highlight w:val="cyan"/>
          <w:shd w:val="clear" w:color="auto" w:fill="00FFFF"/>
          <w:lang w:eastAsia="pt-BR"/>
        </w:rPr>
        <w:t xml:space="preserve"> nos autos. Nesse sentido, somente será possível haver esse agrupamento se essa escolha for a que melhor atenda </w:t>
      </w:r>
      <w:r w:rsidR="68AA7F62" w:rsidRPr="594C5555">
        <w:rPr>
          <w:rFonts w:ascii="Times New Roman" w:eastAsiaTheme="minorEastAsia" w:hAnsi="Times New Roman" w:cs="Times New Roman"/>
          <w:color w:val="000000" w:themeColor="text1"/>
          <w:sz w:val="24"/>
          <w:szCs w:val="24"/>
          <w:highlight w:val="cyan"/>
        </w:rPr>
        <w:t>ao</w:t>
      </w:r>
      <w:r w:rsidR="6F0715CA" w:rsidRPr="594C5555">
        <w:rPr>
          <w:rFonts w:ascii="Times New Roman" w:eastAsiaTheme="minorEastAsia" w:hAnsi="Times New Roman" w:cs="Times New Roman"/>
          <w:color w:val="000000" w:themeColor="text1"/>
          <w:sz w:val="24"/>
          <w:szCs w:val="24"/>
          <w:highlight w:val="cyan"/>
        </w:rPr>
        <w:t xml:space="preserve">s parâmetros </w:t>
      </w:r>
      <w:r w:rsidR="68AA7F62" w:rsidRPr="594C5555">
        <w:rPr>
          <w:rFonts w:ascii="Times New Roman" w:eastAsiaTheme="minorEastAsia" w:hAnsi="Times New Roman" w:cs="Times New Roman"/>
          <w:color w:val="000000" w:themeColor="text1"/>
          <w:sz w:val="24"/>
          <w:szCs w:val="24"/>
          <w:highlight w:val="cyan"/>
        </w:rPr>
        <w:t>d</w:t>
      </w:r>
      <w:r w:rsidR="7E06460D" w:rsidRPr="594C5555">
        <w:rPr>
          <w:rFonts w:ascii="Times New Roman" w:eastAsiaTheme="minorEastAsia" w:hAnsi="Times New Roman" w:cs="Times New Roman"/>
          <w:color w:val="000000" w:themeColor="text1"/>
          <w:sz w:val="24"/>
          <w:szCs w:val="24"/>
          <w:highlight w:val="cyan"/>
        </w:rPr>
        <w:t>a</w:t>
      </w:r>
      <w:r w:rsidR="3352B7E8" w:rsidRPr="594C5555">
        <w:rPr>
          <w:rFonts w:ascii="Times New Roman" w:eastAsiaTheme="minorEastAsia" w:hAnsi="Times New Roman" w:cs="Times New Roman"/>
          <w:color w:val="000000" w:themeColor="text1"/>
          <w:sz w:val="24"/>
          <w:szCs w:val="24"/>
          <w:highlight w:val="cyan"/>
        </w:rPr>
        <w:t xml:space="preserve"> </w:t>
      </w:r>
      <w:r w:rsidR="7E06460D" w:rsidRPr="594C5555">
        <w:rPr>
          <w:rFonts w:ascii="Times New Roman" w:eastAsiaTheme="minorEastAsia" w:hAnsi="Times New Roman" w:cs="Times New Roman"/>
          <w:color w:val="000000" w:themeColor="text1"/>
          <w:sz w:val="24"/>
          <w:szCs w:val="24"/>
          <w:highlight w:val="cyan"/>
        </w:rPr>
        <w:t>Súmula 247 do TCU</w:t>
      </w:r>
      <w:r w:rsidR="68AA7F62" w:rsidRPr="594C5555">
        <w:rPr>
          <w:rFonts w:ascii="Times New Roman" w:eastAsiaTheme="minorEastAsia" w:hAnsi="Times New Roman" w:cs="Times New Roman"/>
          <w:color w:val="000000" w:themeColor="text1"/>
          <w:sz w:val="24"/>
          <w:szCs w:val="24"/>
          <w:highlight w:val="cyan"/>
        </w:rPr>
        <w:t xml:space="preserve"> </w:t>
      </w:r>
      <w:r w:rsidR="1D741AE4" w:rsidRPr="594C5555">
        <w:rPr>
          <w:rFonts w:ascii="Times New Roman" w:eastAsiaTheme="minorEastAsia" w:hAnsi="Times New Roman" w:cs="Times New Roman"/>
          <w:color w:val="000000" w:themeColor="text1"/>
          <w:sz w:val="24"/>
          <w:szCs w:val="24"/>
          <w:highlight w:val="cyan"/>
        </w:rPr>
        <w:t xml:space="preserve">e do </w:t>
      </w:r>
      <w:r w:rsidR="68AA7F62" w:rsidRPr="594C5555">
        <w:rPr>
          <w:rFonts w:ascii="Times New Roman" w:eastAsiaTheme="minorEastAsia" w:hAnsi="Times New Roman" w:cs="Times New Roman"/>
          <w:color w:val="000000" w:themeColor="text1"/>
          <w:sz w:val="24"/>
          <w:szCs w:val="24"/>
          <w:highlight w:val="cyan"/>
        </w:rPr>
        <w:t xml:space="preserve">art. 47, II, § 1º, </w:t>
      </w:r>
      <w:r w:rsidR="005C05E2" w:rsidRPr="594C5555">
        <w:rPr>
          <w:rFonts w:ascii="Times New Roman" w:eastAsiaTheme="minorEastAsia" w:hAnsi="Times New Roman" w:cs="Times New Roman"/>
          <w:color w:val="000000" w:themeColor="text1"/>
          <w:sz w:val="24"/>
          <w:szCs w:val="24"/>
          <w:highlight w:val="cyan"/>
        </w:rPr>
        <w:t xml:space="preserve">da </w:t>
      </w:r>
      <w:r w:rsidR="68AA7F62" w:rsidRPr="594C5555">
        <w:rPr>
          <w:rFonts w:ascii="Times New Roman" w:eastAsiaTheme="minorEastAsia" w:hAnsi="Times New Roman" w:cs="Times New Roman"/>
          <w:color w:val="000000" w:themeColor="text1"/>
          <w:sz w:val="24"/>
          <w:szCs w:val="24"/>
          <w:highlight w:val="cyan"/>
        </w:rPr>
        <w:t>Lei nº 14.133</w:t>
      </w:r>
      <w:r w:rsidR="00531733" w:rsidRPr="594C5555">
        <w:rPr>
          <w:rFonts w:ascii="Times New Roman" w:eastAsiaTheme="minorEastAsia" w:hAnsi="Times New Roman" w:cs="Times New Roman"/>
          <w:color w:val="000000" w:themeColor="text1"/>
          <w:sz w:val="24"/>
          <w:szCs w:val="24"/>
          <w:highlight w:val="cyan"/>
        </w:rPr>
        <w:t xml:space="preserve">, de </w:t>
      </w:r>
      <w:r w:rsidR="68AA7F62" w:rsidRPr="594C5555">
        <w:rPr>
          <w:rFonts w:ascii="Times New Roman" w:eastAsiaTheme="minorEastAsia" w:hAnsi="Times New Roman" w:cs="Times New Roman"/>
          <w:color w:val="000000" w:themeColor="text1"/>
          <w:sz w:val="24"/>
          <w:szCs w:val="24"/>
          <w:highlight w:val="cyan"/>
        </w:rPr>
        <w:t>2021</w:t>
      </w:r>
      <w:r w:rsidRPr="594C5555">
        <w:rPr>
          <w:rFonts w:ascii="Times New Roman" w:eastAsiaTheme="minorEastAsia" w:hAnsi="Times New Roman" w:cs="Times New Roman"/>
          <w:color w:val="000000" w:themeColor="text1"/>
          <w:sz w:val="24"/>
          <w:szCs w:val="24"/>
          <w:highlight w:val="cyan"/>
          <w:shd w:val="clear" w:color="auto" w:fill="00FFFF"/>
          <w:lang w:eastAsia="pt-BR"/>
        </w:rPr>
        <w:t>. Do contrário, deverá ser adotada a técnica da adjudicação por itens.</w:t>
      </w:r>
    </w:p>
    <w:p w14:paraId="2BB55AD3" w14:textId="7FFDDEF3" w:rsidR="000F224A" w:rsidRPr="000F224A" w:rsidRDefault="004423CE" w:rsidP="000F224A">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271BE3">
        <w:rPr>
          <w:rFonts w:ascii="Times New Roman" w:eastAsia="Times New Roman" w:hAnsi="Times New Roman" w:cs="Times New Roman"/>
          <w:b/>
          <w:bCs/>
          <w:color w:val="000000"/>
          <w:sz w:val="24"/>
          <w:szCs w:val="24"/>
          <w:highlight w:val="cyan"/>
          <w:u w:val="single"/>
          <w:shd w:val="clear" w:color="auto" w:fill="00FFFF"/>
          <w:lang w:eastAsia="pt-BR"/>
        </w:rPr>
        <w:t>OU</w:t>
      </w:r>
    </w:p>
    <w:p w14:paraId="7C9D36E7" w14:textId="219809B1" w:rsidR="004423CE" w:rsidRPr="00271BE3" w:rsidRDefault="77389D1F" w:rsidP="00180E82">
      <w:pPr>
        <w:spacing w:after="0" w:line="240" w:lineRule="auto"/>
        <w:ind w:firstLine="708"/>
        <w:jc w:val="both"/>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color w:val="000000"/>
          <w:sz w:val="24"/>
          <w:szCs w:val="24"/>
          <w:highlight w:val="cyan"/>
          <w:shd w:val="clear" w:color="auto" w:fill="00FFFF"/>
          <w:lang w:eastAsia="pt-BR"/>
        </w:rPr>
        <w:t>Dito isso, percebe-se que o presente certame previu a adjudicação do objeto</w:t>
      </w:r>
      <w:r w:rsidRPr="00271BE3">
        <w:rPr>
          <w:rFonts w:ascii="Times New Roman" w:eastAsia="Times New Roman" w:hAnsi="Times New Roman" w:cs="Times New Roman"/>
          <w:color w:val="FF0000"/>
          <w:sz w:val="24"/>
          <w:szCs w:val="24"/>
          <w:highlight w:val="cyan"/>
          <w:shd w:val="clear" w:color="auto" w:fill="00FFFF"/>
          <w:lang w:eastAsia="pt-BR"/>
        </w:rPr>
        <w:t> por lotes/grupo (</w:t>
      </w:r>
      <w:r w:rsidRPr="00271BE3">
        <w:rPr>
          <w:rFonts w:ascii="Times New Roman" w:eastAsia="Times New Roman" w:hAnsi="Times New Roman" w:cs="Times New Roman"/>
          <w:b/>
          <w:bCs/>
          <w:color w:val="FF0000"/>
          <w:sz w:val="24"/>
          <w:szCs w:val="24"/>
          <w:highlight w:val="cyan"/>
          <w:u w:val="single"/>
          <w:shd w:val="clear" w:color="auto" w:fill="00FFFF"/>
          <w:lang w:eastAsia="pt-BR"/>
        </w:rPr>
        <w:t>OU</w:t>
      </w:r>
      <w:r w:rsidRPr="00271BE3">
        <w:rPr>
          <w:rFonts w:ascii="Times New Roman" w:eastAsia="Times New Roman" w:hAnsi="Times New Roman" w:cs="Times New Roman"/>
          <w:color w:val="000000"/>
          <w:sz w:val="24"/>
          <w:szCs w:val="24"/>
          <w:highlight w:val="cyan"/>
          <w:shd w:val="clear" w:color="auto" w:fill="00FFFF"/>
          <w:lang w:eastAsia="pt-BR"/>
        </w:rPr>
        <w:t> </w:t>
      </w:r>
      <w:r w:rsidRPr="00271BE3">
        <w:rPr>
          <w:rFonts w:ascii="Times New Roman" w:eastAsia="Times New Roman" w:hAnsi="Times New Roman" w:cs="Times New Roman"/>
          <w:color w:val="FF0000"/>
          <w:sz w:val="24"/>
          <w:szCs w:val="24"/>
          <w:highlight w:val="cyan"/>
          <w:shd w:val="clear" w:color="auto" w:fill="00FFFF"/>
          <w:lang w:eastAsia="pt-BR"/>
        </w:rPr>
        <w:t>a um único vencedor).</w:t>
      </w:r>
      <w:r w:rsidRPr="00271BE3">
        <w:rPr>
          <w:rFonts w:ascii="Times New Roman" w:eastAsia="Times New Roman" w:hAnsi="Times New Roman" w:cs="Times New Roman"/>
          <w:color w:val="000000"/>
          <w:sz w:val="24"/>
          <w:szCs w:val="24"/>
          <w:highlight w:val="cyan"/>
          <w:shd w:val="clear" w:color="auto" w:fill="00FFFF"/>
          <w:lang w:eastAsia="pt-BR"/>
        </w:rPr>
        <w:t> A despeito de as justificativas para essa decisão terem sido lançadas </w:t>
      </w:r>
      <w:r w:rsidRPr="00271BE3">
        <w:rPr>
          <w:rFonts w:ascii="Times New Roman" w:eastAsia="Times New Roman" w:hAnsi="Times New Roman" w:cs="Times New Roman"/>
          <w:color w:val="FF0000"/>
          <w:sz w:val="24"/>
          <w:szCs w:val="24"/>
          <w:highlight w:val="cyan"/>
          <w:shd w:val="clear" w:color="auto" w:fill="00FFFF"/>
          <w:lang w:eastAsia="pt-BR"/>
        </w:rPr>
        <w:t>às fls. XXX/no doc. SEI XXX</w:t>
      </w:r>
      <w:r w:rsidRPr="00271BE3">
        <w:rPr>
          <w:rFonts w:ascii="Times New Roman" w:eastAsia="Times New Roman" w:hAnsi="Times New Roman" w:cs="Times New Roman"/>
          <w:color w:val="000000"/>
          <w:sz w:val="24"/>
          <w:szCs w:val="24"/>
          <w:highlight w:val="cyan"/>
          <w:shd w:val="clear" w:color="auto" w:fill="00FFFF"/>
          <w:lang w:eastAsia="pt-BR"/>
        </w:rPr>
        <w:t>, </w:t>
      </w:r>
      <w:r w:rsidRPr="00271BE3">
        <w:rPr>
          <w:rFonts w:ascii="Times New Roman" w:eastAsia="Times New Roman" w:hAnsi="Times New Roman" w:cs="Times New Roman"/>
          <w:color w:val="000000" w:themeColor="text1"/>
          <w:sz w:val="24"/>
          <w:szCs w:val="24"/>
          <w:highlight w:val="cyan"/>
          <w:shd w:val="clear" w:color="auto" w:fill="00FFFF"/>
          <w:lang w:eastAsia="pt-BR"/>
        </w:rPr>
        <w:t xml:space="preserve">entende-se que </w:t>
      </w:r>
      <w:r w:rsidRPr="00271BE3">
        <w:rPr>
          <w:rFonts w:ascii="Times New Roman" w:eastAsia="Times New Roman" w:hAnsi="Times New Roman" w:cs="Times New Roman"/>
          <w:color w:val="000000" w:themeColor="text1"/>
          <w:sz w:val="24"/>
          <w:szCs w:val="24"/>
          <w:highlight w:val="cyan"/>
          <w:u w:val="single"/>
          <w:shd w:val="clear" w:color="auto" w:fill="00FFFF"/>
          <w:lang w:eastAsia="pt-BR"/>
        </w:rPr>
        <w:t>precisam ser melhoradas</w:t>
      </w:r>
      <w:r w:rsidRPr="00271BE3">
        <w:rPr>
          <w:rFonts w:ascii="Times New Roman" w:eastAsia="Times New Roman" w:hAnsi="Times New Roman" w:cs="Times New Roman"/>
          <w:color w:val="000000" w:themeColor="text1"/>
          <w:sz w:val="24"/>
          <w:szCs w:val="24"/>
          <w:highlight w:val="cyan"/>
          <w:shd w:val="clear" w:color="auto" w:fill="00FFFF"/>
          <w:lang w:eastAsia="pt-BR"/>
        </w:rPr>
        <w:t xml:space="preserve"> à luz dos parâmetro</w:t>
      </w:r>
      <w:r w:rsidR="065C2FDB" w:rsidRPr="00271BE3">
        <w:rPr>
          <w:rFonts w:ascii="Times New Roman" w:eastAsia="Times New Roman" w:hAnsi="Times New Roman" w:cs="Times New Roman"/>
          <w:color w:val="000000" w:themeColor="text1"/>
          <w:sz w:val="24"/>
          <w:szCs w:val="24"/>
          <w:highlight w:val="cyan"/>
          <w:shd w:val="clear" w:color="auto" w:fill="00FFFF"/>
          <w:lang w:eastAsia="pt-BR"/>
        </w:rPr>
        <w:t>s</w:t>
      </w:r>
      <w:r w:rsidR="065C2FDB" w:rsidRPr="594C5555">
        <w:rPr>
          <w:rFonts w:ascii="Times New Roman" w:eastAsiaTheme="minorEastAsia" w:hAnsi="Times New Roman" w:cs="Times New Roman"/>
          <w:color w:val="000000" w:themeColor="text1"/>
          <w:sz w:val="24"/>
          <w:szCs w:val="24"/>
          <w:highlight w:val="cyan"/>
        </w:rPr>
        <w:t xml:space="preserve"> da Súmula 247 do TCU e do art. 47, II, § 1º, </w:t>
      </w:r>
      <w:r w:rsidR="007D06F2" w:rsidRPr="594C5555">
        <w:rPr>
          <w:rFonts w:ascii="Times New Roman" w:eastAsiaTheme="minorEastAsia" w:hAnsi="Times New Roman" w:cs="Times New Roman"/>
          <w:color w:val="000000" w:themeColor="text1"/>
          <w:sz w:val="24"/>
          <w:szCs w:val="24"/>
          <w:highlight w:val="cyan"/>
        </w:rPr>
        <w:t xml:space="preserve">da </w:t>
      </w:r>
      <w:r w:rsidR="065C2FDB" w:rsidRPr="594C5555">
        <w:rPr>
          <w:rFonts w:ascii="Times New Roman" w:eastAsiaTheme="minorEastAsia" w:hAnsi="Times New Roman" w:cs="Times New Roman"/>
          <w:color w:val="000000" w:themeColor="text1"/>
          <w:sz w:val="24"/>
          <w:szCs w:val="24"/>
          <w:highlight w:val="cyan"/>
        </w:rPr>
        <w:t>Lei nº 14.133</w:t>
      </w:r>
      <w:r w:rsidR="00531733" w:rsidRPr="594C5555">
        <w:rPr>
          <w:rFonts w:ascii="Times New Roman" w:eastAsiaTheme="minorEastAsia" w:hAnsi="Times New Roman" w:cs="Times New Roman"/>
          <w:color w:val="000000" w:themeColor="text1"/>
          <w:sz w:val="24"/>
          <w:szCs w:val="24"/>
          <w:highlight w:val="cyan"/>
        </w:rPr>
        <w:t xml:space="preserve">, de </w:t>
      </w:r>
      <w:r w:rsidR="065C2FDB" w:rsidRPr="594C5555">
        <w:rPr>
          <w:rFonts w:ascii="Times New Roman" w:eastAsiaTheme="minorEastAsia" w:hAnsi="Times New Roman" w:cs="Times New Roman"/>
          <w:color w:val="000000" w:themeColor="text1"/>
          <w:sz w:val="24"/>
          <w:szCs w:val="24"/>
          <w:highlight w:val="cyan"/>
        </w:rPr>
        <w:t>2021</w:t>
      </w:r>
      <w:r w:rsidR="065C2FDB" w:rsidRPr="594C5555">
        <w:rPr>
          <w:rFonts w:ascii="Times New Roman" w:eastAsiaTheme="minorEastAsia" w:hAnsi="Times New Roman" w:cs="Times New Roman"/>
          <w:color w:val="000000" w:themeColor="text1"/>
          <w:sz w:val="24"/>
          <w:szCs w:val="24"/>
          <w:highlight w:val="cyan"/>
          <w:lang w:eastAsia="pt-BR"/>
        </w:rPr>
        <w:t>.</w:t>
      </w:r>
      <w:r w:rsidR="065C2FDB" w:rsidRPr="00271BE3">
        <w:rPr>
          <w:rFonts w:ascii="Times New Roman" w:eastAsia="Times New Roman" w:hAnsi="Times New Roman" w:cs="Times New Roman"/>
          <w:color w:val="000000" w:themeColor="text1"/>
          <w:sz w:val="24"/>
          <w:szCs w:val="24"/>
          <w:lang w:eastAsia="pt-BR"/>
        </w:rPr>
        <w:t xml:space="preserve"> </w:t>
      </w:r>
    </w:p>
    <w:p w14:paraId="56282846" w14:textId="0607C14A" w:rsidR="004423CE" w:rsidRPr="00271BE3" w:rsidRDefault="004423CE" w:rsidP="00952A35">
      <w:pPr>
        <w:spacing w:after="0" w:line="240" w:lineRule="auto"/>
        <w:ind w:firstLine="1418"/>
        <w:jc w:val="both"/>
        <w:rPr>
          <w:rFonts w:ascii="Times New Roman" w:eastAsia="Times New Roman" w:hAnsi="Times New Roman" w:cs="Times New Roman"/>
          <w:color w:val="FF0000"/>
          <w:sz w:val="24"/>
          <w:szCs w:val="24"/>
          <w:lang w:eastAsia="pt-BR"/>
        </w:rPr>
      </w:pPr>
    </w:p>
    <w:p w14:paraId="1041F796" w14:textId="4F96A248" w:rsidR="004423CE" w:rsidRPr="00271BE3" w:rsidRDefault="77389D1F" w:rsidP="00250BCC">
      <w:pPr>
        <w:spacing w:after="0" w:line="240" w:lineRule="auto"/>
        <w:jc w:val="both"/>
        <w:rPr>
          <w:rFonts w:ascii="Times New Roman" w:eastAsia="Times New Roman" w:hAnsi="Times New Roman" w:cs="Times New Roman"/>
          <w:color w:val="FF0000"/>
          <w:sz w:val="24"/>
          <w:szCs w:val="24"/>
          <w:lang w:eastAsia="pt-BR"/>
        </w:rPr>
      </w:pPr>
      <w:r w:rsidRPr="00271BE3">
        <w:rPr>
          <w:rFonts w:ascii="Times New Roman" w:eastAsia="Times New Roman" w:hAnsi="Times New Roman" w:cs="Times New Roman"/>
          <w:color w:val="FF0000"/>
          <w:sz w:val="24"/>
          <w:szCs w:val="24"/>
          <w:lang w:eastAsia="pt-BR"/>
        </w:rPr>
        <w:t>Relembre-se, ainda, que a inserção, em mesmo lote, de itens usualmente</w:t>
      </w:r>
      <w:r w:rsidR="579A2F7E" w:rsidRPr="00271BE3">
        <w:rPr>
          <w:rFonts w:ascii="Times New Roman" w:eastAsia="Times New Roman" w:hAnsi="Times New Roman" w:cs="Times New Roman"/>
          <w:color w:val="FF0000"/>
          <w:sz w:val="24"/>
          <w:szCs w:val="24"/>
          <w:lang w:eastAsia="pt-BR"/>
        </w:rPr>
        <w:t xml:space="preserve"> produzidos</w:t>
      </w:r>
      <w:r w:rsidRPr="00271BE3">
        <w:rPr>
          <w:rFonts w:ascii="Times New Roman" w:eastAsia="Times New Roman" w:hAnsi="Times New Roman" w:cs="Times New Roman"/>
          <w:color w:val="FF0000"/>
          <w:sz w:val="24"/>
          <w:szCs w:val="24"/>
          <w:lang w:eastAsia="pt-BR"/>
        </w:rPr>
        <w:t xml:space="preserve"> por empresas de ramos distintos restringe o caráter competitivo da licitação (cf. Informativo de Licitações e Contratos nº 148</w:t>
      </w:r>
      <w:r w:rsidR="008A21F9" w:rsidRPr="00271BE3">
        <w:rPr>
          <w:rFonts w:ascii="Times New Roman" w:eastAsia="Times New Roman" w:hAnsi="Times New Roman" w:cs="Times New Roman"/>
          <w:color w:val="FF0000"/>
          <w:sz w:val="24"/>
          <w:szCs w:val="24"/>
          <w:lang w:eastAsia="pt-BR"/>
        </w:rPr>
        <w:t>, de 20</w:t>
      </w:r>
      <w:r w:rsidRPr="00271BE3">
        <w:rPr>
          <w:rFonts w:ascii="Times New Roman" w:eastAsia="Times New Roman" w:hAnsi="Times New Roman" w:cs="Times New Roman"/>
          <w:color w:val="FF0000"/>
          <w:sz w:val="24"/>
          <w:szCs w:val="24"/>
          <w:lang w:eastAsia="pt-BR"/>
        </w:rPr>
        <w:t>13 - TCU).</w:t>
      </w:r>
    </w:p>
    <w:p w14:paraId="4DC3EEBD"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tbl>
      <w:tblPr>
        <w:tblW w:w="9064" w:type="dxa"/>
        <w:tblBorders>
          <w:top w:val="outset" w:sz="6" w:space="0" w:color="000000" w:themeColor="text1"/>
          <w:left w:val="outset" w:sz="6" w:space="0" w:color="000000" w:themeColor="text1"/>
          <w:bottom w:val="outset" w:sz="6" w:space="0" w:color="000000" w:themeColor="text1"/>
          <w:right w:val="outset" w:sz="6" w:space="0" w:color="000000" w:themeColor="text1"/>
        </w:tblBorders>
        <w:tblCellMar>
          <w:top w:w="15" w:type="dxa"/>
          <w:left w:w="15" w:type="dxa"/>
          <w:bottom w:w="15" w:type="dxa"/>
          <w:right w:w="15" w:type="dxa"/>
        </w:tblCellMar>
        <w:tblLook w:val="04A0" w:firstRow="1" w:lastRow="0" w:firstColumn="1" w:lastColumn="0" w:noHBand="0" w:noVBand="1"/>
      </w:tblPr>
      <w:tblGrid>
        <w:gridCol w:w="9064"/>
      </w:tblGrid>
      <w:tr w:rsidR="004423CE" w:rsidRPr="00271BE3" w14:paraId="5BDB692C" w14:textId="77777777" w:rsidTr="000F224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00"/>
            <w:tcMar>
              <w:top w:w="30" w:type="dxa"/>
              <w:left w:w="30" w:type="dxa"/>
              <w:bottom w:w="30" w:type="dxa"/>
              <w:right w:w="30" w:type="dxa"/>
            </w:tcMar>
            <w:vAlign w:val="center"/>
            <w:hideMark/>
          </w:tcPr>
          <w:p w14:paraId="70AA99CE" w14:textId="77777777" w:rsidR="004423CE" w:rsidRPr="00271BE3" w:rsidRDefault="77389D1F" w:rsidP="00952A35">
            <w:pPr>
              <w:spacing w:after="0" w:line="240" w:lineRule="auto"/>
              <w:jc w:val="both"/>
              <w:rPr>
                <w:rFonts w:ascii="Times New Roman" w:eastAsia="Times New Roman" w:hAnsi="Times New Roman" w:cs="Times New Roman"/>
                <w:sz w:val="24"/>
                <w:szCs w:val="24"/>
                <w:lang w:eastAsia="pt-BR"/>
              </w:rPr>
            </w:pPr>
            <w:r w:rsidRPr="00271BE3">
              <w:rPr>
                <w:rFonts w:ascii="Times New Roman" w:eastAsia="Times New Roman" w:hAnsi="Times New Roman" w:cs="Times New Roman"/>
                <w:b/>
                <w:bCs/>
                <w:i/>
                <w:iCs/>
                <w:sz w:val="24"/>
                <w:szCs w:val="24"/>
                <w:highlight w:val="yellow"/>
                <w:shd w:val="clear" w:color="auto" w:fill="FFFF99"/>
                <w:lang w:eastAsia="pt-BR"/>
              </w:rPr>
              <w:t>Nota Explicativa:</w:t>
            </w:r>
            <w:r w:rsidRPr="00271BE3">
              <w:rPr>
                <w:rFonts w:ascii="Times New Roman" w:eastAsia="Times New Roman" w:hAnsi="Times New Roman" w:cs="Times New Roman"/>
                <w:sz w:val="24"/>
                <w:szCs w:val="24"/>
                <w:highlight w:val="yellow"/>
                <w:shd w:val="clear" w:color="auto" w:fill="FFFF99"/>
                <w:lang w:eastAsia="pt-BR"/>
              </w:rPr>
              <w:t> Caso o objeto revele abrangência territorial ampla, deverá ser utilizado o trecho abaixo:</w:t>
            </w:r>
          </w:p>
        </w:tc>
      </w:tr>
    </w:tbl>
    <w:p w14:paraId="0B5EA836" w14:textId="77777777" w:rsidR="004423CE" w:rsidRPr="00271BE3" w:rsidRDefault="004423CE" w:rsidP="00952A35">
      <w:pPr>
        <w:spacing w:after="0" w:line="240" w:lineRule="auto"/>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4967D052"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FF0000"/>
          <w:sz w:val="24"/>
          <w:szCs w:val="24"/>
          <w:lang w:eastAsia="pt-BR"/>
        </w:rPr>
        <w:t>Outro aspecto que chama atenção refere-se à dimensão do objeto contratual, que envolve diversas localidades do Estado/País, com risco de restringir a competitividade do certame.</w:t>
      </w:r>
    </w:p>
    <w:p w14:paraId="5CE8C8F2" w14:textId="61E34DBB" w:rsidR="000F224A" w:rsidRPr="008A6DA8" w:rsidRDefault="004423CE" w:rsidP="008A6DA8">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25ECB4C4" w14:textId="495F0251"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FF0000"/>
          <w:sz w:val="24"/>
          <w:szCs w:val="24"/>
          <w:lang w:eastAsia="pt-BR"/>
        </w:rPr>
        <w:t>É preciso que haja justificativa para a concentração do objeto, quando é perfeitamente possível o parcelamento da contratação. Não se pretende afirmar, com isso, que seja preciso uma contratação para cada localidade, mas sim que haja uma melhor definição do objeto contratual, levando em conta a possibilidade de restringir a competitividade, uma vez que deve ser considerada a capacidade das empresas no mercado de prestar o serviço na magnitude pretendida pela Administração.</w:t>
      </w:r>
    </w:p>
    <w:p w14:paraId="04DF8392"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0DC72CA4" w14:textId="1DB5CC3C" w:rsidR="004423CE" w:rsidRPr="00271BE3" w:rsidRDefault="6ED1BF20"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Critérios e práticas de sustentabilidade nas contratações</w:t>
      </w:r>
    </w:p>
    <w:p w14:paraId="2D0856B0"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33F25FE0" w14:textId="7E727BD0" w:rsidR="004423CE" w:rsidRPr="00271BE3" w:rsidRDefault="6ED1BF20" w:rsidP="00952A35">
      <w:pPr>
        <w:spacing w:after="0" w:line="240" w:lineRule="auto"/>
        <w:jc w:val="both"/>
        <w:rPr>
          <w:rFonts w:ascii="Times New Roman" w:eastAsiaTheme="minorEastAsia" w:hAnsi="Times New Roman" w:cs="Times New Roman"/>
          <w:color w:val="000000"/>
          <w:sz w:val="24"/>
          <w:szCs w:val="24"/>
          <w:lang w:eastAsia="pt-BR"/>
        </w:rPr>
      </w:pPr>
      <w:r w:rsidRPr="00271BE3">
        <w:rPr>
          <w:rFonts w:ascii="Times New Roman" w:eastAsiaTheme="minorEastAsia" w:hAnsi="Times New Roman" w:cs="Times New Roman"/>
          <w:color w:val="000000" w:themeColor="text1"/>
          <w:sz w:val="24"/>
          <w:szCs w:val="24"/>
          <w:lang w:eastAsia="pt-BR"/>
        </w:rPr>
        <w:t>Em relação aos critérios e práticas de sustentabilidade (</w:t>
      </w:r>
      <w:r w:rsidR="23026C3E" w:rsidRPr="00271BE3">
        <w:rPr>
          <w:rFonts w:ascii="Times New Roman" w:eastAsiaTheme="minorEastAsia" w:hAnsi="Times New Roman" w:cs="Times New Roman"/>
          <w:color w:val="000000" w:themeColor="text1"/>
          <w:sz w:val="24"/>
          <w:szCs w:val="24"/>
        </w:rPr>
        <w:t>art. 45 da Lei nº 14.133</w:t>
      </w:r>
      <w:r w:rsidR="002C5357" w:rsidRPr="00271BE3">
        <w:rPr>
          <w:rFonts w:ascii="Times New Roman" w:eastAsiaTheme="minorEastAsia" w:hAnsi="Times New Roman" w:cs="Times New Roman"/>
          <w:color w:val="000000" w:themeColor="text1"/>
          <w:sz w:val="24"/>
          <w:szCs w:val="24"/>
        </w:rPr>
        <w:t xml:space="preserve">, de </w:t>
      </w:r>
      <w:r w:rsidR="23026C3E" w:rsidRPr="00271BE3">
        <w:rPr>
          <w:rFonts w:ascii="Times New Roman" w:eastAsiaTheme="minorEastAsia" w:hAnsi="Times New Roman" w:cs="Times New Roman"/>
          <w:color w:val="000000" w:themeColor="text1"/>
          <w:sz w:val="24"/>
          <w:szCs w:val="24"/>
        </w:rPr>
        <w:t>2021, art. 7º, XI</w:t>
      </w:r>
      <w:r w:rsidR="00736ACD" w:rsidRPr="00271BE3">
        <w:rPr>
          <w:rFonts w:ascii="Times New Roman" w:eastAsiaTheme="minorEastAsia" w:hAnsi="Times New Roman" w:cs="Times New Roman"/>
          <w:color w:val="000000" w:themeColor="text1"/>
          <w:sz w:val="24"/>
          <w:szCs w:val="24"/>
        </w:rPr>
        <w:t>,</w:t>
      </w:r>
      <w:r w:rsidR="23026C3E" w:rsidRPr="00271BE3">
        <w:rPr>
          <w:rFonts w:ascii="Times New Roman" w:eastAsiaTheme="minorEastAsia" w:hAnsi="Times New Roman" w:cs="Times New Roman"/>
          <w:color w:val="000000" w:themeColor="text1"/>
          <w:sz w:val="24"/>
          <w:szCs w:val="24"/>
        </w:rPr>
        <w:t xml:space="preserve"> da</w:t>
      </w:r>
      <w:r w:rsidR="37F7C91A" w:rsidRPr="00271BE3">
        <w:rPr>
          <w:rFonts w:ascii="Times New Roman" w:eastAsiaTheme="minorEastAsia" w:hAnsi="Times New Roman" w:cs="Times New Roman"/>
          <w:color w:val="000000" w:themeColor="text1"/>
          <w:sz w:val="24"/>
          <w:szCs w:val="24"/>
        </w:rPr>
        <w:t xml:space="preserve"> </w:t>
      </w:r>
      <w:r w:rsidR="37F7C91A" w:rsidRPr="00271BE3">
        <w:rPr>
          <w:rFonts w:ascii="Times New Roman" w:eastAsiaTheme="minorEastAsia" w:hAnsi="Times New Roman" w:cs="Times New Roman"/>
          <w:sz w:val="24"/>
          <w:szCs w:val="24"/>
        </w:rPr>
        <w:t>L</w:t>
      </w:r>
      <w:r w:rsidR="002C5357" w:rsidRPr="00271BE3">
        <w:rPr>
          <w:rFonts w:ascii="Times New Roman" w:eastAsiaTheme="minorEastAsia" w:hAnsi="Times New Roman" w:cs="Times New Roman"/>
          <w:sz w:val="24"/>
          <w:szCs w:val="24"/>
        </w:rPr>
        <w:t>ei</w:t>
      </w:r>
      <w:r w:rsidR="37F7C91A" w:rsidRPr="00271BE3">
        <w:rPr>
          <w:rFonts w:ascii="Times New Roman" w:eastAsiaTheme="minorEastAsia" w:hAnsi="Times New Roman" w:cs="Times New Roman"/>
          <w:sz w:val="24"/>
          <w:szCs w:val="24"/>
        </w:rPr>
        <w:t xml:space="preserve"> </w:t>
      </w:r>
      <w:r w:rsidR="002C5357" w:rsidRPr="00271BE3">
        <w:rPr>
          <w:rFonts w:ascii="Times New Roman" w:eastAsiaTheme="minorEastAsia" w:hAnsi="Times New Roman" w:cs="Times New Roman"/>
          <w:sz w:val="24"/>
          <w:szCs w:val="24"/>
        </w:rPr>
        <w:t>n</w:t>
      </w:r>
      <w:r w:rsidR="37F7C91A" w:rsidRPr="00271BE3">
        <w:rPr>
          <w:rFonts w:ascii="Times New Roman" w:eastAsiaTheme="minorEastAsia" w:hAnsi="Times New Roman" w:cs="Times New Roman"/>
          <w:sz w:val="24"/>
          <w:szCs w:val="24"/>
        </w:rPr>
        <w:t xml:space="preserve">º 12.305, </w:t>
      </w:r>
      <w:r w:rsidR="002C5357" w:rsidRPr="00271BE3">
        <w:rPr>
          <w:rFonts w:ascii="Times New Roman" w:eastAsiaTheme="minorEastAsia" w:hAnsi="Times New Roman" w:cs="Times New Roman"/>
          <w:sz w:val="24"/>
          <w:szCs w:val="24"/>
        </w:rPr>
        <w:t xml:space="preserve">de </w:t>
      </w:r>
      <w:r w:rsidR="37F7C91A" w:rsidRPr="00271BE3">
        <w:rPr>
          <w:rFonts w:ascii="Times New Roman" w:eastAsiaTheme="minorEastAsia" w:hAnsi="Times New Roman" w:cs="Times New Roman"/>
          <w:sz w:val="24"/>
          <w:szCs w:val="24"/>
        </w:rPr>
        <w:t>2010</w:t>
      </w:r>
      <w:r w:rsidR="00D34D9B" w:rsidRPr="00271BE3">
        <w:rPr>
          <w:rFonts w:ascii="Times New Roman" w:eastAsiaTheme="minorEastAsia" w:hAnsi="Times New Roman" w:cs="Times New Roman"/>
          <w:sz w:val="24"/>
          <w:szCs w:val="24"/>
        </w:rPr>
        <w:t>,</w:t>
      </w:r>
      <w:r w:rsidR="37F7C91A" w:rsidRPr="00271BE3">
        <w:rPr>
          <w:rFonts w:ascii="Times New Roman" w:eastAsiaTheme="minorEastAsia" w:hAnsi="Times New Roman" w:cs="Times New Roman"/>
          <w:color w:val="000000" w:themeColor="text1"/>
          <w:sz w:val="24"/>
          <w:szCs w:val="24"/>
        </w:rPr>
        <w:t xml:space="preserve"> </w:t>
      </w:r>
      <w:r w:rsidR="23026C3E" w:rsidRPr="00271BE3">
        <w:rPr>
          <w:rFonts w:ascii="Times New Roman" w:eastAsiaTheme="minorEastAsia" w:hAnsi="Times New Roman" w:cs="Times New Roman"/>
          <w:color w:val="000000" w:themeColor="text1"/>
          <w:sz w:val="24"/>
          <w:szCs w:val="24"/>
        </w:rPr>
        <w:t>e art. 9º, II e XII, da IN SEGES nº 58</w:t>
      </w:r>
      <w:r w:rsidR="008A21F9" w:rsidRPr="00271BE3">
        <w:rPr>
          <w:rFonts w:ascii="Times New Roman" w:eastAsiaTheme="minorEastAsia" w:hAnsi="Times New Roman" w:cs="Times New Roman"/>
          <w:color w:val="000000" w:themeColor="text1"/>
          <w:sz w:val="24"/>
          <w:szCs w:val="24"/>
        </w:rPr>
        <w:t>, de 20</w:t>
      </w:r>
      <w:r w:rsidR="23026C3E" w:rsidRPr="00271BE3">
        <w:rPr>
          <w:rFonts w:ascii="Times New Roman" w:eastAsiaTheme="minorEastAsia" w:hAnsi="Times New Roman" w:cs="Times New Roman"/>
          <w:color w:val="000000" w:themeColor="text1"/>
          <w:sz w:val="24"/>
          <w:szCs w:val="24"/>
        </w:rPr>
        <w:t>22</w:t>
      </w:r>
      <w:r w:rsidRPr="00271BE3">
        <w:rPr>
          <w:rFonts w:ascii="Times New Roman" w:eastAsiaTheme="minorEastAsia" w:hAnsi="Times New Roman" w:cs="Times New Roman"/>
          <w:color w:val="000000" w:themeColor="text1"/>
          <w:sz w:val="24"/>
          <w:szCs w:val="24"/>
          <w:lang w:eastAsia="pt-BR"/>
        </w:rPr>
        <w:t xml:space="preserve">), deverão ser tomados </w:t>
      </w:r>
      <w:r w:rsidR="08DCBD56" w:rsidRPr="00271BE3">
        <w:rPr>
          <w:rFonts w:ascii="Times New Roman" w:eastAsiaTheme="minorEastAsia" w:hAnsi="Times New Roman" w:cs="Times New Roman"/>
          <w:color w:val="000000" w:themeColor="text1"/>
          <w:sz w:val="24"/>
          <w:szCs w:val="24"/>
          <w:lang w:eastAsia="pt-BR"/>
        </w:rPr>
        <w:t xml:space="preserve">os </w:t>
      </w:r>
      <w:r w:rsidRPr="00271BE3">
        <w:rPr>
          <w:rFonts w:ascii="Times New Roman" w:eastAsiaTheme="minorEastAsia" w:hAnsi="Times New Roman" w:cs="Times New Roman"/>
          <w:color w:val="000000" w:themeColor="text1"/>
          <w:sz w:val="24"/>
          <w:szCs w:val="24"/>
          <w:lang w:eastAsia="pt-BR"/>
        </w:rPr>
        <w:t xml:space="preserve">cuidados gerais </w:t>
      </w:r>
      <w:r w:rsidR="6CFD5B11" w:rsidRPr="00271BE3">
        <w:rPr>
          <w:rFonts w:ascii="Times New Roman" w:eastAsiaTheme="minorEastAsia" w:hAnsi="Times New Roman" w:cs="Times New Roman"/>
          <w:color w:val="000000" w:themeColor="text1"/>
          <w:sz w:val="24"/>
          <w:szCs w:val="24"/>
          <w:lang w:eastAsia="pt-BR"/>
        </w:rPr>
        <w:t>a seguir</w:t>
      </w:r>
      <w:r w:rsidRPr="00271BE3">
        <w:rPr>
          <w:rFonts w:ascii="Times New Roman" w:eastAsiaTheme="minorEastAsia" w:hAnsi="Times New Roman" w:cs="Times New Roman"/>
          <w:color w:val="000000" w:themeColor="text1"/>
          <w:sz w:val="24"/>
          <w:szCs w:val="24"/>
          <w:lang w:eastAsia="pt-BR"/>
        </w:rPr>
        <w:t>:</w:t>
      </w:r>
    </w:p>
    <w:p w14:paraId="048DC59E" w14:textId="6B6068D0" w:rsidR="76E478C8" w:rsidRPr="00271BE3" w:rsidRDefault="76E478C8" w:rsidP="00952A35">
      <w:pPr>
        <w:spacing w:after="0" w:line="240" w:lineRule="auto"/>
        <w:ind w:firstLine="1418"/>
        <w:jc w:val="both"/>
        <w:rPr>
          <w:rFonts w:ascii="Times New Roman" w:eastAsiaTheme="minorEastAsia" w:hAnsi="Times New Roman" w:cs="Times New Roman"/>
          <w:color w:val="000000" w:themeColor="text1"/>
          <w:sz w:val="24"/>
          <w:szCs w:val="24"/>
          <w:lang w:eastAsia="pt-BR"/>
        </w:rPr>
      </w:pPr>
    </w:p>
    <w:p w14:paraId="7454E838" w14:textId="77777777" w:rsidR="004423CE" w:rsidRPr="009D2783" w:rsidRDefault="6ED1BF20" w:rsidP="00952A35">
      <w:pPr>
        <w:spacing w:after="0" w:line="240" w:lineRule="auto"/>
        <w:ind w:left="2268"/>
        <w:jc w:val="both"/>
        <w:rPr>
          <w:rFonts w:ascii="Times New Roman" w:eastAsia="Times New Roman" w:hAnsi="Times New Roman" w:cs="Times New Roman"/>
          <w:color w:val="000000"/>
          <w:sz w:val="20"/>
          <w:szCs w:val="20"/>
          <w:lang w:eastAsia="pt-BR"/>
        </w:rPr>
      </w:pPr>
      <w:r w:rsidRPr="009D2783">
        <w:rPr>
          <w:rFonts w:ascii="Times New Roman" w:eastAsia="Times New Roman" w:hAnsi="Times New Roman" w:cs="Times New Roman"/>
          <w:color w:val="000000" w:themeColor="text1"/>
          <w:sz w:val="20"/>
          <w:szCs w:val="20"/>
          <w:lang w:eastAsia="pt-BR"/>
        </w:rPr>
        <w:t>a) definir os critérios e práticas objetivamente no instrumento convocatório como especificação técnica do objeto, obrigação da contratada ou requisito previsto em lei especial;</w:t>
      </w:r>
    </w:p>
    <w:p w14:paraId="785D8FFF" w14:textId="10F10974" w:rsidR="004423CE" w:rsidRPr="009D2783" w:rsidRDefault="6ED1BF20" w:rsidP="00952A35">
      <w:pPr>
        <w:spacing w:after="0" w:line="240" w:lineRule="auto"/>
        <w:ind w:left="2268"/>
        <w:jc w:val="both"/>
        <w:rPr>
          <w:rFonts w:ascii="Times New Roman" w:eastAsia="Times New Roman" w:hAnsi="Times New Roman" w:cs="Times New Roman"/>
          <w:color w:val="000000"/>
          <w:sz w:val="20"/>
          <w:szCs w:val="20"/>
          <w:lang w:eastAsia="pt-BR"/>
        </w:rPr>
      </w:pPr>
      <w:r w:rsidRPr="009D2783">
        <w:rPr>
          <w:rFonts w:ascii="Times New Roman" w:eastAsia="Times New Roman" w:hAnsi="Times New Roman" w:cs="Times New Roman"/>
          <w:color w:val="000000" w:themeColor="text1"/>
          <w:sz w:val="20"/>
          <w:szCs w:val="20"/>
          <w:lang w:eastAsia="pt-BR"/>
        </w:rPr>
        <w:lastRenderedPageBreak/>
        <w:t>b) justificar a exigência nos autos;</w:t>
      </w:r>
    </w:p>
    <w:p w14:paraId="386A19F4" w14:textId="77777777" w:rsidR="004423CE" w:rsidRPr="009D2783" w:rsidRDefault="6ED1BF20" w:rsidP="00952A35">
      <w:pPr>
        <w:spacing w:after="0" w:line="240" w:lineRule="auto"/>
        <w:ind w:left="2268"/>
        <w:jc w:val="both"/>
        <w:rPr>
          <w:rFonts w:ascii="Times New Roman" w:eastAsia="Times New Roman" w:hAnsi="Times New Roman" w:cs="Times New Roman"/>
          <w:color w:val="000000"/>
          <w:sz w:val="20"/>
          <w:szCs w:val="20"/>
          <w:lang w:eastAsia="pt-BR"/>
        </w:rPr>
      </w:pPr>
      <w:r w:rsidRPr="009D2783">
        <w:rPr>
          <w:rFonts w:ascii="Times New Roman" w:eastAsia="Times New Roman" w:hAnsi="Times New Roman" w:cs="Times New Roman"/>
          <w:color w:val="000000" w:themeColor="text1"/>
          <w:sz w:val="20"/>
          <w:szCs w:val="20"/>
          <w:lang w:eastAsia="pt-BR"/>
        </w:rPr>
        <w:t>c) verificar se os critérios e práticas preservam o caráter competitivo do certame.</w:t>
      </w:r>
    </w:p>
    <w:p w14:paraId="4A0766A0" w14:textId="5CEA5818" w:rsidR="29F9CCBD" w:rsidRPr="009D2783" w:rsidRDefault="29F9CCBD" w:rsidP="00952A35">
      <w:pPr>
        <w:spacing w:after="0" w:line="240" w:lineRule="auto"/>
        <w:ind w:left="2268"/>
        <w:jc w:val="both"/>
        <w:rPr>
          <w:rFonts w:ascii="Times New Roman" w:eastAsia="Calibri" w:hAnsi="Times New Roman" w:cs="Times New Roman"/>
          <w:sz w:val="20"/>
          <w:szCs w:val="20"/>
        </w:rPr>
      </w:pPr>
      <w:r w:rsidRPr="009D2783">
        <w:rPr>
          <w:rFonts w:ascii="Times New Roman" w:eastAsia="Calibri" w:hAnsi="Times New Roman" w:cs="Times New Roman"/>
          <w:color w:val="000000" w:themeColor="text1"/>
          <w:sz w:val="20"/>
          <w:szCs w:val="20"/>
        </w:rPr>
        <w:t xml:space="preserve">d) </w:t>
      </w:r>
      <w:r w:rsidRPr="009D2783">
        <w:rPr>
          <w:rFonts w:ascii="Times New Roman" w:eastAsia="Calibri" w:hAnsi="Times New Roman" w:cs="Times New Roman"/>
          <w:sz w:val="20"/>
          <w:szCs w:val="20"/>
        </w:rPr>
        <w:t>verificar o alinhamento da contratação com o Plano de Gestão de Logística Sustentável.</w:t>
      </w:r>
    </w:p>
    <w:p w14:paraId="760C10C5" w14:textId="62508B08" w:rsidR="7AE5CAC2" w:rsidRPr="00271BE3" w:rsidRDefault="7AE5CAC2" w:rsidP="00952A35">
      <w:pPr>
        <w:spacing w:after="0" w:line="240" w:lineRule="auto"/>
        <w:jc w:val="both"/>
        <w:rPr>
          <w:rFonts w:ascii="Times New Roman" w:eastAsia="Calibri" w:hAnsi="Times New Roman" w:cs="Times New Roman"/>
          <w:color w:val="000000" w:themeColor="text1"/>
          <w:sz w:val="24"/>
          <w:szCs w:val="24"/>
          <w:highlight w:val="green"/>
        </w:rPr>
      </w:pPr>
    </w:p>
    <w:p w14:paraId="7F0156D4" w14:textId="5118CD1D" w:rsidR="7AE5CAC2" w:rsidRPr="00271BE3" w:rsidRDefault="598C3883"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 xml:space="preserve">Assim, as especificações </w:t>
      </w:r>
      <w:r w:rsidR="309C824B" w:rsidRPr="00271BE3">
        <w:rPr>
          <w:rFonts w:ascii="Times New Roman" w:eastAsia="Calibri" w:hAnsi="Times New Roman" w:cs="Times New Roman"/>
          <w:color w:val="000000" w:themeColor="text1"/>
          <w:sz w:val="24"/>
          <w:szCs w:val="24"/>
        </w:rPr>
        <w:t xml:space="preserve">dos serviços </w:t>
      </w:r>
      <w:r w:rsidRPr="00271BE3">
        <w:rPr>
          <w:rFonts w:ascii="Times New Roman" w:eastAsia="Calibri" w:hAnsi="Times New Roman" w:cs="Times New Roman"/>
          <w:color w:val="000000" w:themeColor="text1"/>
          <w:sz w:val="24"/>
          <w:szCs w:val="24"/>
        </w:rPr>
        <w:t xml:space="preserve">devem conter critérios de sustentabilidade ambiental, devendo a Administração Pública formular as exigências de forma a não frustrar a competitividade. </w:t>
      </w:r>
    </w:p>
    <w:p w14:paraId="3195D46B" w14:textId="77777777" w:rsidR="00B47554" w:rsidRPr="00271BE3" w:rsidRDefault="00B47554" w:rsidP="00952A35">
      <w:pPr>
        <w:spacing w:after="0" w:line="240" w:lineRule="auto"/>
        <w:jc w:val="both"/>
        <w:rPr>
          <w:rFonts w:ascii="Times New Roman" w:eastAsia="Calibri" w:hAnsi="Times New Roman" w:cs="Times New Roman"/>
          <w:color w:val="000000" w:themeColor="text1"/>
          <w:sz w:val="24"/>
          <w:szCs w:val="24"/>
        </w:rPr>
      </w:pPr>
    </w:p>
    <w:p w14:paraId="6A1EACCB" w14:textId="785AF1CD" w:rsidR="000F224A" w:rsidRDefault="1E707E7C" w:rsidP="000F224A">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 xml:space="preserve">Posto isso, para definição dos critérios e práticas de sustentabilidade, </w:t>
      </w:r>
      <w:r w:rsidRPr="00271BE3">
        <w:rPr>
          <w:rFonts w:ascii="Times New Roman" w:eastAsia="Calibri" w:hAnsi="Times New Roman" w:cs="Times New Roman"/>
          <w:color w:val="000000" w:themeColor="text1"/>
          <w:sz w:val="24"/>
          <w:szCs w:val="24"/>
          <w:u w:val="single"/>
        </w:rPr>
        <w:t>recomenda-se</w:t>
      </w:r>
      <w:r w:rsidRPr="00271BE3">
        <w:rPr>
          <w:rFonts w:ascii="Times New Roman" w:eastAsia="Calibri" w:hAnsi="Times New Roman" w:cs="Times New Roman"/>
          <w:color w:val="000000" w:themeColor="text1"/>
          <w:sz w:val="24"/>
          <w:szCs w:val="24"/>
        </w:rPr>
        <w:t xml:space="preserve"> consulta ao </w:t>
      </w:r>
      <w:r w:rsidRPr="005D3B70">
        <w:rPr>
          <w:rFonts w:ascii="Times New Roman" w:eastAsia="Calibri" w:hAnsi="Times New Roman" w:cs="Times New Roman"/>
          <w:sz w:val="24"/>
          <w:szCs w:val="24"/>
        </w:rPr>
        <w:t>Guia Nacional de Co</w:t>
      </w:r>
      <w:bookmarkStart w:id="0" w:name="_GoBack"/>
      <w:bookmarkEnd w:id="0"/>
      <w:r w:rsidRPr="005D3B70">
        <w:rPr>
          <w:rFonts w:ascii="Times New Roman" w:eastAsia="Calibri" w:hAnsi="Times New Roman" w:cs="Times New Roman"/>
          <w:sz w:val="24"/>
          <w:szCs w:val="24"/>
        </w:rPr>
        <w:t>ntratações Sustentáveis</w:t>
      </w:r>
      <w:r w:rsidRPr="00271BE3">
        <w:rPr>
          <w:rFonts w:ascii="Times New Roman" w:eastAsia="Calibri" w:hAnsi="Times New Roman" w:cs="Times New Roman"/>
          <w:color w:val="000000" w:themeColor="text1"/>
          <w:sz w:val="24"/>
          <w:szCs w:val="24"/>
        </w:rPr>
        <w:t>, disponibilizado pela Advocaci</w:t>
      </w:r>
      <w:r w:rsidR="63D1115C" w:rsidRPr="00271BE3">
        <w:rPr>
          <w:rFonts w:ascii="Times New Roman" w:eastAsia="Calibri" w:hAnsi="Times New Roman" w:cs="Times New Roman"/>
          <w:color w:val="000000" w:themeColor="text1"/>
          <w:sz w:val="24"/>
          <w:szCs w:val="24"/>
        </w:rPr>
        <w:t>a-</w:t>
      </w:r>
      <w:r w:rsidRPr="00271BE3">
        <w:rPr>
          <w:rFonts w:ascii="Times New Roman" w:eastAsia="Calibri" w:hAnsi="Times New Roman" w:cs="Times New Roman"/>
          <w:color w:val="000000" w:themeColor="text1"/>
          <w:sz w:val="24"/>
          <w:szCs w:val="24"/>
        </w:rPr>
        <w:t>Geral da União</w:t>
      </w:r>
      <w:r w:rsidR="23D5E0FA" w:rsidRPr="00271BE3">
        <w:rPr>
          <w:rFonts w:ascii="Times New Roman" w:eastAsia="Calibri" w:hAnsi="Times New Roman" w:cs="Times New Roman"/>
          <w:color w:val="000000" w:themeColor="text1"/>
          <w:sz w:val="24"/>
          <w:szCs w:val="24"/>
        </w:rPr>
        <w:t xml:space="preserve"> em seu sítio eletrônico.</w:t>
      </w:r>
    </w:p>
    <w:p w14:paraId="22D4D44C" w14:textId="77777777" w:rsidR="000F224A" w:rsidRPr="000F224A" w:rsidRDefault="000F224A" w:rsidP="000F224A">
      <w:pPr>
        <w:spacing w:after="0" w:line="240" w:lineRule="auto"/>
        <w:jc w:val="both"/>
        <w:rPr>
          <w:rFonts w:ascii="Times New Roman" w:eastAsia="Calibri" w:hAnsi="Times New Roman" w:cs="Times New Roman"/>
          <w:color w:val="000000" w:themeColor="text1"/>
          <w:sz w:val="24"/>
          <w:szCs w:val="24"/>
        </w:rPr>
      </w:pPr>
    </w:p>
    <w:p w14:paraId="0613DDE8" w14:textId="6829F0BF" w:rsidR="53A9D441" w:rsidRPr="00271BE3" w:rsidRDefault="53A9D441" w:rsidP="00952A35">
      <w:pPr>
        <w:spacing w:after="0" w:line="240" w:lineRule="auto"/>
        <w:jc w:val="both"/>
        <w:rPr>
          <w:rFonts w:ascii="Times New Roman" w:eastAsiaTheme="minorEastAsia" w:hAnsi="Times New Roman" w:cs="Times New Roman"/>
          <w:color w:val="FF0000"/>
          <w:sz w:val="24"/>
          <w:szCs w:val="24"/>
        </w:rPr>
      </w:pPr>
      <w:r w:rsidRPr="00862BA2">
        <w:rPr>
          <w:rFonts w:ascii="Times New Roman" w:eastAsiaTheme="minorEastAsia" w:hAnsi="Times New Roman" w:cs="Times New Roman"/>
          <w:color w:val="FF0000"/>
          <w:sz w:val="24"/>
          <w:szCs w:val="24"/>
          <w:u w:val="single"/>
        </w:rPr>
        <w:t>As licitações de obras e serviços de engenharia devem respeitar, especialmente</w:t>
      </w:r>
      <w:r w:rsidRPr="00271BE3">
        <w:rPr>
          <w:rFonts w:ascii="Times New Roman" w:eastAsiaTheme="minorEastAsia" w:hAnsi="Times New Roman" w:cs="Times New Roman"/>
          <w:color w:val="FF0000"/>
          <w:sz w:val="24"/>
          <w:szCs w:val="24"/>
        </w:rPr>
        <w:t>, as normas relativas a: I - disposição final ambientalmente adequada dos resíduos sólidos gerados pelas obras contratadas; II - mitigação por condicionantes e compensação ambiental, que serão definidas no procedimento de licenciamento ambiental; III - utilização de produtos, de equipamentos e de serviços que, comprovadamente, favoreçam a redução do consumo de energia e de recursos naturais; IV - avaliação de impacto de vizinhança, na forma da legislação urbanística; V - proteção do patrimônio histórico, cultural, arqueológico e imaterial, inclusive por meio da avaliação do impacto direto ou indireto causado pelas obras contratadas; VI - acessibilidade para pessoas com deficiência ou com mobilidade reduzida (art. 45, da Lei nº 14.133</w:t>
      </w:r>
      <w:r w:rsidR="00D34D9B" w:rsidRPr="00271BE3">
        <w:rPr>
          <w:rFonts w:ascii="Times New Roman" w:eastAsiaTheme="minorEastAsia" w:hAnsi="Times New Roman" w:cs="Times New Roman"/>
          <w:color w:val="FF0000"/>
          <w:sz w:val="24"/>
          <w:szCs w:val="24"/>
        </w:rPr>
        <w:t xml:space="preserve">, de </w:t>
      </w:r>
      <w:r w:rsidRPr="00271BE3">
        <w:rPr>
          <w:rFonts w:ascii="Times New Roman" w:eastAsiaTheme="minorEastAsia" w:hAnsi="Times New Roman" w:cs="Times New Roman"/>
          <w:color w:val="FF0000"/>
          <w:sz w:val="24"/>
          <w:szCs w:val="24"/>
        </w:rPr>
        <w:t>2021).</w:t>
      </w:r>
    </w:p>
    <w:p w14:paraId="1BA7CC9D" w14:textId="77777777" w:rsidR="00B47554" w:rsidRPr="00271BE3" w:rsidRDefault="00B47554" w:rsidP="00952A35">
      <w:pPr>
        <w:spacing w:after="0" w:line="240" w:lineRule="auto"/>
        <w:jc w:val="both"/>
        <w:rPr>
          <w:rFonts w:ascii="Times New Roman" w:eastAsia="Calibri" w:hAnsi="Times New Roman" w:cs="Times New Roman"/>
          <w:color w:val="000000" w:themeColor="text1"/>
          <w:sz w:val="24"/>
          <w:szCs w:val="24"/>
        </w:rPr>
      </w:pPr>
    </w:p>
    <w:p w14:paraId="5086DA06" w14:textId="3FDCFB77" w:rsidR="598C3883" w:rsidRDefault="598C3883"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 xml:space="preserve">Se a Administração entender que os serviços não se sujeitam a critérios de sustentabilidade ou que as especificações restringem indevidamente a competição em dado mercado, </w:t>
      </w:r>
      <w:r w:rsidRPr="00271BE3">
        <w:rPr>
          <w:rFonts w:ascii="Times New Roman" w:eastAsia="Calibri" w:hAnsi="Times New Roman" w:cs="Times New Roman"/>
          <w:color w:val="000000" w:themeColor="text1"/>
          <w:sz w:val="24"/>
          <w:szCs w:val="24"/>
          <w:u w:val="single"/>
        </w:rPr>
        <w:t>deverá apresentar a devida justificativa</w:t>
      </w:r>
      <w:r w:rsidRPr="00271BE3">
        <w:rPr>
          <w:rFonts w:ascii="Times New Roman" w:eastAsia="Calibri" w:hAnsi="Times New Roman" w:cs="Times New Roman"/>
          <w:color w:val="000000" w:themeColor="text1"/>
          <w:sz w:val="24"/>
          <w:szCs w:val="24"/>
        </w:rPr>
        <w:t>.</w:t>
      </w:r>
    </w:p>
    <w:p w14:paraId="45CD86CF" w14:textId="77777777" w:rsidR="00862BA2" w:rsidRPr="00271BE3" w:rsidRDefault="00862BA2" w:rsidP="00952A35">
      <w:pPr>
        <w:spacing w:after="0" w:line="240" w:lineRule="auto"/>
        <w:jc w:val="both"/>
        <w:rPr>
          <w:rFonts w:ascii="Times New Roman" w:eastAsia="Calibri" w:hAnsi="Times New Roman" w:cs="Times New Roman"/>
          <w:color w:val="000000" w:themeColor="text1"/>
          <w:sz w:val="24"/>
          <w:szCs w:val="24"/>
        </w:rPr>
      </w:pPr>
    </w:p>
    <w:p w14:paraId="7B7E76E7" w14:textId="5C4D0B74" w:rsidR="7D0344AF" w:rsidRPr="00271BE3" w:rsidRDefault="7D0344AF" w:rsidP="00952A35">
      <w:pPr>
        <w:spacing w:after="0" w:line="240" w:lineRule="auto"/>
        <w:jc w:val="both"/>
        <w:rPr>
          <w:rFonts w:ascii="Times New Roman" w:eastAsia="Calibri" w:hAnsi="Times New Roman" w:cs="Times New Roman"/>
          <w:color w:val="000000" w:themeColor="text1"/>
          <w:sz w:val="24"/>
          <w:szCs w:val="24"/>
          <w:highlight w:val="cyan"/>
        </w:rPr>
      </w:pPr>
      <w:r w:rsidRPr="00271BE3">
        <w:rPr>
          <w:rFonts w:ascii="Times New Roman" w:eastAsia="Calibri" w:hAnsi="Times New Roman" w:cs="Times New Roman"/>
          <w:color w:val="000000" w:themeColor="text1"/>
          <w:sz w:val="24"/>
          <w:szCs w:val="24"/>
          <w:highlight w:val="cyan"/>
        </w:rPr>
        <w:t xml:space="preserve">Feitas essas considerações, verifica-se que a Administração incluiu, </w:t>
      </w:r>
      <w:r w:rsidRPr="00271BE3">
        <w:rPr>
          <w:rFonts w:ascii="Times New Roman" w:eastAsia="Calibri" w:hAnsi="Times New Roman" w:cs="Times New Roman"/>
          <w:color w:val="FF0000"/>
          <w:sz w:val="24"/>
          <w:szCs w:val="24"/>
          <w:highlight w:val="cyan"/>
        </w:rPr>
        <w:t>no item XX do termo de referência/estudos preliminares</w:t>
      </w:r>
      <w:r w:rsidRPr="00271BE3">
        <w:rPr>
          <w:rFonts w:ascii="Times New Roman" w:eastAsia="Calibri" w:hAnsi="Times New Roman" w:cs="Times New Roman"/>
          <w:color w:val="000000" w:themeColor="text1"/>
          <w:sz w:val="24"/>
          <w:szCs w:val="24"/>
          <w:highlight w:val="cyan"/>
        </w:rPr>
        <w:t>, critérios e práticas de sustentabilidade.</w:t>
      </w:r>
    </w:p>
    <w:p w14:paraId="7ABFB760" w14:textId="144E2795" w:rsidR="7D0344AF" w:rsidRPr="00271BE3" w:rsidRDefault="7D0344AF" w:rsidP="00250BCC">
      <w:pPr>
        <w:spacing w:after="0" w:line="240" w:lineRule="auto"/>
        <w:ind w:firstLine="708"/>
        <w:jc w:val="both"/>
        <w:rPr>
          <w:rFonts w:ascii="Times New Roman" w:hAnsi="Times New Roman" w:cs="Times New Roman"/>
          <w:sz w:val="24"/>
          <w:szCs w:val="24"/>
          <w:highlight w:val="cyan"/>
        </w:rPr>
      </w:pPr>
      <w:r w:rsidRPr="00271BE3">
        <w:rPr>
          <w:rFonts w:ascii="Times New Roman" w:eastAsia="Calibri" w:hAnsi="Times New Roman" w:cs="Times New Roman"/>
          <w:b/>
          <w:bCs/>
          <w:color w:val="000000" w:themeColor="text1"/>
          <w:sz w:val="24"/>
          <w:szCs w:val="24"/>
          <w:highlight w:val="cyan"/>
          <w:u w:val="single"/>
        </w:rPr>
        <w:t>OU</w:t>
      </w:r>
    </w:p>
    <w:p w14:paraId="65775BBE" w14:textId="25940FB4" w:rsidR="7D0344AF" w:rsidRPr="00271BE3" w:rsidRDefault="7D0344AF" w:rsidP="00091F5C">
      <w:pPr>
        <w:spacing w:after="0" w:line="240" w:lineRule="auto"/>
        <w:ind w:firstLine="708"/>
        <w:jc w:val="both"/>
        <w:rPr>
          <w:rFonts w:ascii="Times New Roman" w:hAnsi="Times New Roman" w:cs="Times New Roman"/>
          <w:sz w:val="24"/>
          <w:szCs w:val="24"/>
          <w:highlight w:val="cyan"/>
        </w:rPr>
      </w:pPr>
      <w:r w:rsidRPr="594C5555">
        <w:rPr>
          <w:rFonts w:ascii="Times New Roman" w:eastAsia="Calibri" w:hAnsi="Times New Roman" w:cs="Times New Roman"/>
          <w:color w:val="000000" w:themeColor="text1"/>
          <w:sz w:val="24"/>
          <w:szCs w:val="24"/>
          <w:highlight w:val="cyan"/>
        </w:rPr>
        <w:t xml:space="preserve">Feitas essas considerações, verifica-se que a Administração justificou, </w:t>
      </w:r>
      <w:r w:rsidRPr="594C5555">
        <w:rPr>
          <w:rFonts w:ascii="Times New Roman" w:eastAsia="Calibri" w:hAnsi="Times New Roman" w:cs="Times New Roman"/>
          <w:color w:val="FF0000"/>
          <w:sz w:val="24"/>
          <w:szCs w:val="24"/>
          <w:highlight w:val="cyan"/>
        </w:rPr>
        <w:t>às fls</w:t>
      </w:r>
      <w:r w:rsidRPr="594C5555">
        <w:rPr>
          <w:rFonts w:ascii="Times New Roman" w:eastAsia="Calibri" w:hAnsi="Times New Roman" w:cs="Times New Roman"/>
          <w:color w:val="000000" w:themeColor="text1"/>
          <w:sz w:val="24"/>
          <w:szCs w:val="24"/>
          <w:highlight w:val="cyan"/>
        </w:rPr>
        <w:t xml:space="preserve">. </w:t>
      </w:r>
      <w:r w:rsidRPr="594C5555">
        <w:rPr>
          <w:rFonts w:ascii="Times New Roman" w:eastAsia="Calibri" w:hAnsi="Times New Roman" w:cs="Times New Roman"/>
          <w:color w:val="FF0000"/>
          <w:sz w:val="24"/>
          <w:szCs w:val="24"/>
          <w:highlight w:val="cyan"/>
        </w:rPr>
        <w:t>XXX</w:t>
      </w:r>
      <w:r w:rsidRPr="594C5555">
        <w:rPr>
          <w:rFonts w:ascii="Times New Roman" w:eastAsia="Calibri" w:hAnsi="Times New Roman" w:cs="Times New Roman"/>
          <w:color w:val="000000" w:themeColor="text1"/>
          <w:sz w:val="24"/>
          <w:szCs w:val="24"/>
          <w:highlight w:val="cyan"/>
        </w:rPr>
        <w:t>, a não exigência dos critérios e práticas de sustentabilidade.</w:t>
      </w:r>
    </w:p>
    <w:p w14:paraId="53BB7B10" w14:textId="17065876" w:rsidR="7D0344AF" w:rsidRPr="00271BE3" w:rsidRDefault="7D0344AF" w:rsidP="00250BCC">
      <w:pPr>
        <w:spacing w:after="0" w:line="240" w:lineRule="auto"/>
        <w:ind w:firstLine="708"/>
        <w:jc w:val="both"/>
        <w:rPr>
          <w:rFonts w:ascii="Times New Roman" w:hAnsi="Times New Roman" w:cs="Times New Roman"/>
          <w:sz w:val="24"/>
          <w:szCs w:val="24"/>
          <w:highlight w:val="cyan"/>
        </w:rPr>
      </w:pPr>
      <w:r w:rsidRPr="00271BE3">
        <w:rPr>
          <w:rFonts w:ascii="Times New Roman" w:eastAsia="Calibri" w:hAnsi="Times New Roman" w:cs="Times New Roman"/>
          <w:b/>
          <w:bCs/>
          <w:color w:val="000000" w:themeColor="text1"/>
          <w:sz w:val="24"/>
          <w:szCs w:val="24"/>
          <w:highlight w:val="cyan"/>
          <w:u w:val="single"/>
        </w:rPr>
        <w:t>OU</w:t>
      </w:r>
    </w:p>
    <w:p w14:paraId="79C93A53" w14:textId="7001928C" w:rsidR="7D0344AF" w:rsidRPr="00271BE3" w:rsidRDefault="7D0344AF" w:rsidP="00091F5C">
      <w:pPr>
        <w:spacing w:after="0" w:line="240" w:lineRule="auto"/>
        <w:ind w:firstLine="708"/>
        <w:jc w:val="both"/>
        <w:rPr>
          <w:rFonts w:ascii="Times New Roman" w:eastAsia="Calibri" w:hAnsi="Times New Roman" w:cs="Times New Roman"/>
          <w:color w:val="000000" w:themeColor="text1"/>
          <w:sz w:val="24"/>
          <w:szCs w:val="24"/>
          <w:highlight w:val="cyan"/>
        </w:rPr>
      </w:pPr>
      <w:r w:rsidRPr="594C5555">
        <w:rPr>
          <w:rFonts w:ascii="Times New Roman" w:eastAsia="Calibri" w:hAnsi="Times New Roman" w:cs="Times New Roman"/>
          <w:color w:val="000000" w:themeColor="text1"/>
          <w:sz w:val="24"/>
          <w:szCs w:val="24"/>
          <w:highlight w:val="cyan"/>
        </w:rPr>
        <w:t xml:space="preserve">Feitas essas considerações, </w:t>
      </w:r>
      <w:r w:rsidRPr="594C5555">
        <w:rPr>
          <w:rFonts w:ascii="Times New Roman" w:eastAsia="Calibri" w:hAnsi="Times New Roman" w:cs="Times New Roman"/>
          <w:color w:val="000000" w:themeColor="text1"/>
          <w:sz w:val="24"/>
          <w:szCs w:val="24"/>
          <w:highlight w:val="cyan"/>
          <w:u w:val="single"/>
        </w:rPr>
        <w:t>verifica-se que a Administração precisa atender às exigências salientadas acima</w:t>
      </w:r>
      <w:r w:rsidRPr="594C5555">
        <w:rPr>
          <w:rFonts w:ascii="Times New Roman" w:eastAsia="Calibri" w:hAnsi="Times New Roman" w:cs="Times New Roman"/>
          <w:color w:val="000000" w:themeColor="text1"/>
          <w:sz w:val="24"/>
          <w:szCs w:val="24"/>
          <w:highlight w:val="cyan"/>
        </w:rPr>
        <w:t>, pois nem teceu considerações sobre os requisitos de sustentabilidade ambiental, nem justificou a sua não incidência.</w:t>
      </w:r>
    </w:p>
    <w:p w14:paraId="639A5480" w14:textId="5ED2F49C" w:rsidR="05B9892C" w:rsidRPr="00271BE3" w:rsidRDefault="05B9892C" w:rsidP="00952A35">
      <w:pPr>
        <w:spacing w:after="0" w:line="240" w:lineRule="auto"/>
        <w:ind w:firstLine="1418"/>
        <w:jc w:val="both"/>
        <w:rPr>
          <w:rFonts w:ascii="Times New Roman" w:eastAsia="Times New Roman" w:hAnsi="Times New Roman" w:cs="Times New Roman"/>
          <w:b/>
          <w:bCs/>
          <w:color w:val="000000" w:themeColor="text1"/>
          <w:sz w:val="24"/>
          <w:szCs w:val="24"/>
          <w:lang w:eastAsia="pt-BR"/>
        </w:rPr>
      </w:pPr>
    </w:p>
    <w:p w14:paraId="6EB03540" w14:textId="18797CEB" w:rsidR="004423CE" w:rsidRPr="00271BE3" w:rsidRDefault="6817C2E8"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Do orçamento da contratação e da obrigatoriedade de elaboração de planilhas</w:t>
      </w:r>
    </w:p>
    <w:p w14:paraId="78F7C4E5"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4496DB7" w14:textId="07B2E957" w:rsidR="004423CE" w:rsidRPr="00271BE3" w:rsidRDefault="31329E69"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Quanto ao orçamento, é dever da Administração, na contratação de serviços, elaborar planilha detalhada com a consolidação dos quantitativos e preços unitários e total da contratação (</w:t>
      </w:r>
      <w:r w:rsidR="2C20F550" w:rsidRPr="00271BE3">
        <w:rPr>
          <w:rFonts w:ascii="Times New Roman" w:eastAsia="Calibri" w:hAnsi="Times New Roman" w:cs="Times New Roman"/>
          <w:color w:val="000000" w:themeColor="text1"/>
          <w:sz w:val="24"/>
          <w:szCs w:val="24"/>
        </w:rPr>
        <w:t>art. 6º, XXIII, "i", art. 18, IV, e § 1º, VI, da Lei nº 14.133</w:t>
      </w:r>
      <w:r w:rsidR="008D0BB9" w:rsidRPr="00271BE3">
        <w:rPr>
          <w:rFonts w:ascii="Times New Roman" w:eastAsia="Calibri" w:hAnsi="Times New Roman" w:cs="Times New Roman"/>
          <w:color w:val="000000" w:themeColor="text1"/>
          <w:sz w:val="24"/>
          <w:szCs w:val="24"/>
        </w:rPr>
        <w:t xml:space="preserve">, de </w:t>
      </w:r>
      <w:r w:rsidR="2C20F550" w:rsidRPr="00271BE3">
        <w:rPr>
          <w:rFonts w:ascii="Times New Roman" w:eastAsia="Calibri" w:hAnsi="Times New Roman" w:cs="Times New Roman"/>
          <w:color w:val="000000" w:themeColor="text1"/>
          <w:sz w:val="24"/>
          <w:szCs w:val="24"/>
        </w:rPr>
        <w:t>2021</w:t>
      </w:r>
      <w:r w:rsidR="18FF559C" w:rsidRPr="00271BE3">
        <w:rPr>
          <w:rFonts w:ascii="Times New Roman" w:eastAsia="Calibri" w:hAnsi="Times New Roman" w:cs="Times New Roman"/>
          <w:color w:val="000000" w:themeColor="text1"/>
          <w:sz w:val="24"/>
          <w:szCs w:val="24"/>
        </w:rPr>
        <w:t xml:space="preserve"> c/c</w:t>
      </w:r>
      <w:r w:rsidR="69F2AA93" w:rsidRPr="00271BE3">
        <w:rPr>
          <w:rFonts w:ascii="Times New Roman" w:eastAsia="Calibri" w:hAnsi="Times New Roman" w:cs="Times New Roman"/>
          <w:color w:val="000000" w:themeColor="text1"/>
          <w:sz w:val="24"/>
          <w:szCs w:val="24"/>
        </w:rPr>
        <w:t xml:space="preserve"> </w:t>
      </w:r>
      <w:r w:rsidR="69F2AA93" w:rsidRPr="00271BE3">
        <w:rPr>
          <w:rFonts w:ascii="Times New Roman" w:eastAsia="Calibri" w:hAnsi="Times New Roman" w:cs="Times New Roman"/>
          <w:sz w:val="24"/>
          <w:szCs w:val="24"/>
        </w:rPr>
        <w:t>art. 2º, I, II, VIII e IX, do Decreto nº 7.983, de 2013</w:t>
      </w:r>
      <w:r w:rsidRPr="00271BE3">
        <w:rPr>
          <w:rFonts w:ascii="Times New Roman" w:eastAsia="Times New Roman" w:hAnsi="Times New Roman" w:cs="Times New Roman"/>
          <w:color w:val="000000" w:themeColor="text1"/>
          <w:sz w:val="24"/>
          <w:szCs w:val="24"/>
          <w:lang w:eastAsia="pt-BR"/>
        </w:rPr>
        <w:t>).</w:t>
      </w:r>
    </w:p>
    <w:p w14:paraId="6797FF9E" w14:textId="06168022" w:rsidR="004423CE" w:rsidRPr="00271BE3" w:rsidRDefault="004423CE" w:rsidP="00952A35">
      <w:pPr>
        <w:spacing w:after="0" w:line="240" w:lineRule="auto"/>
        <w:jc w:val="both"/>
        <w:rPr>
          <w:rFonts w:ascii="Times New Roman" w:eastAsia="Times New Roman" w:hAnsi="Times New Roman" w:cs="Times New Roman"/>
          <w:color w:val="000000" w:themeColor="text1"/>
          <w:sz w:val="24"/>
          <w:szCs w:val="24"/>
          <w:highlight w:val="green"/>
          <w:lang w:eastAsia="pt-BR"/>
        </w:rPr>
      </w:pPr>
    </w:p>
    <w:p w14:paraId="14AEFBF1" w14:textId="3BBD31AB" w:rsidR="004423CE" w:rsidRPr="00271BE3" w:rsidRDefault="40B09434" w:rsidP="00952A35">
      <w:pPr>
        <w:spacing w:after="0" w:line="240" w:lineRule="auto"/>
        <w:jc w:val="both"/>
        <w:rPr>
          <w:rFonts w:ascii="Times New Roman" w:eastAsia="Calibri" w:hAnsi="Times New Roman" w:cs="Times New Roman"/>
          <w:color w:val="000000" w:themeColor="text1"/>
          <w:sz w:val="24"/>
          <w:szCs w:val="24"/>
          <w:highlight w:val="cyan"/>
        </w:rPr>
      </w:pPr>
      <w:r w:rsidRPr="00271BE3">
        <w:rPr>
          <w:rFonts w:ascii="Times New Roman" w:eastAsia="Calibri" w:hAnsi="Times New Roman" w:cs="Times New Roman"/>
          <w:color w:val="000000" w:themeColor="text1"/>
          <w:sz w:val="24"/>
          <w:szCs w:val="24"/>
          <w:highlight w:val="cyan"/>
        </w:rPr>
        <w:t xml:space="preserve">Compulsando os autos, verifica-se que foi juntada planilha de custos e formação de preços elaborada por servidor devidamente identificado nos autos às fls. </w:t>
      </w:r>
      <w:r w:rsidRPr="00271BE3">
        <w:rPr>
          <w:rFonts w:ascii="Times New Roman" w:eastAsia="Calibri" w:hAnsi="Times New Roman" w:cs="Times New Roman"/>
          <w:color w:val="FF0000"/>
          <w:sz w:val="24"/>
          <w:szCs w:val="24"/>
          <w:highlight w:val="cyan"/>
        </w:rPr>
        <w:t>XXX/no doc. SEI XXX</w:t>
      </w:r>
      <w:r w:rsidRPr="00271BE3">
        <w:rPr>
          <w:rFonts w:ascii="Times New Roman" w:eastAsia="Calibri" w:hAnsi="Times New Roman" w:cs="Times New Roman"/>
          <w:color w:val="000000" w:themeColor="text1"/>
          <w:sz w:val="24"/>
          <w:szCs w:val="24"/>
          <w:highlight w:val="cyan"/>
        </w:rPr>
        <w:t xml:space="preserve">.  </w:t>
      </w:r>
    </w:p>
    <w:p w14:paraId="500B5EC7" w14:textId="693A511B" w:rsidR="004423CE" w:rsidRPr="00271BE3" w:rsidRDefault="40B09434" w:rsidP="00250BCC">
      <w:pPr>
        <w:spacing w:after="0" w:line="240" w:lineRule="auto"/>
        <w:ind w:firstLine="708"/>
        <w:jc w:val="both"/>
        <w:rPr>
          <w:rFonts w:ascii="Times New Roman" w:eastAsia="Calibri" w:hAnsi="Times New Roman" w:cs="Times New Roman"/>
          <w:b/>
          <w:bCs/>
          <w:color w:val="000000" w:themeColor="text1"/>
          <w:sz w:val="24"/>
          <w:szCs w:val="24"/>
          <w:highlight w:val="cyan"/>
          <w:u w:val="single"/>
        </w:rPr>
      </w:pPr>
      <w:r w:rsidRPr="00271BE3">
        <w:rPr>
          <w:rFonts w:ascii="Times New Roman" w:eastAsia="Calibri" w:hAnsi="Times New Roman" w:cs="Times New Roman"/>
          <w:b/>
          <w:bCs/>
          <w:color w:val="000000" w:themeColor="text1"/>
          <w:sz w:val="24"/>
          <w:szCs w:val="24"/>
          <w:highlight w:val="cyan"/>
          <w:u w:val="single"/>
        </w:rPr>
        <w:t>OU</w:t>
      </w:r>
    </w:p>
    <w:p w14:paraId="2002EE4F" w14:textId="7D465F28" w:rsidR="004423CE" w:rsidRPr="00271BE3" w:rsidRDefault="40B09434" w:rsidP="00091F5C">
      <w:pPr>
        <w:spacing w:after="0" w:line="240" w:lineRule="auto"/>
        <w:ind w:firstLine="708"/>
        <w:jc w:val="both"/>
        <w:rPr>
          <w:rFonts w:ascii="Times New Roman" w:eastAsia="Calibri" w:hAnsi="Times New Roman" w:cs="Times New Roman"/>
          <w:color w:val="000000"/>
          <w:sz w:val="24"/>
          <w:szCs w:val="24"/>
          <w:highlight w:val="cyan"/>
          <w:u w:val="single"/>
        </w:rPr>
      </w:pPr>
      <w:r w:rsidRPr="594C5555">
        <w:rPr>
          <w:rFonts w:ascii="Times New Roman" w:eastAsia="Calibri" w:hAnsi="Times New Roman" w:cs="Times New Roman"/>
          <w:color w:val="000000" w:themeColor="text1"/>
          <w:sz w:val="24"/>
          <w:szCs w:val="24"/>
          <w:highlight w:val="cyan"/>
        </w:rPr>
        <w:t xml:space="preserve">Compulsando os autos, verifica-se que </w:t>
      </w:r>
      <w:r w:rsidRPr="594C5555">
        <w:rPr>
          <w:rFonts w:ascii="Times New Roman" w:eastAsia="Calibri" w:hAnsi="Times New Roman" w:cs="Times New Roman"/>
          <w:color w:val="000000" w:themeColor="text1"/>
          <w:sz w:val="24"/>
          <w:szCs w:val="24"/>
          <w:highlight w:val="cyan"/>
          <w:u w:val="single"/>
        </w:rPr>
        <w:t>não foi juntada planilha</w:t>
      </w:r>
      <w:r w:rsidRPr="594C5555">
        <w:rPr>
          <w:rFonts w:ascii="Times New Roman" w:eastAsia="Calibri" w:hAnsi="Times New Roman" w:cs="Times New Roman"/>
          <w:color w:val="000000" w:themeColor="text1"/>
          <w:sz w:val="24"/>
          <w:szCs w:val="24"/>
          <w:highlight w:val="cyan"/>
        </w:rPr>
        <w:t xml:space="preserve"> de custos e formação de preços elaborada pela Administração por meio de servidor devidamente identificado nos autos. </w:t>
      </w:r>
      <w:r w:rsidRPr="594C5555">
        <w:rPr>
          <w:rFonts w:ascii="Times New Roman" w:eastAsia="Calibri" w:hAnsi="Times New Roman" w:cs="Times New Roman"/>
          <w:color w:val="000000" w:themeColor="text1"/>
          <w:sz w:val="24"/>
          <w:szCs w:val="24"/>
          <w:highlight w:val="cyan"/>
        </w:rPr>
        <w:lastRenderedPageBreak/>
        <w:t xml:space="preserve">Desse modo, </w:t>
      </w:r>
      <w:r w:rsidRPr="594C5555">
        <w:rPr>
          <w:rFonts w:ascii="Times New Roman" w:eastAsia="Calibri" w:hAnsi="Times New Roman" w:cs="Times New Roman"/>
          <w:color w:val="000000" w:themeColor="text1"/>
          <w:sz w:val="24"/>
          <w:szCs w:val="24"/>
          <w:highlight w:val="cyan"/>
          <w:u w:val="single"/>
        </w:rPr>
        <w:t>deverá a planilha ser preenchida pela Administração com a indicação de todos os custos unitários dos itens referentes ao serviço</w:t>
      </w:r>
      <w:r w:rsidR="1C04E9F7" w:rsidRPr="594C5555">
        <w:rPr>
          <w:rFonts w:ascii="Times New Roman" w:eastAsia="Calibri" w:hAnsi="Times New Roman" w:cs="Times New Roman"/>
          <w:color w:val="000000" w:themeColor="text1"/>
          <w:sz w:val="24"/>
          <w:szCs w:val="24"/>
          <w:highlight w:val="cyan"/>
          <w:u w:val="single"/>
        </w:rPr>
        <w:t>.</w:t>
      </w:r>
    </w:p>
    <w:p w14:paraId="7E99FF76" w14:textId="51721E69" w:rsidR="05F1956B" w:rsidRPr="00271BE3" w:rsidRDefault="05F1956B" w:rsidP="00952A35">
      <w:pPr>
        <w:spacing w:after="0" w:line="240" w:lineRule="auto"/>
        <w:jc w:val="both"/>
        <w:rPr>
          <w:rFonts w:ascii="Times New Roman" w:eastAsia="Calibri" w:hAnsi="Times New Roman" w:cs="Times New Roman"/>
          <w:color w:val="000000" w:themeColor="text1"/>
          <w:sz w:val="24"/>
          <w:szCs w:val="24"/>
          <w:highlight w:val="green"/>
          <w:u w:val="single"/>
        </w:rPr>
      </w:pPr>
    </w:p>
    <w:p w14:paraId="36B66947" w14:textId="3E1CB114" w:rsidR="000F224A" w:rsidRDefault="004423CE" w:rsidP="000F224A">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Tendo em conta a natureza estritamente técnica do orçamento, a adequação da metodologia empregada para estimar os custos unitários da contratação deixará de ser examinada neste parecer, por se tratar de atribuição não afeta à formação jurídica e ao prisma do exame da estrita legalidade.</w:t>
      </w:r>
    </w:p>
    <w:p w14:paraId="6DC2262D" w14:textId="77777777" w:rsidR="000F224A" w:rsidRDefault="000F224A" w:rsidP="000F224A">
      <w:pPr>
        <w:spacing w:after="0" w:line="240" w:lineRule="auto"/>
        <w:jc w:val="both"/>
        <w:rPr>
          <w:rFonts w:ascii="Times New Roman" w:eastAsia="Times New Roman" w:hAnsi="Times New Roman" w:cs="Times New Roman"/>
          <w:color w:val="000000"/>
          <w:sz w:val="24"/>
          <w:szCs w:val="24"/>
          <w:lang w:eastAsia="pt-BR"/>
        </w:rPr>
      </w:pPr>
    </w:p>
    <w:p w14:paraId="30E850C2" w14:textId="75784B58"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Considera-se prudente, contudo, </w:t>
      </w:r>
      <w:r w:rsidRPr="002161F6">
        <w:rPr>
          <w:rFonts w:ascii="Times New Roman" w:eastAsia="Times New Roman" w:hAnsi="Times New Roman" w:cs="Times New Roman"/>
          <w:color w:val="000000"/>
          <w:sz w:val="24"/>
          <w:szCs w:val="24"/>
          <w:lang w:eastAsia="pt-BR"/>
        </w:rPr>
        <w:t>ressaltar alguns pontos considerados relevantes sob o prisma jurídico, a fim de melhor orientar, nesse particular, a atuação administrativa. </w:t>
      </w:r>
      <w:r w:rsidRPr="00271BE3">
        <w:rPr>
          <w:rFonts w:ascii="Times New Roman" w:eastAsia="Times New Roman" w:hAnsi="Times New Roman" w:cs="Times New Roman"/>
          <w:color w:val="000000"/>
          <w:sz w:val="24"/>
          <w:szCs w:val="24"/>
          <w:lang w:eastAsia="pt-BR"/>
        </w:rPr>
        <w:t>Senão, veja-se.</w:t>
      </w:r>
    </w:p>
    <w:p w14:paraId="5B6EE071"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61D5B584" w14:textId="39B92F6A" w:rsidR="7025A497" w:rsidRPr="00271BE3" w:rsidRDefault="7025A497" w:rsidP="00952A35">
      <w:pPr>
        <w:spacing w:after="0" w:line="240" w:lineRule="auto"/>
        <w:jc w:val="both"/>
        <w:rPr>
          <w:rFonts w:ascii="Times New Roman" w:eastAsiaTheme="minorEastAsia" w:hAnsi="Times New Roman" w:cs="Times New Roman"/>
          <w:color w:val="000000" w:themeColor="text1"/>
          <w:sz w:val="24"/>
          <w:szCs w:val="24"/>
          <w:lang w:eastAsia="pt-BR"/>
        </w:rPr>
      </w:pPr>
      <w:r w:rsidRPr="00271BE3">
        <w:rPr>
          <w:rFonts w:ascii="Times New Roman" w:eastAsiaTheme="minorEastAsia" w:hAnsi="Times New Roman" w:cs="Times New Roman"/>
          <w:color w:val="000000" w:themeColor="text1"/>
          <w:sz w:val="24"/>
          <w:szCs w:val="24"/>
          <w:lang w:eastAsia="pt-BR"/>
        </w:rPr>
        <w:t>O gestor deve observar o art. 23, § 2º</w:t>
      </w:r>
      <w:r w:rsidR="005D36F6" w:rsidRPr="00271BE3">
        <w:rPr>
          <w:rFonts w:ascii="Times New Roman" w:eastAsiaTheme="minorEastAsia" w:hAnsi="Times New Roman" w:cs="Times New Roman"/>
          <w:color w:val="000000" w:themeColor="text1"/>
          <w:sz w:val="24"/>
          <w:szCs w:val="24"/>
          <w:lang w:eastAsia="pt-BR"/>
        </w:rPr>
        <w:t>,</w:t>
      </w:r>
      <w:r w:rsidRPr="00271BE3">
        <w:rPr>
          <w:rFonts w:ascii="Times New Roman" w:eastAsiaTheme="minorEastAsia" w:hAnsi="Times New Roman" w:cs="Times New Roman"/>
          <w:color w:val="000000" w:themeColor="text1"/>
          <w:sz w:val="24"/>
          <w:szCs w:val="24"/>
          <w:lang w:eastAsia="pt-BR"/>
        </w:rPr>
        <w:t xml:space="preserve"> da </w:t>
      </w:r>
      <w:r w:rsidR="0266B31C" w:rsidRPr="00271BE3">
        <w:rPr>
          <w:rFonts w:ascii="Times New Roman" w:eastAsiaTheme="minorEastAsia" w:hAnsi="Times New Roman" w:cs="Times New Roman"/>
          <w:color w:val="000000" w:themeColor="text1"/>
          <w:sz w:val="24"/>
          <w:szCs w:val="24"/>
        </w:rPr>
        <w:t>Lei nº 14.133</w:t>
      </w:r>
      <w:r w:rsidR="00C45ADB" w:rsidRPr="00271BE3">
        <w:rPr>
          <w:rFonts w:ascii="Times New Roman" w:eastAsiaTheme="minorEastAsia" w:hAnsi="Times New Roman" w:cs="Times New Roman"/>
          <w:color w:val="000000" w:themeColor="text1"/>
          <w:sz w:val="24"/>
          <w:szCs w:val="24"/>
        </w:rPr>
        <w:t xml:space="preserve">, de </w:t>
      </w:r>
      <w:r w:rsidR="0266B31C" w:rsidRPr="00271BE3">
        <w:rPr>
          <w:rFonts w:ascii="Times New Roman" w:eastAsiaTheme="minorEastAsia" w:hAnsi="Times New Roman" w:cs="Times New Roman"/>
          <w:color w:val="000000" w:themeColor="text1"/>
          <w:sz w:val="24"/>
          <w:szCs w:val="24"/>
        </w:rPr>
        <w:t>2021:</w:t>
      </w:r>
    </w:p>
    <w:p w14:paraId="6CD7B779" w14:textId="010895FD" w:rsidR="0A7FF9E6" w:rsidRPr="00271BE3" w:rsidRDefault="0A7FF9E6" w:rsidP="00952A35">
      <w:pPr>
        <w:spacing w:after="0" w:line="240" w:lineRule="auto"/>
        <w:jc w:val="both"/>
        <w:rPr>
          <w:rFonts w:ascii="Times New Roman" w:eastAsiaTheme="minorEastAsia" w:hAnsi="Times New Roman" w:cs="Times New Roman"/>
          <w:b/>
          <w:bCs/>
          <w:color w:val="000000" w:themeColor="text1"/>
          <w:sz w:val="24"/>
          <w:szCs w:val="24"/>
          <w:u w:val="single"/>
          <w:lang w:eastAsia="pt-BR"/>
        </w:rPr>
      </w:pPr>
    </w:p>
    <w:p w14:paraId="6B3B519E" w14:textId="6FC0A619" w:rsidR="2863F365" w:rsidRPr="005261C6" w:rsidRDefault="2863F365" w:rsidP="00952A35">
      <w:pPr>
        <w:spacing w:after="0" w:line="240" w:lineRule="auto"/>
        <w:ind w:left="2268"/>
        <w:jc w:val="both"/>
        <w:rPr>
          <w:rFonts w:ascii="Times New Roman" w:eastAsiaTheme="minorEastAsia" w:hAnsi="Times New Roman" w:cs="Times New Roman"/>
          <w:color w:val="000000" w:themeColor="text1"/>
          <w:sz w:val="20"/>
          <w:szCs w:val="20"/>
        </w:rPr>
      </w:pPr>
      <w:r w:rsidRPr="005261C6">
        <w:rPr>
          <w:rFonts w:ascii="Times New Roman" w:eastAsiaTheme="minorEastAsia" w:hAnsi="Times New Roman" w:cs="Times New Roman"/>
          <w:color w:val="000000" w:themeColor="text1"/>
          <w:sz w:val="20"/>
          <w:szCs w:val="20"/>
        </w:rPr>
        <w:t>Art. 23.</w:t>
      </w:r>
      <w:r w:rsidRPr="005261C6">
        <w:rPr>
          <w:rFonts w:ascii="Times New Roman" w:eastAsiaTheme="minorEastAsia" w:hAnsi="Times New Roman" w:cs="Times New Roman"/>
          <w:b/>
          <w:bCs/>
          <w:color w:val="000000" w:themeColor="text1"/>
          <w:sz w:val="20"/>
          <w:szCs w:val="20"/>
        </w:rPr>
        <w:t xml:space="preserve"> </w:t>
      </w:r>
      <w:r w:rsidRPr="005261C6">
        <w:rPr>
          <w:rFonts w:ascii="Times New Roman" w:eastAsiaTheme="minorEastAsia" w:hAnsi="Times New Roman" w:cs="Times New Roman"/>
          <w:color w:val="000000" w:themeColor="text1"/>
          <w:sz w:val="20"/>
          <w:szCs w:val="20"/>
        </w:rPr>
        <w:t>O valor previamente estimado da contratação deverá ser compatível com os valores praticados pelo mercado, considerados os preços constantes de bancos de dados públicos e as quantidades a serem contratadas, observadas a potencial economia de escala e as peculiaridades do local de execução do objeto.</w:t>
      </w:r>
    </w:p>
    <w:p w14:paraId="0D4E5165" w14:textId="7750AEC1" w:rsidR="2863F365" w:rsidRPr="005261C6" w:rsidRDefault="0EF7689A" w:rsidP="00952A35">
      <w:pPr>
        <w:spacing w:after="0" w:line="240" w:lineRule="auto"/>
        <w:ind w:left="2268"/>
        <w:jc w:val="both"/>
        <w:rPr>
          <w:rFonts w:ascii="Times New Roman" w:eastAsiaTheme="minorEastAsia" w:hAnsi="Times New Roman" w:cs="Times New Roman"/>
          <w:b/>
          <w:bCs/>
          <w:color w:val="000000" w:themeColor="text1"/>
          <w:sz w:val="20"/>
          <w:szCs w:val="20"/>
        </w:rPr>
      </w:pPr>
      <w:r w:rsidRPr="005261C6">
        <w:rPr>
          <w:rFonts w:ascii="Times New Roman" w:eastAsiaTheme="minorEastAsia" w:hAnsi="Times New Roman" w:cs="Times New Roman"/>
          <w:color w:val="000000" w:themeColor="text1"/>
          <w:sz w:val="20"/>
          <w:szCs w:val="20"/>
        </w:rPr>
        <w:t>(...)</w:t>
      </w:r>
      <w:r w:rsidR="54CCE764" w:rsidRPr="005261C6">
        <w:rPr>
          <w:rFonts w:ascii="Times New Roman" w:eastAsiaTheme="minorEastAsia" w:hAnsi="Times New Roman" w:cs="Times New Roman"/>
          <w:color w:val="000000" w:themeColor="text1"/>
          <w:sz w:val="20"/>
          <w:szCs w:val="20"/>
        </w:rPr>
        <w:t xml:space="preserve"> </w:t>
      </w:r>
      <w:r w:rsidR="0B4F81EA" w:rsidRPr="005261C6">
        <w:rPr>
          <w:rFonts w:ascii="Times New Roman" w:eastAsiaTheme="minorEastAsia" w:hAnsi="Times New Roman" w:cs="Times New Roman"/>
          <w:color w:val="000000" w:themeColor="text1"/>
          <w:sz w:val="20"/>
          <w:szCs w:val="20"/>
        </w:rPr>
        <w:t xml:space="preserve">§ 2º </w:t>
      </w:r>
      <w:r w:rsidR="0B4F81EA" w:rsidRPr="000961CD">
        <w:rPr>
          <w:rFonts w:ascii="Times New Roman" w:eastAsiaTheme="minorEastAsia" w:hAnsi="Times New Roman" w:cs="Times New Roman"/>
          <w:color w:val="000000" w:themeColor="text1"/>
          <w:sz w:val="20"/>
          <w:szCs w:val="20"/>
          <w:u w:val="single"/>
        </w:rPr>
        <w:t>No processo licitatório para contratação de obras e serviços de engenharia</w:t>
      </w:r>
      <w:r w:rsidR="0B4F81EA" w:rsidRPr="005261C6">
        <w:rPr>
          <w:rFonts w:ascii="Times New Roman" w:eastAsiaTheme="minorEastAsia" w:hAnsi="Times New Roman" w:cs="Times New Roman"/>
          <w:color w:val="000000" w:themeColor="text1"/>
          <w:sz w:val="20"/>
          <w:szCs w:val="20"/>
        </w:rPr>
        <w:t xml:space="preserve">, conforme regulamento, o valor estimado, acrescido do percentual de Benefícios e Despesas Indiretas (BDI) de referência e dos Encargos Sociais (ES) cabíveis, </w:t>
      </w:r>
      <w:r w:rsidR="0B4F81EA" w:rsidRPr="005261C6">
        <w:rPr>
          <w:rFonts w:ascii="Times New Roman" w:eastAsiaTheme="minorEastAsia" w:hAnsi="Times New Roman" w:cs="Times New Roman"/>
          <w:b/>
          <w:bCs/>
          <w:color w:val="000000" w:themeColor="text1"/>
          <w:sz w:val="20"/>
          <w:szCs w:val="20"/>
        </w:rPr>
        <w:t xml:space="preserve">será definido por meio da utilização de parâmetros </w:t>
      </w:r>
      <w:r w:rsidR="0B4F81EA" w:rsidRPr="005261C6">
        <w:rPr>
          <w:rFonts w:ascii="Times New Roman" w:eastAsiaTheme="minorEastAsia" w:hAnsi="Times New Roman" w:cs="Times New Roman"/>
          <w:b/>
          <w:bCs/>
          <w:color w:val="000000" w:themeColor="text1"/>
          <w:sz w:val="20"/>
          <w:szCs w:val="20"/>
          <w:u w:val="single"/>
        </w:rPr>
        <w:t>na seguinte ordem</w:t>
      </w:r>
      <w:r w:rsidR="0B4F81EA" w:rsidRPr="005261C6">
        <w:rPr>
          <w:rFonts w:ascii="Times New Roman" w:eastAsiaTheme="minorEastAsia" w:hAnsi="Times New Roman" w:cs="Times New Roman"/>
          <w:b/>
          <w:bCs/>
          <w:color w:val="000000" w:themeColor="text1"/>
          <w:sz w:val="20"/>
          <w:szCs w:val="20"/>
        </w:rPr>
        <w:t>:</w:t>
      </w:r>
    </w:p>
    <w:p w14:paraId="6A7341E3" w14:textId="14630030" w:rsidR="2863F365" w:rsidRPr="005261C6" w:rsidRDefault="2863F365" w:rsidP="00952A35">
      <w:pPr>
        <w:spacing w:after="0" w:line="240" w:lineRule="auto"/>
        <w:ind w:left="2268"/>
        <w:jc w:val="both"/>
        <w:rPr>
          <w:rFonts w:ascii="Times New Roman" w:eastAsiaTheme="minorEastAsia" w:hAnsi="Times New Roman" w:cs="Times New Roman"/>
          <w:color w:val="000000" w:themeColor="text1"/>
          <w:sz w:val="20"/>
          <w:szCs w:val="20"/>
        </w:rPr>
      </w:pPr>
      <w:r w:rsidRPr="005261C6">
        <w:rPr>
          <w:rFonts w:ascii="Times New Roman" w:eastAsiaTheme="minorEastAsia" w:hAnsi="Times New Roman" w:cs="Times New Roman"/>
          <w:color w:val="000000" w:themeColor="text1"/>
          <w:sz w:val="20"/>
          <w:szCs w:val="20"/>
        </w:rPr>
        <w:t xml:space="preserve">I - </w:t>
      </w:r>
      <w:bookmarkStart w:id="1" w:name="_Int_pgWQo4kg"/>
      <w:r w:rsidRPr="005261C6">
        <w:rPr>
          <w:rFonts w:ascii="Times New Roman" w:eastAsiaTheme="minorEastAsia" w:hAnsi="Times New Roman" w:cs="Times New Roman"/>
          <w:color w:val="000000" w:themeColor="text1"/>
          <w:sz w:val="20"/>
          <w:szCs w:val="20"/>
        </w:rPr>
        <w:t>composição</w:t>
      </w:r>
      <w:bookmarkEnd w:id="1"/>
      <w:r w:rsidRPr="005261C6">
        <w:rPr>
          <w:rFonts w:ascii="Times New Roman" w:eastAsiaTheme="minorEastAsia" w:hAnsi="Times New Roman" w:cs="Times New Roman"/>
          <w:color w:val="000000" w:themeColor="text1"/>
          <w:sz w:val="20"/>
          <w:szCs w:val="20"/>
        </w:rPr>
        <w:t xml:space="preserve"> de custos unitários menores ou iguais à mediana do item correspondente do Sistema de Custos Referenciais de Obras (</w:t>
      </w:r>
      <w:proofErr w:type="spellStart"/>
      <w:r w:rsidRPr="005261C6">
        <w:rPr>
          <w:rFonts w:ascii="Times New Roman" w:eastAsiaTheme="minorEastAsia" w:hAnsi="Times New Roman" w:cs="Times New Roman"/>
          <w:color w:val="000000" w:themeColor="text1"/>
          <w:sz w:val="20"/>
          <w:szCs w:val="20"/>
        </w:rPr>
        <w:t>Sicro</w:t>
      </w:r>
      <w:proofErr w:type="spellEnd"/>
      <w:r w:rsidRPr="005261C6">
        <w:rPr>
          <w:rFonts w:ascii="Times New Roman" w:eastAsiaTheme="minorEastAsia" w:hAnsi="Times New Roman" w:cs="Times New Roman"/>
          <w:color w:val="000000" w:themeColor="text1"/>
          <w:sz w:val="20"/>
          <w:szCs w:val="20"/>
        </w:rPr>
        <w:t>), para serviços e obras de infraestrutura de transportes, ou do Sistema Nacional de Pesquisa de Custos e Índices de Construção Civil (</w:t>
      </w:r>
      <w:proofErr w:type="spellStart"/>
      <w:r w:rsidRPr="005261C6">
        <w:rPr>
          <w:rFonts w:ascii="Times New Roman" w:eastAsiaTheme="minorEastAsia" w:hAnsi="Times New Roman" w:cs="Times New Roman"/>
          <w:color w:val="000000" w:themeColor="text1"/>
          <w:sz w:val="20"/>
          <w:szCs w:val="20"/>
        </w:rPr>
        <w:t>Sinapi</w:t>
      </w:r>
      <w:proofErr w:type="spellEnd"/>
      <w:r w:rsidRPr="005261C6">
        <w:rPr>
          <w:rFonts w:ascii="Times New Roman" w:eastAsiaTheme="minorEastAsia" w:hAnsi="Times New Roman" w:cs="Times New Roman"/>
          <w:color w:val="000000" w:themeColor="text1"/>
          <w:sz w:val="20"/>
          <w:szCs w:val="20"/>
        </w:rPr>
        <w:t>), para as demais obras e serviços de engenharia;</w:t>
      </w:r>
    </w:p>
    <w:p w14:paraId="2FE98D48" w14:textId="1ADC0FDD" w:rsidR="2863F365" w:rsidRPr="005261C6" w:rsidRDefault="2863F365" w:rsidP="00952A35">
      <w:pPr>
        <w:spacing w:after="0" w:line="240" w:lineRule="auto"/>
        <w:ind w:left="2268"/>
        <w:jc w:val="both"/>
        <w:rPr>
          <w:rFonts w:ascii="Times New Roman" w:eastAsiaTheme="minorEastAsia" w:hAnsi="Times New Roman" w:cs="Times New Roman"/>
          <w:color w:val="000000" w:themeColor="text1"/>
          <w:sz w:val="20"/>
          <w:szCs w:val="20"/>
        </w:rPr>
      </w:pPr>
      <w:r w:rsidRPr="005261C6">
        <w:rPr>
          <w:rFonts w:ascii="Times New Roman" w:eastAsiaTheme="minorEastAsia" w:hAnsi="Times New Roman" w:cs="Times New Roman"/>
          <w:color w:val="000000" w:themeColor="text1"/>
          <w:sz w:val="20"/>
          <w:szCs w:val="20"/>
        </w:rPr>
        <w:t xml:space="preserve">II - </w:t>
      </w:r>
      <w:bookmarkStart w:id="2" w:name="_Int_ISJWAyPC"/>
      <w:r w:rsidRPr="005261C6">
        <w:rPr>
          <w:rFonts w:ascii="Times New Roman" w:eastAsiaTheme="minorEastAsia" w:hAnsi="Times New Roman" w:cs="Times New Roman"/>
          <w:color w:val="000000" w:themeColor="text1"/>
          <w:sz w:val="20"/>
          <w:szCs w:val="20"/>
        </w:rPr>
        <w:t>utilização</w:t>
      </w:r>
      <w:bookmarkEnd w:id="2"/>
      <w:r w:rsidRPr="005261C6">
        <w:rPr>
          <w:rFonts w:ascii="Times New Roman" w:eastAsiaTheme="minorEastAsia" w:hAnsi="Times New Roman" w:cs="Times New Roman"/>
          <w:color w:val="000000" w:themeColor="text1"/>
          <w:sz w:val="20"/>
          <w:szCs w:val="20"/>
        </w:rPr>
        <w:t xml:space="preserve"> de dados de pesquisa publicada em mídia especializada, de tabela de referência formalmente aprovada pelo Poder Executivo federal e de sítios eletrônicos especializados ou de domínio amplo, desde que contenham a data e a hora de acesso;</w:t>
      </w:r>
    </w:p>
    <w:p w14:paraId="7D41ED9A" w14:textId="77777777" w:rsidR="006F71D9" w:rsidRDefault="2863F365" w:rsidP="00952A35">
      <w:pPr>
        <w:spacing w:after="0" w:line="240" w:lineRule="auto"/>
        <w:ind w:left="2268"/>
        <w:jc w:val="both"/>
        <w:rPr>
          <w:rFonts w:ascii="Times New Roman" w:eastAsiaTheme="minorEastAsia" w:hAnsi="Times New Roman" w:cs="Times New Roman"/>
          <w:color w:val="000000" w:themeColor="text1"/>
          <w:sz w:val="20"/>
          <w:szCs w:val="20"/>
        </w:rPr>
      </w:pPr>
      <w:r w:rsidRPr="005261C6">
        <w:rPr>
          <w:rFonts w:ascii="Times New Roman" w:eastAsiaTheme="minorEastAsia" w:hAnsi="Times New Roman" w:cs="Times New Roman"/>
          <w:color w:val="000000" w:themeColor="text1"/>
          <w:sz w:val="20"/>
          <w:szCs w:val="20"/>
        </w:rPr>
        <w:t>III - contratações similares feitas pela Administração Pública, em execução ou concluídas no período de 1 (um) ano anterior à data da pesquisa de preços, observado o índice de atualização de preços correspondente;</w:t>
      </w:r>
    </w:p>
    <w:p w14:paraId="3CD1D10A" w14:textId="18D84503" w:rsidR="000F224A" w:rsidRDefault="2863F365" w:rsidP="008A6DA8">
      <w:pPr>
        <w:spacing w:after="0" w:line="240" w:lineRule="auto"/>
        <w:ind w:left="2268"/>
        <w:jc w:val="both"/>
        <w:rPr>
          <w:rFonts w:ascii="Times New Roman" w:eastAsiaTheme="minorEastAsia" w:hAnsi="Times New Roman" w:cs="Times New Roman"/>
          <w:color w:val="000000" w:themeColor="text1"/>
          <w:sz w:val="20"/>
          <w:szCs w:val="20"/>
        </w:rPr>
      </w:pPr>
      <w:r w:rsidRPr="005261C6">
        <w:rPr>
          <w:rFonts w:ascii="Times New Roman" w:eastAsiaTheme="minorEastAsia" w:hAnsi="Times New Roman" w:cs="Times New Roman"/>
          <w:color w:val="000000" w:themeColor="text1"/>
          <w:sz w:val="20"/>
          <w:szCs w:val="20"/>
        </w:rPr>
        <w:t xml:space="preserve">IV - </w:t>
      </w:r>
      <w:bookmarkStart w:id="3" w:name="_Int_XAnwpK2t"/>
      <w:r w:rsidRPr="006F71D9">
        <w:rPr>
          <w:rFonts w:ascii="Times New Roman" w:eastAsiaTheme="minorEastAsia" w:hAnsi="Times New Roman" w:cs="Times New Roman"/>
          <w:color w:val="000000" w:themeColor="text1"/>
          <w:sz w:val="20"/>
          <w:szCs w:val="20"/>
        </w:rPr>
        <w:t>pesquisa</w:t>
      </w:r>
      <w:bookmarkEnd w:id="3"/>
      <w:r w:rsidRPr="006F71D9">
        <w:rPr>
          <w:rFonts w:ascii="Times New Roman" w:eastAsiaTheme="minorEastAsia" w:hAnsi="Times New Roman" w:cs="Times New Roman"/>
          <w:color w:val="000000" w:themeColor="text1"/>
          <w:sz w:val="20"/>
          <w:szCs w:val="20"/>
        </w:rPr>
        <w:t xml:space="preserve"> na base nacional de notas fiscais eletrônicas, na forma de regulamento.</w:t>
      </w:r>
    </w:p>
    <w:p w14:paraId="3BDC370B" w14:textId="77777777" w:rsidR="008A6DA8" w:rsidRPr="008A6DA8" w:rsidRDefault="008A6DA8" w:rsidP="008A6DA8">
      <w:pPr>
        <w:spacing w:after="0" w:line="240" w:lineRule="auto"/>
        <w:ind w:left="2268"/>
        <w:jc w:val="both"/>
        <w:rPr>
          <w:rFonts w:ascii="Times New Roman" w:eastAsiaTheme="minorEastAsia" w:hAnsi="Times New Roman" w:cs="Times New Roman"/>
          <w:color w:val="000000" w:themeColor="text1"/>
          <w:sz w:val="20"/>
          <w:szCs w:val="20"/>
        </w:rPr>
      </w:pPr>
    </w:p>
    <w:p w14:paraId="5FAE60E6" w14:textId="4C3F8B5A" w:rsidR="20114CCD" w:rsidRPr="00271BE3" w:rsidRDefault="20114CCD" w:rsidP="00952A35">
      <w:pPr>
        <w:spacing w:after="0" w:line="240" w:lineRule="auto"/>
        <w:jc w:val="both"/>
        <w:rPr>
          <w:rFonts w:ascii="Times New Roman" w:eastAsiaTheme="minorEastAsia" w:hAnsi="Times New Roman" w:cs="Times New Roman"/>
          <w:b/>
          <w:bCs/>
          <w:sz w:val="24"/>
          <w:szCs w:val="24"/>
        </w:rPr>
      </w:pPr>
      <w:r w:rsidRPr="006F71D9">
        <w:rPr>
          <w:rFonts w:ascii="Times New Roman" w:eastAsiaTheme="minorEastAsia" w:hAnsi="Times New Roman" w:cs="Times New Roman"/>
          <w:color w:val="000000" w:themeColor="text1"/>
          <w:sz w:val="24"/>
          <w:szCs w:val="24"/>
        </w:rPr>
        <w:t xml:space="preserve">A IN SEGES/ME </w:t>
      </w:r>
      <w:r w:rsidR="00197CAC" w:rsidRPr="006F71D9">
        <w:rPr>
          <w:rFonts w:ascii="Times New Roman" w:eastAsiaTheme="minorEastAsia" w:hAnsi="Times New Roman" w:cs="Times New Roman"/>
          <w:color w:val="000000" w:themeColor="text1"/>
          <w:sz w:val="24"/>
          <w:szCs w:val="24"/>
        </w:rPr>
        <w:t>nº</w:t>
      </w:r>
      <w:r w:rsidRPr="006F71D9">
        <w:rPr>
          <w:rFonts w:ascii="Times New Roman" w:eastAsiaTheme="minorEastAsia" w:hAnsi="Times New Roman" w:cs="Times New Roman"/>
          <w:color w:val="000000" w:themeColor="text1"/>
          <w:sz w:val="24"/>
          <w:szCs w:val="24"/>
        </w:rPr>
        <w:t xml:space="preserve"> 91,</w:t>
      </w:r>
      <w:r w:rsidRPr="00271BE3">
        <w:rPr>
          <w:rFonts w:ascii="Times New Roman" w:eastAsiaTheme="minorEastAsia" w:hAnsi="Times New Roman" w:cs="Times New Roman"/>
          <w:sz w:val="24"/>
          <w:szCs w:val="24"/>
        </w:rPr>
        <w:t xml:space="preserve"> de 16 de dezembro de 2022, autoriza a aplicação do </w:t>
      </w:r>
      <w:r w:rsidR="00B47554" w:rsidRPr="00271BE3">
        <w:rPr>
          <w:rFonts w:ascii="Times New Roman" w:eastAsiaTheme="minorEastAsia" w:hAnsi="Times New Roman" w:cs="Times New Roman"/>
          <w:sz w:val="24"/>
          <w:szCs w:val="24"/>
        </w:rPr>
        <w:t>Decreto</w:t>
      </w:r>
      <w:r w:rsidR="6D905A2B" w:rsidRPr="00271BE3">
        <w:rPr>
          <w:rFonts w:ascii="Times New Roman" w:eastAsiaTheme="minorEastAsia" w:hAnsi="Times New Roman" w:cs="Times New Roman"/>
          <w:sz w:val="24"/>
          <w:szCs w:val="24"/>
        </w:rPr>
        <w:t xml:space="preserve"> </w:t>
      </w:r>
      <w:r w:rsidR="00B47554" w:rsidRPr="00271BE3">
        <w:rPr>
          <w:rFonts w:ascii="Times New Roman" w:eastAsiaTheme="minorEastAsia" w:hAnsi="Times New Roman" w:cs="Times New Roman"/>
          <w:sz w:val="24"/>
          <w:szCs w:val="24"/>
        </w:rPr>
        <w:t>n</w:t>
      </w:r>
      <w:r w:rsidR="6D905A2B" w:rsidRPr="00271BE3">
        <w:rPr>
          <w:rFonts w:ascii="Times New Roman" w:eastAsiaTheme="minorEastAsia" w:hAnsi="Times New Roman" w:cs="Times New Roman"/>
          <w:sz w:val="24"/>
          <w:szCs w:val="24"/>
        </w:rPr>
        <w:t xml:space="preserve">º 7.983, </w:t>
      </w:r>
      <w:r w:rsidR="00B47554" w:rsidRPr="00271BE3">
        <w:rPr>
          <w:rFonts w:ascii="Times New Roman" w:eastAsiaTheme="minorEastAsia" w:hAnsi="Times New Roman" w:cs="Times New Roman"/>
          <w:sz w:val="24"/>
          <w:szCs w:val="24"/>
        </w:rPr>
        <w:t xml:space="preserve">de </w:t>
      </w:r>
      <w:r w:rsidR="6D905A2B" w:rsidRPr="00271BE3">
        <w:rPr>
          <w:rFonts w:ascii="Times New Roman" w:eastAsiaTheme="minorEastAsia" w:hAnsi="Times New Roman" w:cs="Times New Roman"/>
          <w:sz w:val="24"/>
          <w:szCs w:val="24"/>
        </w:rPr>
        <w:t>2013</w:t>
      </w:r>
      <w:r w:rsidRPr="00271BE3">
        <w:rPr>
          <w:rFonts w:ascii="Times New Roman" w:eastAsiaTheme="minorEastAsia" w:hAnsi="Times New Roman" w:cs="Times New Roman"/>
          <w:sz w:val="24"/>
          <w:szCs w:val="24"/>
        </w:rPr>
        <w:t xml:space="preserve">, que estabelece regras e critérios para elaboração do orçamento de referência de obras e serviços de engenharia, contratados e executados com recursos dos orçamentos da União, </w:t>
      </w:r>
      <w:r w:rsidRPr="00271BE3">
        <w:rPr>
          <w:rFonts w:ascii="Times New Roman" w:eastAsiaTheme="minorEastAsia" w:hAnsi="Times New Roman" w:cs="Times New Roman"/>
          <w:i/>
          <w:iCs/>
          <w:sz w:val="24"/>
          <w:szCs w:val="24"/>
          <w:u w:val="single"/>
        </w:rPr>
        <w:t>no que couber</w:t>
      </w:r>
      <w:r w:rsidRPr="00271BE3">
        <w:rPr>
          <w:rFonts w:ascii="Times New Roman" w:eastAsiaTheme="minorEastAsia" w:hAnsi="Times New Roman" w:cs="Times New Roman"/>
          <w:sz w:val="24"/>
          <w:szCs w:val="24"/>
        </w:rPr>
        <w:t>, para a definição do valor estimado nos processos de licitação e de contratação direta de obras e serviços de engenharia</w:t>
      </w:r>
      <w:r w:rsidR="7646F364" w:rsidRPr="00271BE3">
        <w:rPr>
          <w:rFonts w:ascii="Times New Roman" w:eastAsiaTheme="minorEastAsia" w:hAnsi="Times New Roman" w:cs="Times New Roman"/>
          <w:sz w:val="24"/>
          <w:szCs w:val="24"/>
        </w:rPr>
        <w:t>.</w:t>
      </w:r>
    </w:p>
    <w:p w14:paraId="34C3FC9F" w14:textId="77777777" w:rsidR="000961CD" w:rsidRDefault="000961CD" w:rsidP="00952A35">
      <w:pPr>
        <w:spacing w:after="0" w:line="240" w:lineRule="auto"/>
        <w:jc w:val="both"/>
        <w:rPr>
          <w:rFonts w:ascii="Times New Roman" w:eastAsia="Times New Roman" w:hAnsi="Times New Roman" w:cs="Times New Roman"/>
          <w:b/>
          <w:bCs/>
          <w:color w:val="000000" w:themeColor="text1"/>
          <w:sz w:val="24"/>
          <w:szCs w:val="24"/>
          <w:lang w:eastAsia="pt-BR"/>
        </w:rPr>
      </w:pPr>
    </w:p>
    <w:p w14:paraId="47A53135" w14:textId="40B32CA1" w:rsidR="004423CE" w:rsidRPr="00271BE3" w:rsidRDefault="6ED1BF20"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Definição de critérios de aceitabilidade dos preços unitários e global:</w:t>
      </w:r>
    </w:p>
    <w:p w14:paraId="275D9626"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4C55E5C1"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No que se refere à produção da planilha orçamentária, é importante que a Administração se paute conforme a expressa determinação do  Decreto nº 7.983, de 2013, não relegando toda a responsabilidade pela definição dos insumos necessários para o serviço de engenharia e o seu quantitativo (material, mão de obra e equipamentos) apenas para os projetistas, mas se certificando de que os elementos constantes dos projetos e planilhas orçamentárias por eles elaboradas estão de acordo com as determinações normativas.</w:t>
      </w:r>
    </w:p>
    <w:p w14:paraId="165BEE90"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FDBCECC" w14:textId="2BB969AC"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xml:space="preserve">Com relação à composição dos custos dos serviços de engenharia ao preço total estimado para cada despesa, a lei exige que seus elementos estejam muito bem evidenciados na planilha orçamentária prevista no </w:t>
      </w:r>
      <w:r w:rsidR="3EEC74E0" w:rsidRPr="00271BE3">
        <w:rPr>
          <w:rFonts w:ascii="Times New Roman" w:eastAsia="Calibri" w:hAnsi="Times New Roman" w:cs="Times New Roman"/>
          <w:color w:val="000000" w:themeColor="text1"/>
          <w:sz w:val="24"/>
          <w:szCs w:val="24"/>
        </w:rPr>
        <w:t>art. 6º, XXIII, alínea "i", art. 18, IV, e § 1º, VI, da Lei nº 14.133</w:t>
      </w:r>
      <w:r w:rsidR="00C45ADB" w:rsidRPr="00271BE3">
        <w:rPr>
          <w:rFonts w:ascii="Times New Roman" w:eastAsia="Calibri" w:hAnsi="Times New Roman" w:cs="Times New Roman"/>
          <w:color w:val="000000" w:themeColor="text1"/>
          <w:sz w:val="24"/>
          <w:szCs w:val="24"/>
        </w:rPr>
        <w:t xml:space="preserve">, de </w:t>
      </w:r>
      <w:r w:rsidR="3EEC74E0" w:rsidRPr="00271BE3">
        <w:rPr>
          <w:rFonts w:ascii="Times New Roman" w:eastAsia="Calibri" w:hAnsi="Times New Roman" w:cs="Times New Roman"/>
          <w:color w:val="000000" w:themeColor="text1"/>
          <w:sz w:val="24"/>
          <w:szCs w:val="24"/>
        </w:rPr>
        <w:lastRenderedPageBreak/>
        <w:t>2021</w:t>
      </w:r>
      <w:r w:rsidRPr="00271BE3">
        <w:rPr>
          <w:rFonts w:ascii="Times New Roman" w:eastAsia="Times New Roman" w:hAnsi="Times New Roman" w:cs="Times New Roman"/>
          <w:color w:val="000000" w:themeColor="text1"/>
          <w:sz w:val="24"/>
          <w:szCs w:val="24"/>
          <w:lang w:eastAsia="pt-BR"/>
        </w:rPr>
        <w:t>, incluindo os valores unitários de todos os insumos, imprescindível para orientar o gestor em caso de acréscimos futuros.</w:t>
      </w:r>
    </w:p>
    <w:p w14:paraId="0E9942B3"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28A097A8"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Tais disposições são aplicáveis de acordo com as particularidades de cada obra ou serviço de engenharia.</w:t>
      </w:r>
    </w:p>
    <w:p w14:paraId="33E6DE93"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3AF57F60" w14:textId="0E22620F" w:rsidR="004423CE" w:rsidRPr="00271BE3" w:rsidRDefault="31329E69"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O Decreto nº 7.983, de 2013,</w:t>
      </w:r>
      <w:r w:rsidR="03729E94" w:rsidRPr="00271BE3">
        <w:rPr>
          <w:rFonts w:ascii="Times New Roman" w:eastAsia="Times New Roman" w:hAnsi="Times New Roman" w:cs="Times New Roman"/>
          <w:color w:val="000000" w:themeColor="text1"/>
          <w:sz w:val="24"/>
          <w:szCs w:val="24"/>
          <w:lang w:eastAsia="pt-BR"/>
        </w:rPr>
        <w:t xml:space="preserve"> </w:t>
      </w:r>
      <w:r w:rsidRPr="00271BE3">
        <w:rPr>
          <w:rFonts w:ascii="Times New Roman" w:eastAsia="Times New Roman" w:hAnsi="Times New Roman" w:cs="Times New Roman"/>
          <w:color w:val="000000" w:themeColor="text1"/>
          <w:sz w:val="24"/>
          <w:szCs w:val="24"/>
          <w:lang w:eastAsia="pt-BR"/>
        </w:rPr>
        <w:t>determina que se devem utilizar primordialmente os valores constantes no SICRO/SINAPI.</w:t>
      </w:r>
    </w:p>
    <w:p w14:paraId="772454C5"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47D51409" w14:textId="11DB5D79"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Para as obras e serviços de engenharia, aplica-se a Súmula TCU n° 258</w:t>
      </w:r>
      <w:r w:rsidR="008A21F9" w:rsidRPr="00271BE3">
        <w:rPr>
          <w:rFonts w:ascii="Times New Roman" w:eastAsia="Times New Roman" w:hAnsi="Times New Roman" w:cs="Times New Roman"/>
          <w:color w:val="000000" w:themeColor="text1"/>
          <w:sz w:val="24"/>
          <w:szCs w:val="24"/>
          <w:lang w:eastAsia="pt-BR"/>
        </w:rPr>
        <w:t>, de 20</w:t>
      </w:r>
      <w:r w:rsidRPr="00271BE3">
        <w:rPr>
          <w:rFonts w:ascii="Times New Roman" w:eastAsia="Times New Roman" w:hAnsi="Times New Roman" w:cs="Times New Roman"/>
          <w:color w:val="000000" w:themeColor="text1"/>
          <w:sz w:val="24"/>
          <w:szCs w:val="24"/>
          <w:lang w:eastAsia="pt-BR"/>
        </w:rPr>
        <w:t>10:</w:t>
      </w:r>
    </w:p>
    <w:p w14:paraId="54017709" w14:textId="6FE1E802" w:rsidR="0A7FF9E6" w:rsidRPr="00C50139" w:rsidRDefault="0A7FF9E6" w:rsidP="00952A35">
      <w:pPr>
        <w:spacing w:after="0" w:line="240" w:lineRule="auto"/>
        <w:jc w:val="both"/>
        <w:rPr>
          <w:rFonts w:ascii="Times New Roman" w:eastAsia="Times New Roman" w:hAnsi="Times New Roman" w:cs="Times New Roman"/>
          <w:color w:val="000000" w:themeColor="text1"/>
          <w:sz w:val="24"/>
          <w:szCs w:val="24"/>
          <w:lang w:eastAsia="pt-BR"/>
        </w:rPr>
      </w:pPr>
    </w:p>
    <w:p w14:paraId="546E6A85" w14:textId="77777777" w:rsidR="004423CE" w:rsidRPr="00995ABB" w:rsidRDefault="004423CE" w:rsidP="00952A35">
      <w:pPr>
        <w:spacing w:after="0" w:line="240" w:lineRule="auto"/>
        <w:ind w:left="2268"/>
        <w:jc w:val="both"/>
        <w:rPr>
          <w:rFonts w:ascii="Times New Roman" w:eastAsia="Times New Roman" w:hAnsi="Times New Roman" w:cs="Times New Roman"/>
          <w:color w:val="000000"/>
          <w:sz w:val="20"/>
          <w:szCs w:val="20"/>
          <w:lang w:eastAsia="pt-BR"/>
        </w:rPr>
      </w:pPr>
      <w:r w:rsidRPr="00995ABB">
        <w:rPr>
          <w:rFonts w:ascii="Times New Roman" w:eastAsia="Times New Roman" w:hAnsi="Times New Roman" w:cs="Times New Roman"/>
          <w:color w:val="000000" w:themeColor="text1"/>
          <w:sz w:val="20"/>
          <w:szCs w:val="20"/>
          <w:lang w:eastAsia="pt-BR"/>
        </w:rPr>
        <w:t xml:space="preserve">Súmula TCU n° 258 - As composições de custos unitários e o detalhamento de encargos sociais e do BDI integram o orçamento que compõe o projeto básico da obra ou serviço de engenharia, devem constar dos anexos do edital de licitação e das propostas das licitantes </w:t>
      </w:r>
      <w:r w:rsidRPr="00995ABB">
        <w:rPr>
          <w:rFonts w:ascii="Times New Roman" w:eastAsia="Times New Roman" w:hAnsi="Times New Roman" w:cs="Times New Roman"/>
          <w:b/>
          <w:bCs/>
          <w:color w:val="000000" w:themeColor="text1"/>
          <w:sz w:val="20"/>
          <w:szCs w:val="20"/>
          <w:lang w:eastAsia="pt-BR"/>
        </w:rPr>
        <w:t>e não podem ser indicados mediante uso da expressão 'verba' ou de unidades genéricas</w:t>
      </w:r>
      <w:r w:rsidRPr="00995ABB">
        <w:rPr>
          <w:rFonts w:ascii="Times New Roman" w:eastAsia="Times New Roman" w:hAnsi="Times New Roman" w:cs="Times New Roman"/>
          <w:color w:val="000000" w:themeColor="text1"/>
          <w:sz w:val="20"/>
          <w:szCs w:val="20"/>
          <w:lang w:eastAsia="pt-BR"/>
        </w:rPr>
        <w:t>.</w:t>
      </w:r>
    </w:p>
    <w:p w14:paraId="2AF95492"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3A2E403A" w14:textId="75F245DA"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Na definição do art. 2°, VIII, do Decreto n° 7.983</w:t>
      </w:r>
      <w:r w:rsidR="00AA7360" w:rsidRPr="00271BE3">
        <w:rPr>
          <w:rFonts w:ascii="Times New Roman" w:eastAsia="Times New Roman" w:hAnsi="Times New Roman" w:cs="Times New Roman"/>
          <w:color w:val="000000" w:themeColor="text1"/>
          <w:sz w:val="24"/>
          <w:szCs w:val="24"/>
          <w:lang w:eastAsia="pt-BR"/>
        </w:rPr>
        <w:t xml:space="preserve">, de </w:t>
      </w:r>
      <w:r w:rsidRPr="00271BE3">
        <w:rPr>
          <w:rFonts w:ascii="Times New Roman" w:eastAsia="Times New Roman" w:hAnsi="Times New Roman" w:cs="Times New Roman"/>
          <w:color w:val="000000" w:themeColor="text1"/>
          <w:sz w:val="24"/>
          <w:szCs w:val="24"/>
          <w:lang w:eastAsia="pt-BR"/>
        </w:rPr>
        <w:t>2013, o orçamento de referência é o “</w:t>
      </w:r>
      <w:r w:rsidRPr="00271BE3">
        <w:rPr>
          <w:rFonts w:ascii="Times New Roman" w:eastAsia="Times New Roman" w:hAnsi="Times New Roman" w:cs="Times New Roman"/>
          <w:i/>
          <w:iCs/>
          <w:color w:val="000000" w:themeColor="text1"/>
          <w:sz w:val="24"/>
          <w:szCs w:val="24"/>
          <w:lang w:eastAsia="pt-BR"/>
        </w:rPr>
        <w:t>detalhamento do preço global de referência que expressa a descrição, quantidades e custos unitários de todos os serviços, incluídas as respectivas composições de custos unitários, necessários à execução da obra e compatíveis com o projeto que integra o edital de licitação</w:t>
      </w:r>
      <w:r w:rsidRPr="00271BE3">
        <w:rPr>
          <w:rFonts w:ascii="Times New Roman" w:eastAsia="Times New Roman" w:hAnsi="Times New Roman" w:cs="Times New Roman"/>
          <w:color w:val="000000" w:themeColor="text1"/>
          <w:sz w:val="24"/>
          <w:szCs w:val="24"/>
          <w:lang w:eastAsia="pt-BR"/>
        </w:rPr>
        <w:t>”.</w:t>
      </w:r>
    </w:p>
    <w:p w14:paraId="1B62CD16"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38627A91" w14:textId="3BB38A1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No caso, a decomposição dos custos unitários é passo essencial para a previsão dos critérios de aceitabilidade dos preços unitários e global a serem aplicados no julgamento das propostas – medida obrigatória para as obras e serviços de engenharia, conforme Orientação Normativa AGU n° 5</w:t>
      </w:r>
      <w:r w:rsidR="008A21F9" w:rsidRPr="00271BE3">
        <w:rPr>
          <w:rFonts w:ascii="Times New Roman" w:eastAsia="Times New Roman" w:hAnsi="Times New Roman" w:cs="Times New Roman"/>
          <w:color w:val="000000" w:themeColor="text1"/>
          <w:sz w:val="24"/>
          <w:szCs w:val="24"/>
          <w:lang w:eastAsia="pt-BR"/>
        </w:rPr>
        <w:t>, de 20</w:t>
      </w:r>
      <w:r w:rsidRPr="00271BE3">
        <w:rPr>
          <w:rFonts w:ascii="Times New Roman" w:eastAsia="Times New Roman" w:hAnsi="Times New Roman" w:cs="Times New Roman"/>
          <w:color w:val="000000" w:themeColor="text1"/>
          <w:sz w:val="24"/>
          <w:szCs w:val="24"/>
          <w:lang w:eastAsia="pt-BR"/>
        </w:rPr>
        <w:t>09</w:t>
      </w:r>
      <w:r w:rsidR="00A16880" w:rsidRPr="00271BE3">
        <w:rPr>
          <w:rFonts w:ascii="Times New Roman" w:eastAsia="Times New Roman" w:hAnsi="Times New Roman" w:cs="Times New Roman"/>
          <w:color w:val="000000" w:themeColor="text1"/>
          <w:sz w:val="24"/>
          <w:szCs w:val="24"/>
          <w:lang w:eastAsia="pt-BR"/>
        </w:rPr>
        <w:t>,</w:t>
      </w:r>
      <w:r w:rsidRPr="00271BE3">
        <w:rPr>
          <w:rFonts w:ascii="Times New Roman" w:eastAsia="Times New Roman" w:hAnsi="Times New Roman" w:cs="Times New Roman"/>
          <w:color w:val="000000" w:themeColor="text1"/>
          <w:sz w:val="24"/>
          <w:szCs w:val="24"/>
          <w:lang w:eastAsia="pt-BR"/>
        </w:rPr>
        <w:t xml:space="preserve"> e Súmula TCU n° 259, que assim dispõem respectivamente:</w:t>
      </w:r>
    </w:p>
    <w:p w14:paraId="6634CE22" w14:textId="52E21A8F" w:rsidR="0A7FF9E6" w:rsidRPr="00271BE3" w:rsidRDefault="0A7FF9E6" w:rsidP="00952A35">
      <w:pPr>
        <w:spacing w:after="0" w:line="240" w:lineRule="auto"/>
        <w:jc w:val="both"/>
        <w:rPr>
          <w:rFonts w:ascii="Times New Roman" w:eastAsia="Times New Roman" w:hAnsi="Times New Roman" w:cs="Times New Roman"/>
          <w:i/>
          <w:iCs/>
          <w:color w:val="000000" w:themeColor="text1"/>
          <w:sz w:val="24"/>
          <w:szCs w:val="24"/>
          <w:lang w:eastAsia="pt-BR"/>
        </w:rPr>
      </w:pPr>
    </w:p>
    <w:p w14:paraId="3504E1A5" w14:textId="77777777" w:rsidR="004423CE" w:rsidRDefault="004423CE" w:rsidP="00952A35">
      <w:pPr>
        <w:spacing w:after="0" w:line="240" w:lineRule="auto"/>
        <w:ind w:left="2268"/>
        <w:jc w:val="both"/>
        <w:rPr>
          <w:rFonts w:ascii="Times New Roman" w:eastAsia="Times New Roman" w:hAnsi="Times New Roman" w:cs="Times New Roman"/>
          <w:color w:val="000000" w:themeColor="text1"/>
          <w:sz w:val="20"/>
          <w:szCs w:val="20"/>
          <w:lang w:eastAsia="pt-BR"/>
        </w:rPr>
      </w:pPr>
      <w:r w:rsidRPr="00C50139">
        <w:rPr>
          <w:rFonts w:ascii="Times New Roman" w:eastAsia="Times New Roman" w:hAnsi="Times New Roman" w:cs="Times New Roman"/>
          <w:color w:val="000000" w:themeColor="text1"/>
          <w:sz w:val="20"/>
          <w:szCs w:val="20"/>
          <w:lang w:eastAsia="pt-BR"/>
        </w:rPr>
        <w:t>Orientação Normativa nº 5: Na contratação de obra ou serviço de engenharia, o instrumento convocatório deve estabelecer critérios de aceitabilidade dos preços unitários e global.</w:t>
      </w:r>
    </w:p>
    <w:p w14:paraId="2BCA8819" w14:textId="77777777" w:rsidR="00B25CA5" w:rsidRPr="00C50139" w:rsidRDefault="00B25CA5" w:rsidP="00952A35">
      <w:pPr>
        <w:spacing w:after="0" w:line="240" w:lineRule="auto"/>
        <w:ind w:left="2268"/>
        <w:jc w:val="both"/>
        <w:rPr>
          <w:rFonts w:ascii="Times New Roman" w:eastAsia="Times New Roman" w:hAnsi="Times New Roman" w:cs="Times New Roman"/>
          <w:color w:val="000000"/>
          <w:sz w:val="20"/>
          <w:szCs w:val="20"/>
          <w:lang w:eastAsia="pt-BR"/>
        </w:rPr>
      </w:pPr>
    </w:p>
    <w:p w14:paraId="17515009" w14:textId="77777777" w:rsidR="004423CE" w:rsidRPr="00C50139" w:rsidRDefault="004423CE" w:rsidP="00952A35">
      <w:pPr>
        <w:spacing w:after="0" w:line="240" w:lineRule="auto"/>
        <w:ind w:left="2268"/>
        <w:jc w:val="both"/>
        <w:rPr>
          <w:rFonts w:ascii="Times New Roman" w:eastAsia="Times New Roman" w:hAnsi="Times New Roman" w:cs="Times New Roman"/>
          <w:color w:val="000000"/>
          <w:sz w:val="20"/>
          <w:szCs w:val="20"/>
          <w:lang w:eastAsia="pt-BR"/>
        </w:rPr>
      </w:pPr>
      <w:r w:rsidRPr="00C50139">
        <w:rPr>
          <w:rFonts w:ascii="Times New Roman" w:eastAsia="Times New Roman" w:hAnsi="Times New Roman" w:cs="Times New Roman"/>
          <w:color w:val="000000" w:themeColor="text1"/>
          <w:sz w:val="20"/>
          <w:szCs w:val="20"/>
          <w:lang w:eastAsia="pt-BR"/>
        </w:rPr>
        <w:t>Súmula nº 259: Nas contratações de obras e serviços de engenharia, a definição do critério de aceitabilidade dos preços unitários e global, com fixação de preços máximos para ambos, é obrigação e não faculdade do gestor.</w:t>
      </w:r>
    </w:p>
    <w:p w14:paraId="25781BA0"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0BC87F01" w14:textId="2679DF7B"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Nos termos do art. 11 do Decreto n° 7.983</w:t>
      </w:r>
      <w:r w:rsidR="00AA7360" w:rsidRPr="00271BE3">
        <w:rPr>
          <w:rFonts w:ascii="Times New Roman" w:eastAsia="Times New Roman" w:hAnsi="Times New Roman" w:cs="Times New Roman"/>
          <w:color w:val="000000"/>
          <w:sz w:val="24"/>
          <w:szCs w:val="24"/>
          <w:lang w:eastAsia="pt-BR"/>
        </w:rPr>
        <w:t xml:space="preserve">, de </w:t>
      </w:r>
      <w:r w:rsidRPr="00271BE3">
        <w:rPr>
          <w:rFonts w:ascii="Times New Roman" w:eastAsia="Times New Roman" w:hAnsi="Times New Roman" w:cs="Times New Roman"/>
          <w:color w:val="000000"/>
          <w:sz w:val="24"/>
          <w:szCs w:val="24"/>
          <w:lang w:eastAsia="pt-BR"/>
        </w:rPr>
        <w:t>2013, e na esteira da Súmula TCU n° 259 e Orientação Normativa AGU n° 5, de 2009, deverão constar do edital de licitação de obras e serviços de engenharia os critérios de aceitabilidade de preços – unitários e global.</w:t>
      </w:r>
    </w:p>
    <w:p w14:paraId="25BCED7B"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BEF504A"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Conforme art. 2°, IX, do Decreto n° 7.983, de 2013, são os “</w:t>
      </w:r>
      <w:r w:rsidRPr="00271BE3">
        <w:rPr>
          <w:rFonts w:ascii="Times New Roman" w:eastAsia="Times New Roman" w:hAnsi="Times New Roman" w:cs="Times New Roman"/>
          <w:i/>
          <w:iCs/>
          <w:color w:val="000000" w:themeColor="text1"/>
          <w:sz w:val="24"/>
          <w:szCs w:val="24"/>
          <w:lang w:eastAsia="pt-BR"/>
        </w:rPr>
        <w:t>parâmetros de preços máximos, unitários e global, a serem fixados pela administração pública e publicados no edital de licitação para aceitação e julgamento das propostas dos licitantes</w:t>
      </w:r>
      <w:r w:rsidRPr="00271BE3">
        <w:rPr>
          <w:rFonts w:ascii="Times New Roman" w:eastAsia="Times New Roman" w:hAnsi="Times New Roman" w:cs="Times New Roman"/>
          <w:color w:val="000000" w:themeColor="text1"/>
          <w:sz w:val="24"/>
          <w:szCs w:val="24"/>
          <w:lang w:eastAsia="pt-BR"/>
        </w:rPr>
        <w:t>”.</w:t>
      </w:r>
    </w:p>
    <w:p w14:paraId="06E8011A"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46BFA1B1" w14:textId="69DB0993" w:rsidR="00D12810" w:rsidRDefault="00D12810" w:rsidP="00952A35">
      <w:pPr>
        <w:spacing w:after="0" w:line="240" w:lineRule="auto"/>
        <w:jc w:val="both"/>
        <w:rPr>
          <w:rFonts w:ascii="Times New Roman" w:eastAsia="Times New Roman" w:hAnsi="Times New Roman" w:cs="Times New Roman"/>
          <w:color w:val="FF0000"/>
          <w:sz w:val="24"/>
          <w:szCs w:val="24"/>
          <w:lang w:eastAsia="pt-BR"/>
        </w:rPr>
      </w:pPr>
      <w:r w:rsidRPr="00D12810">
        <w:rPr>
          <w:rFonts w:ascii="Times New Roman" w:eastAsia="Times New Roman" w:hAnsi="Times New Roman" w:cs="Times New Roman"/>
          <w:color w:val="FF0000"/>
          <w:sz w:val="24"/>
          <w:szCs w:val="24"/>
          <w:highlight w:val="green"/>
          <w:lang w:eastAsia="pt-BR"/>
        </w:rPr>
        <w:t xml:space="preserve">Se o regime é o de empreitada por preço unitário, cabe desclassificação em razão de custos unitários superiores aos orçados pela Administração, conforme art. 59, §3º, da Lei nº 14.133/2021, que expressamente se refere ao critério de aceitabilidade de preços unitário e global a ser fixado no edital, bem como pela definição de </w:t>
      </w:r>
      <w:proofErr w:type="spellStart"/>
      <w:r w:rsidRPr="00D12810">
        <w:rPr>
          <w:rFonts w:ascii="Times New Roman" w:eastAsia="Times New Roman" w:hAnsi="Times New Roman" w:cs="Times New Roman"/>
          <w:color w:val="FF0000"/>
          <w:sz w:val="24"/>
          <w:szCs w:val="24"/>
          <w:highlight w:val="green"/>
          <w:lang w:eastAsia="pt-BR"/>
        </w:rPr>
        <w:t>sobrepreço</w:t>
      </w:r>
      <w:proofErr w:type="spellEnd"/>
      <w:r w:rsidRPr="00D12810">
        <w:rPr>
          <w:rFonts w:ascii="Times New Roman" w:eastAsia="Times New Roman" w:hAnsi="Times New Roman" w:cs="Times New Roman"/>
          <w:color w:val="FF0000"/>
          <w:sz w:val="24"/>
          <w:szCs w:val="24"/>
          <w:highlight w:val="green"/>
          <w:lang w:eastAsia="pt-BR"/>
        </w:rPr>
        <w:t xml:space="preserve"> do art. 6º, LVI, que expressamente estabelece que esse pode ocorrer em relação ao preço unitário nesse regime. Assim, em princípio, é cabível estabelecer um critério próprio, conforme as peculiaridades do caso, que pode envolver os custos tidos como relevantes, eventual margem em relação ao preço de referência etc. A menção aos custos unitários tidos como relevantes acima é mera sugestão, </w:t>
      </w:r>
      <w:r w:rsidRPr="00D12810">
        <w:rPr>
          <w:rFonts w:ascii="Times New Roman" w:eastAsia="Times New Roman" w:hAnsi="Times New Roman" w:cs="Times New Roman"/>
          <w:color w:val="FF0000"/>
          <w:sz w:val="24"/>
          <w:szCs w:val="24"/>
          <w:highlight w:val="green"/>
          <w:lang w:eastAsia="pt-BR"/>
        </w:rPr>
        <w:lastRenderedPageBreak/>
        <w:t>podendo o órgão ou entidade estabelecer o critério que lhe parecer mais adequado tecnicamente. (Vide nota explicativas ao item 7.10.2 da minuta de pregão e item 7.9.2 da minuta de concorrência, elaboradas Câmara Nacional de Modelos de Licitações e Contratos da Consultoria-Geral da União e disponíveis no site da AGU).</w:t>
      </w:r>
    </w:p>
    <w:p w14:paraId="1140FB6D" w14:textId="77777777" w:rsidR="00D12810" w:rsidRDefault="00D12810" w:rsidP="00952A35">
      <w:pPr>
        <w:spacing w:after="0" w:line="240" w:lineRule="auto"/>
        <w:jc w:val="both"/>
        <w:rPr>
          <w:rFonts w:ascii="Times New Roman" w:eastAsia="Times New Roman" w:hAnsi="Times New Roman" w:cs="Times New Roman"/>
          <w:color w:val="FF0000"/>
          <w:sz w:val="24"/>
          <w:szCs w:val="24"/>
          <w:lang w:eastAsia="pt-BR"/>
        </w:rPr>
      </w:pPr>
    </w:p>
    <w:p w14:paraId="0D7EEA3C" w14:textId="5BE23CBD" w:rsidR="004423CE" w:rsidRPr="00271BE3" w:rsidRDefault="31329E69" w:rsidP="00952A35">
      <w:pPr>
        <w:spacing w:after="0" w:line="240" w:lineRule="auto"/>
        <w:jc w:val="both"/>
        <w:rPr>
          <w:rFonts w:ascii="Times New Roman" w:eastAsia="Times New Roman" w:hAnsi="Times New Roman" w:cs="Times New Roman"/>
          <w:color w:val="FF0000"/>
          <w:sz w:val="24"/>
          <w:szCs w:val="24"/>
          <w:lang w:eastAsia="pt-BR"/>
        </w:rPr>
      </w:pPr>
      <w:r w:rsidRPr="008962BD">
        <w:rPr>
          <w:rFonts w:ascii="Times New Roman" w:eastAsia="Times New Roman" w:hAnsi="Times New Roman" w:cs="Times New Roman"/>
          <w:color w:val="FF0000"/>
          <w:sz w:val="24"/>
          <w:szCs w:val="24"/>
          <w:lang w:eastAsia="pt-BR"/>
        </w:rPr>
        <w:t>Especificamente para o regime de empreitada por preço global,</w:t>
      </w:r>
      <w:r w:rsidRPr="00271BE3">
        <w:rPr>
          <w:rFonts w:ascii="Times New Roman" w:eastAsia="Times New Roman" w:hAnsi="Times New Roman" w:cs="Times New Roman"/>
          <w:color w:val="FF0000"/>
          <w:sz w:val="24"/>
          <w:szCs w:val="24"/>
          <w:lang w:eastAsia="pt-BR"/>
        </w:rPr>
        <w:t xml:space="preserve"> os critérios de aceitabilidade de preços serão definidos em relação aos preços global e de cada uma das etapas previstas no cronograma físico-financeiro do contrato. Assim, na formação do preço que constará das propostas dos licitantes, poderão ser utilizados custos unitários diferentes daqueles obtidos a partir dos sistemas de custos de referência, desde que o preço global orçado e o de cada uma das etapas previstas no cronograma físico-financeiro do contrato fiquem iguais ou abaixo dos preços de referência da Administração, assegurado aos órgãos de controle o acesso irrestrito a essas informações (art. 13, I, e parágrafo único, do Decreto n° 7.983</w:t>
      </w:r>
      <w:r w:rsidR="00094E5D" w:rsidRPr="00271BE3">
        <w:rPr>
          <w:rFonts w:ascii="Times New Roman" w:eastAsia="Times New Roman" w:hAnsi="Times New Roman" w:cs="Times New Roman"/>
          <w:color w:val="FF0000"/>
          <w:sz w:val="24"/>
          <w:szCs w:val="24"/>
          <w:lang w:eastAsia="pt-BR"/>
        </w:rPr>
        <w:t xml:space="preserve">, de </w:t>
      </w:r>
      <w:r w:rsidRPr="00271BE3">
        <w:rPr>
          <w:rFonts w:ascii="Times New Roman" w:eastAsia="Times New Roman" w:hAnsi="Times New Roman" w:cs="Times New Roman"/>
          <w:color w:val="FF0000"/>
          <w:sz w:val="24"/>
          <w:szCs w:val="24"/>
          <w:lang w:eastAsia="pt-BR"/>
        </w:rPr>
        <w:t>2013).</w:t>
      </w:r>
    </w:p>
    <w:p w14:paraId="58ECC494"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0E3E583B" w14:textId="133EC3B7" w:rsidR="004423CE" w:rsidRPr="00271BE3" w:rsidRDefault="4692D27D"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Cumpre registrar que a definição do critério de aceitabilidade dos preços unitários e global nos editais para a contratação de obras</w:t>
      </w:r>
      <w:r w:rsidR="01751957" w:rsidRPr="00271BE3">
        <w:rPr>
          <w:rFonts w:ascii="Times New Roman" w:eastAsia="Times New Roman" w:hAnsi="Times New Roman" w:cs="Times New Roman"/>
          <w:color w:val="000000" w:themeColor="text1"/>
          <w:sz w:val="24"/>
          <w:szCs w:val="24"/>
          <w:lang w:eastAsia="pt-BR"/>
        </w:rPr>
        <w:t xml:space="preserve"> e serviços de engenharia</w:t>
      </w:r>
      <w:r w:rsidRPr="00271BE3">
        <w:rPr>
          <w:rFonts w:ascii="Times New Roman" w:eastAsia="Times New Roman" w:hAnsi="Times New Roman" w:cs="Times New Roman"/>
          <w:color w:val="000000" w:themeColor="text1"/>
          <w:sz w:val="24"/>
          <w:szCs w:val="24"/>
          <w:lang w:eastAsia="pt-BR"/>
        </w:rPr>
        <w:t>, com a fixação de preços máximos para ambos, é obrigação e não faculdade do gestor (Súmula TCU 259), ainda que se trate de empreitada por preço global. Essa obrigação tem por objetivo mitigar a ocorrência dos riscos associados tanto ao “jogo de cronograma” quanto ao “jogo de planilha” (Acórdão 1695</w:t>
      </w:r>
      <w:r w:rsidR="008A21F9" w:rsidRPr="00271BE3">
        <w:rPr>
          <w:rFonts w:ascii="Times New Roman" w:eastAsia="Times New Roman" w:hAnsi="Times New Roman" w:cs="Times New Roman"/>
          <w:color w:val="000000" w:themeColor="text1"/>
          <w:sz w:val="24"/>
          <w:szCs w:val="24"/>
          <w:lang w:eastAsia="pt-BR"/>
        </w:rPr>
        <w:t>, de 20</w:t>
      </w:r>
      <w:r w:rsidRPr="00271BE3">
        <w:rPr>
          <w:rFonts w:ascii="Times New Roman" w:eastAsia="Times New Roman" w:hAnsi="Times New Roman" w:cs="Times New Roman"/>
          <w:color w:val="000000" w:themeColor="text1"/>
          <w:sz w:val="24"/>
          <w:szCs w:val="24"/>
          <w:lang w:eastAsia="pt-BR"/>
        </w:rPr>
        <w:t>18 TCU-Plenário).</w:t>
      </w:r>
    </w:p>
    <w:p w14:paraId="6685F7B2" w14:textId="26F18901" w:rsidR="000F224A" w:rsidRPr="000F224A" w:rsidRDefault="004423CE" w:rsidP="000F224A">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3FFB5FB5" w14:textId="77777777" w:rsidR="00274F35" w:rsidRPr="00274F35" w:rsidRDefault="00274F35" w:rsidP="00274F35">
      <w:pPr>
        <w:spacing w:after="0" w:line="240" w:lineRule="auto"/>
        <w:jc w:val="both"/>
        <w:rPr>
          <w:rFonts w:ascii="Times New Roman" w:eastAsia="Times New Roman" w:hAnsi="Times New Roman" w:cs="Times New Roman"/>
          <w:bCs/>
          <w:color w:val="000000" w:themeColor="text1"/>
          <w:sz w:val="24"/>
          <w:szCs w:val="24"/>
          <w:highlight w:val="green"/>
          <w:lang w:eastAsia="pt-BR"/>
        </w:rPr>
      </w:pPr>
      <w:r w:rsidRPr="00274F35">
        <w:rPr>
          <w:rFonts w:ascii="Times New Roman" w:eastAsia="Times New Roman" w:hAnsi="Times New Roman" w:cs="Times New Roman"/>
          <w:bCs/>
          <w:color w:val="000000" w:themeColor="text1"/>
          <w:sz w:val="24"/>
          <w:szCs w:val="24"/>
          <w:highlight w:val="green"/>
          <w:lang w:eastAsia="pt-BR"/>
        </w:rPr>
        <w:t xml:space="preserve">Destaca-se, no entanto, o disposto no art. 59, § 3º, da Lei n.º 14.133/2021 segundo o qual, “no caso de obras e serviços de engenharia e arquitetura, para efeito de avaliação da exequibilidade e de </w:t>
      </w:r>
      <w:proofErr w:type="spellStart"/>
      <w:r w:rsidRPr="00274F35">
        <w:rPr>
          <w:rFonts w:ascii="Times New Roman" w:eastAsia="Times New Roman" w:hAnsi="Times New Roman" w:cs="Times New Roman"/>
          <w:bCs/>
          <w:color w:val="000000" w:themeColor="text1"/>
          <w:sz w:val="24"/>
          <w:szCs w:val="24"/>
          <w:highlight w:val="green"/>
          <w:lang w:eastAsia="pt-BR"/>
        </w:rPr>
        <w:t>sobrepreço</w:t>
      </w:r>
      <w:proofErr w:type="spellEnd"/>
      <w:r w:rsidRPr="00274F35">
        <w:rPr>
          <w:rFonts w:ascii="Times New Roman" w:eastAsia="Times New Roman" w:hAnsi="Times New Roman" w:cs="Times New Roman"/>
          <w:bCs/>
          <w:color w:val="000000" w:themeColor="text1"/>
          <w:sz w:val="24"/>
          <w:szCs w:val="24"/>
          <w:highlight w:val="green"/>
          <w:lang w:eastAsia="pt-BR"/>
        </w:rPr>
        <w:t xml:space="preserve">, serão considerados o preço global, os quantitativos e os preços unitários tidos como relevantes, observado o critério de aceitabilidade de preços unitário e global a ser fixado no edital, conforme as especificidades do mercado correspondente.” </w:t>
      </w:r>
    </w:p>
    <w:p w14:paraId="29936B49" w14:textId="77777777" w:rsidR="00274F35" w:rsidRPr="00274F35" w:rsidRDefault="00274F35" w:rsidP="00274F35">
      <w:pPr>
        <w:spacing w:after="0" w:line="240" w:lineRule="auto"/>
        <w:jc w:val="both"/>
        <w:rPr>
          <w:rFonts w:ascii="Times New Roman" w:eastAsia="Times New Roman" w:hAnsi="Times New Roman" w:cs="Times New Roman"/>
          <w:bCs/>
          <w:color w:val="000000" w:themeColor="text1"/>
          <w:sz w:val="24"/>
          <w:szCs w:val="24"/>
          <w:highlight w:val="green"/>
          <w:lang w:eastAsia="pt-BR"/>
        </w:rPr>
      </w:pPr>
      <w:r w:rsidRPr="00274F35">
        <w:rPr>
          <w:rFonts w:ascii="Times New Roman" w:eastAsia="Times New Roman" w:hAnsi="Times New Roman" w:cs="Times New Roman"/>
          <w:bCs/>
          <w:color w:val="000000" w:themeColor="text1"/>
          <w:sz w:val="24"/>
          <w:szCs w:val="24"/>
          <w:highlight w:val="green"/>
          <w:lang w:eastAsia="pt-BR"/>
        </w:rPr>
        <w:t xml:space="preserve"> </w:t>
      </w:r>
    </w:p>
    <w:p w14:paraId="1787A2C5" w14:textId="77777777" w:rsidR="00274F35" w:rsidRPr="00274F35" w:rsidRDefault="00274F35" w:rsidP="00274F35">
      <w:pPr>
        <w:spacing w:after="0" w:line="240" w:lineRule="auto"/>
        <w:jc w:val="both"/>
        <w:rPr>
          <w:rFonts w:ascii="Times New Roman" w:eastAsia="Times New Roman" w:hAnsi="Times New Roman" w:cs="Times New Roman"/>
          <w:bCs/>
          <w:color w:val="000000" w:themeColor="text1"/>
          <w:sz w:val="24"/>
          <w:szCs w:val="24"/>
          <w:highlight w:val="green"/>
          <w:lang w:eastAsia="pt-BR"/>
        </w:rPr>
      </w:pPr>
      <w:r w:rsidRPr="00274F35">
        <w:rPr>
          <w:rFonts w:ascii="Times New Roman" w:eastAsia="Times New Roman" w:hAnsi="Times New Roman" w:cs="Times New Roman"/>
          <w:bCs/>
          <w:color w:val="000000" w:themeColor="text1"/>
          <w:sz w:val="24"/>
          <w:szCs w:val="24"/>
          <w:highlight w:val="green"/>
          <w:lang w:eastAsia="pt-BR"/>
        </w:rPr>
        <w:t xml:space="preserve">Desse modo a súmula 259 e orientação normativa n.º 5 da AGU devem ser lidas à luz do citado dispositivo legal. </w:t>
      </w:r>
    </w:p>
    <w:p w14:paraId="497C0B79" w14:textId="77777777" w:rsidR="00274F35" w:rsidRPr="00274F35" w:rsidRDefault="00274F35" w:rsidP="00274F35">
      <w:pPr>
        <w:spacing w:after="0" w:line="240" w:lineRule="auto"/>
        <w:jc w:val="both"/>
        <w:rPr>
          <w:rFonts w:ascii="Times New Roman" w:eastAsia="Times New Roman" w:hAnsi="Times New Roman" w:cs="Times New Roman"/>
          <w:bCs/>
          <w:color w:val="000000" w:themeColor="text1"/>
          <w:sz w:val="24"/>
          <w:szCs w:val="24"/>
          <w:highlight w:val="green"/>
          <w:lang w:eastAsia="pt-BR"/>
        </w:rPr>
      </w:pPr>
      <w:r w:rsidRPr="00274F35">
        <w:rPr>
          <w:rFonts w:ascii="Times New Roman" w:eastAsia="Times New Roman" w:hAnsi="Times New Roman" w:cs="Times New Roman"/>
          <w:bCs/>
          <w:color w:val="000000" w:themeColor="text1"/>
          <w:sz w:val="24"/>
          <w:szCs w:val="24"/>
          <w:highlight w:val="green"/>
          <w:lang w:eastAsia="pt-BR"/>
        </w:rPr>
        <w:t xml:space="preserve"> </w:t>
      </w:r>
    </w:p>
    <w:p w14:paraId="5F099B32" w14:textId="36D10BBB" w:rsidR="00274F35" w:rsidRPr="00274F35" w:rsidRDefault="00274F35" w:rsidP="00274F35">
      <w:pPr>
        <w:spacing w:after="0" w:line="240" w:lineRule="auto"/>
        <w:jc w:val="both"/>
        <w:rPr>
          <w:rFonts w:ascii="Times New Roman" w:eastAsia="Times New Roman" w:hAnsi="Times New Roman" w:cs="Times New Roman"/>
          <w:bCs/>
          <w:color w:val="000000" w:themeColor="text1"/>
          <w:sz w:val="24"/>
          <w:szCs w:val="24"/>
          <w:lang w:eastAsia="pt-BR"/>
        </w:rPr>
      </w:pPr>
      <w:r w:rsidRPr="00274F35">
        <w:rPr>
          <w:rFonts w:ascii="Times New Roman" w:eastAsia="Times New Roman" w:hAnsi="Times New Roman" w:cs="Times New Roman"/>
          <w:bCs/>
          <w:color w:val="000000" w:themeColor="text1"/>
          <w:sz w:val="24"/>
          <w:szCs w:val="24"/>
          <w:highlight w:val="green"/>
          <w:lang w:eastAsia="pt-BR"/>
        </w:rPr>
        <w:t xml:space="preserve">Por fim, destaca-se que nas licitações de obras ou serviços de engenharia, após o julgamento, o licitante vencedor deverá reelaborar e apresentar à Administração, por meio eletrônico, as planilhas com indicação dos quantitativos e dos custos unitários,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sidRPr="00274F35">
        <w:rPr>
          <w:rFonts w:ascii="Times New Roman" w:eastAsia="Times New Roman" w:hAnsi="Times New Roman" w:cs="Times New Roman"/>
          <w:bCs/>
          <w:color w:val="000000" w:themeColor="text1"/>
          <w:sz w:val="24"/>
          <w:szCs w:val="24"/>
          <w:highlight w:val="green"/>
          <w:lang w:eastAsia="pt-BR"/>
        </w:rPr>
        <w:t>semi-integrada</w:t>
      </w:r>
      <w:proofErr w:type="spellEnd"/>
      <w:r w:rsidRPr="00274F35">
        <w:rPr>
          <w:rFonts w:ascii="Times New Roman" w:eastAsia="Times New Roman" w:hAnsi="Times New Roman" w:cs="Times New Roman"/>
          <w:bCs/>
          <w:color w:val="000000" w:themeColor="text1"/>
          <w:sz w:val="24"/>
          <w:szCs w:val="24"/>
          <w:highlight w:val="green"/>
          <w:lang w:eastAsia="pt-BR"/>
        </w:rPr>
        <w:t xml:space="preserve"> e contratação integrada, exclusivamente para eventuais adequações indispensáveis no cronograma físico-financeiro e para balizar excepcional aditamento posterior do contrato (art. 56, § 5º, da Lei n.º 14.133/2021). </w:t>
      </w:r>
    </w:p>
    <w:p w14:paraId="55CA715F" w14:textId="77777777" w:rsidR="00274F35" w:rsidRDefault="00274F35" w:rsidP="00952A35">
      <w:pPr>
        <w:spacing w:after="0" w:line="240" w:lineRule="auto"/>
        <w:jc w:val="both"/>
        <w:rPr>
          <w:rFonts w:ascii="Times New Roman" w:eastAsia="Times New Roman" w:hAnsi="Times New Roman" w:cs="Times New Roman"/>
          <w:b/>
          <w:bCs/>
          <w:color w:val="000000" w:themeColor="text1"/>
          <w:sz w:val="24"/>
          <w:szCs w:val="24"/>
          <w:lang w:eastAsia="pt-BR"/>
        </w:rPr>
      </w:pPr>
    </w:p>
    <w:p w14:paraId="0369CACF" w14:textId="0E93C3C7" w:rsidR="004423CE" w:rsidRPr="00271BE3" w:rsidRDefault="6817C2E8"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Composições de custos unitários menores ou iguais à mediana do SINAPI:</w:t>
      </w:r>
    </w:p>
    <w:p w14:paraId="0C962B16"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77FFB432" w14:textId="49DEE249"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Nos termos do art. 3° do Decreto n° 7.983</w:t>
      </w:r>
      <w:r w:rsidR="00094E5D" w:rsidRPr="00271BE3">
        <w:rPr>
          <w:rFonts w:ascii="Times New Roman" w:eastAsia="Times New Roman" w:hAnsi="Times New Roman" w:cs="Times New Roman"/>
          <w:color w:val="000000" w:themeColor="text1"/>
          <w:sz w:val="24"/>
          <w:szCs w:val="24"/>
          <w:lang w:eastAsia="pt-BR"/>
        </w:rPr>
        <w:t xml:space="preserve">, de </w:t>
      </w:r>
      <w:r w:rsidRPr="00271BE3">
        <w:rPr>
          <w:rFonts w:ascii="Times New Roman" w:eastAsia="Times New Roman" w:hAnsi="Times New Roman" w:cs="Times New Roman"/>
          <w:color w:val="000000" w:themeColor="text1"/>
          <w:sz w:val="24"/>
          <w:szCs w:val="24"/>
          <w:lang w:eastAsia="pt-BR"/>
        </w:rPr>
        <w:t>2013, no âmbito da administração pública federal, o SINAPI é o sistema de referência para a fixação dos custos unitários das obras e serviços de engenharia, excetuados os itens caracterizados como montagem industrial ou que não possam ser considerados como de construção civil.</w:t>
      </w:r>
    </w:p>
    <w:p w14:paraId="27B0CDC3"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44D28563" w14:textId="7BC81040"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Na definição do art. 2°, II, do Decreto n° 7.983</w:t>
      </w:r>
      <w:r w:rsidR="00094E5D" w:rsidRPr="00271BE3">
        <w:rPr>
          <w:rFonts w:ascii="Times New Roman" w:eastAsia="Times New Roman" w:hAnsi="Times New Roman" w:cs="Times New Roman"/>
          <w:color w:val="000000" w:themeColor="text1"/>
          <w:sz w:val="24"/>
          <w:szCs w:val="24"/>
          <w:lang w:eastAsia="pt-BR"/>
        </w:rPr>
        <w:t xml:space="preserve">, de </w:t>
      </w:r>
      <w:r w:rsidRPr="00271BE3">
        <w:rPr>
          <w:rFonts w:ascii="Times New Roman" w:eastAsia="Times New Roman" w:hAnsi="Times New Roman" w:cs="Times New Roman"/>
          <w:color w:val="000000" w:themeColor="text1"/>
          <w:sz w:val="24"/>
          <w:szCs w:val="24"/>
          <w:lang w:eastAsia="pt-BR"/>
        </w:rPr>
        <w:t>2013, composição de custo unitário é o “</w:t>
      </w:r>
      <w:r w:rsidRPr="00271BE3">
        <w:rPr>
          <w:rFonts w:ascii="Times New Roman" w:eastAsia="Times New Roman" w:hAnsi="Times New Roman" w:cs="Times New Roman"/>
          <w:i/>
          <w:iCs/>
          <w:color w:val="000000" w:themeColor="text1"/>
          <w:sz w:val="24"/>
          <w:szCs w:val="24"/>
          <w:lang w:eastAsia="pt-BR"/>
        </w:rPr>
        <w:t xml:space="preserve">detalhamento do custo unitário do serviço que expresse a descrição, quantidades, </w:t>
      </w:r>
      <w:r w:rsidRPr="00271BE3">
        <w:rPr>
          <w:rFonts w:ascii="Times New Roman" w:eastAsia="Times New Roman" w:hAnsi="Times New Roman" w:cs="Times New Roman"/>
          <w:i/>
          <w:iCs/>
          <w:color w:val="000000" w:themeColor="text1"/>
          <w:sz w:val="24"/>
          <w:szCs w:val="24"/>
          <w:lang w:eastAsia="pt-BR"/>
        </w:rPr>
        <w:lastRenderedPageBreak/>
        <w:t>produtividades e custos unitários dos materiais, mão de obra e equipamentos necessários à execução de uma unidade de medida</w:t>
      </w:r>
      <w:r w:rsidRPr="00271BE3">
        <w:rPr>
          <w:rFonts w:ascii="Times New Roman" w:eastAsia="Times New Roman" w:hAnsi="Times New Roman" w:cs="Times New Roman"/>
          <w:color w:val="000000" w:themeColor="text1"/>
          <w:sz w:val="24"/>
          <w:szCs w:val="24"/>
          <w:lang w:eastAsia="pt-BR"/>
        </w:rPr>
        <w:t>”.</w:t>
      </w:r>
    </w:p>
    <w:p w14:paraId="5B53EEBF"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3DFAEFAD"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Já o custo unitário de referência é o “</w:t>
      </w:r>
      <w:r w:rsidRPr="00271BE3">
        <w:rPr>
          <w:rFonts w:ascii="Times New Roman" w:eastAsia="Times New Roman" w:hAnsi="Times New Roman" w:cs="Times New Roman"/>
          <w:i/>
          <w:iCs/>
          <w:color w:val="000000" w:themeColor="text1"/>
          <w:sz w:val="24"/>
          <w:szCs w:val="24"/>
          <w:lang w:eastAsia="pt-BR"/>
        </w:rPr>
        <w:t>valor unitário para execução de uma unidade de medida do serviço previsto no orçamento de referência e obtido com base nos sistemas de referência de custos ou pesquisa de mercado</w:t>
      </w:r>
      <w:r w:rsidRPr="00271BE3">
        <w:rPr>
          <w:rFonts w:ascii="Times New Roman" w:eastAsia="Times New Roman" w:hAnsi="Times New Roman" w:cs="Times New Roman"/>
          <w:color w:val="000000" w:themeColor="text1"/>
          <w:sz w:val="24"/>
          <w:szCs w:val="24"/>
          <w:lang w:eastAsia="pt-BR"/>
        </w:rPr>
        <w:t>” (art. 2°, I).</w:t>
      </w:r>
    </w:p>
    <w:p w14:paraId="5EC994F7"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7664AEC1"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Na elaboração dos orçamentos de referência, poderão ser adotadas especificidades locais ou de projeto na elaboração das respectivas composições de custo unitário, desde que demonstrada a pertinência dos ajustes para a obra ou serviço de engenharia em relatório técnico elaborado por profissional habilitado (art. 8°, caput, do Decreto n° 7.983, de 2013).</w:t>
      </w:r>
    </w:p>
    <w:p w14:paraId="0F9118F4"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4C76FF6A"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Somente em condições especiais, devidamente justificadas, poderão os custos unitários de referência exceder os seus correspondentes do SINAPI, sem prejuízo da avaliação dos órgãos de controle (art. 8°, parágrafo único, do Decreto n° 7.983, de 2013).</w:t>
      </w:r>
    </w:p>
    <w:p w14:paraId="0C3156E2"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5BDED99E" w14:textId="50BFA6CA" w:rsidR="004423CE" w:rsidRPr="00271BE3" w:rsidRDefault="004423CE" w:rsidP="00952A35">
      <w:pPr>
        <w:spacing w:after="0" w:line="240" w:lineRule="auto"/>
        <w:jc w:val="both"/>
        <w:rPr>
          <w:rFonts w:ascii="Times New Roman" w:eastAsiaTheme="minorEastAsia"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xml:space="preserve">No caso de inviabilidade da definição dos custos com base no SINAPI, a estimativa de custo global poderá ser apurada por meio da utilização </w:t>
      </w:r>
      <w:r w:rsidR="358C3A7C" w:rsidRPr="00271BE3">
        <w:rPr>
          <w:rFonts w:ascii="Times New Roman" w:eastAsia="Times New Roman" w:hAnsi="Times New Roman" w:cs="Times New Roman"/>
          <w:color w:val="000000" w:themeColor="text1"/>
          <w:sz w:val="24"/>
          <w:szCs w:val="24"/>
          <w:lang w:eastAsia="pt-BR"/>
        </w:rPr>
        <w:t xml:space="preserve">dos demais parâmetros </w:t>
      </w:r>
      <w:r w:rsidR="730E4D95" w:rsidRPr="00271BE3">
        <w:rPr>
          <w:rFonts w:ascii="Times New Roman" w:eastAsia="Times New Roman" w:hAnsi="Times New Roman" w:cs="Times New Roman"/>
          <w:color w:val="000000" w:themeColor="text1"/>
          <w:sz w:val="24"/>
          <w:szCs w:val="24"/>
          <w:lang w:eastAsia="pt-BR"/>
        </w:rPr>
        <w:t>elencados</w:t>
      </w:r>
      <w:r w:rsidR="358C3A7C" w:rsidRPr="00271BE3">
        <w:rPr>
          <w:rFonts w:ascii="Times New Roman" w:eastAsia="Times New Roman" w:hAnsi="Times New Roman" w:cs="Times New Roman"/>
          <w:color w:val="000000" w:themeColor="text1"/>
          <w:sz w:val="24"/>
          <w:szCs w:val="24"/>
          <w:lang w:eastAsia="pt-BR"/>
        </w:rPr>
        <w:t xml:space="preserve"> no art. 23, § 2º </w:t>
      </w:r>
      <w:r w:rsidR="7CD11482" w:rsidRPr="00271BE3">
        <w:rPr>
          <w:rFonts w:ascii="Times New Roman" w:eastAsia="Times New Roman" w:hAnsi="Times New Roman" w:cs="Times New Roman"/>
          <w:color w:val="000000" w:themeColor="text1"/>
          <w:sz w:val="24"/>
          <w:szCs w:val="24"/>
          <w:lang w:eastAsia="pt-BR"/>
        </w:rPr>
        <w:t xml:space="preserve">da </w:t>
      </w:r>
      <w:r w:rsidR="7CD11482" w:rsidRPr="00271BE3">
        <w:rPr>
          <w:rFonts w:ascii="Times New Roman" w:eastAsiaTheme="minorEastAsia" w:hAnsi="Times New Roman" w:cs="Times New Roman"/>
          <w:color w:val="000000" w:themeColor="text1"/>
          <w:sz w:val="24"/>
          <w:szCs w:val="24"/>
        </w:rPr>
        <w:t>Lei nº 14.133</w:t>
      </w:r>
      <w:r w:rsidR="00094E5D" w:rsidRPr="00271BE3">
        <w:rPr>
          <w:rFonts w:ascii="Times New Roman" w:eastAsiaTheme="minorEastAsia" w:hAnsi="Times New Roman" w:cs="Times New Roman"/>
          <w:color w:val="000000" w:themeColor="text1"/>
          <w:sz w:val="24"/>
          <w:szCs w:val="24"/>
        </w:rPr>
        <w:t xml:space="preserve">, de </w:t>
      </w:r>
      <w:r w:rsidR="7CD11482" w:rsidRPr="00271BE3">
        <w:rPr>
          <w:rFonts w:ascii="Times New Roman" w:eastAsiaTheme="minorEastAsia" w:hAnsi="Times New Roman" w:cs="Times New Roman"/>
          <w:color w:val="000000" w:themeColor="text1"/>
          <w:sz w:val="24"/>
          <w:szCs w:val="24"/>
        </w:rPr>
        <w:t>2021.</w:t>
      </w:r>
    </w:p>
    <w:p w14:paraId="0F4F611C"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734D396C" w14:textId="77777777" w:rsidR="004423CE" w:rsidRPr="00271BE3" w:rsidRDefault="6ED1BF20"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u w:val="single"/>
          <w:lang w:eastAsia="pt-BR"/>
        </w:rPr>
        <w:t>Detalhamento da composição do percentual de BDI:</w:t>
      </w:r>
    </w:p>
    <w:p w14:paraId="74A0E4A9"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B710E1F"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Conforme a já mencionada Súmula TCU n° 258, é obrigatório o detalhamento dos encargos sociais e do BDI no orçamento de referência da licitação.</w:t>
      </w:r>
    </w:p>
    <w:p w14:paraId="1B37964D"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3E8DD60C" w14:textId="7E97AFC0"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A mesma premissa consta do art. 9° do Decreto n° 7.983</w:t>
      </w:r>
      <w:r w:rsidR="00094E5D" w:rsidRPr="00271BE3">
        <w:rPr>
          <w:rFonts w:ascii="Times New Roman" w:eastAsia="Times New Roman" w:hAnsi="Times New Roman" w:cs="Times New Roman"/>
          <w:color w:val="000000"/>
          <w:sz w:val="24"/>
          <w:szCs w:val="24"/>
          <w:lang w:eastAsia="pt-BR"/>
        </w:rPr>
        <w:t xml:space="preserve">, de </w:t>
      </w:r>
      <w:r w:rsidRPr="00271BE3">
        <w:rPr>
          <w:rFonts w:ascii="Times New Roman" w:eastAsia="Times New Roman" w:hAnsi="Times New Roman" w:cs="Times New Roman"/>
          <w:color w:val="000000"/>
          <w:sz w:val="24"/>
          <w:szCs w:val="24"/>
          <w:lang w:eastAsia="pt-BR"/>
        </w:rPr>
        <w:t>2013, de acordo com o qual devem ser evidenciados, no mínimo, os seguintes componentes do BDI: taxa de rateio da administração central; percentuais de tributos incidentes sobre o preço do serviço, excluídos aqueles de natureza direta e personalíssima que oneram o contratado; taxa de risco, seguro e garantia do empreendimento, e taxa de lucro.</w:t>
      </w:r>
    </w:p>
    <w:p w14:paraId="62596E89"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1BF2785B"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É preciso destacar o disposto na súmula 254 do TCU a respeito do IRPJ e CSLL na composição do BDI, conforme o enunciado assim lançado:</w:t>
      </w:r>
    </w:p>
    <w:p w14:paraId="310C33BD" w14:textId="44909E4B" w:rsidR="0A7FF9E6" w:rsidRPr="00271BE3" w:rsidRDefault="0A7FF9E6" w:rsidP="00952A35">
      <w:pPr>
        <w:spacing w:after="0" w:line="240" w:lineRule="auto"/>
        <w:jc w:val="both"/>
        <w:rPr>
          <w:rFonts w:ascii="Times New Roman" w:eastAsia="Times New Roman" w:hAnsi="Times New Roman" w:cs="Times New Roman"/>
          <w:i/>
          <w:iCs/>
          <w:color w:val="000000" w:themeColor="text1"/>
          <w:sz w:val="24"/>
          <w:szCs w:val="24"/>
          <w:lang w:eastAsia="pt-BR"/>
        </w:rPr>
      </w:pPr>
    </w:p>
    <w:p w14:paraId="3FFFF4D4" w14:textId="77777777" w:rsidR="004423CE" w:rsidRPr="00582373" w:rsidRDefault="004423CE" w:rsidP="00952A35">
      <w:pPr>
        <w:spacing w:after="0" w:line="240" w:lineRule="auto"/>
        <w:ind w:left="2268"/>
        <w:jc w:val="both"/>
        <w:rPr>
          <w:rFonts w:ascii="Times New Roman" w:eastAsia="Times New Roman" w:hAnsi="Times New Roman" w:cs="Times New Roman"/>
          <w:color w:val="000000"/>
          <w:sz w:val="20"/>
          <w:szCs w:val="20"/>
          <w:lang w:eastAsia="pt-BR"/>
        </w:rPr>
      </w:pPr>
      <w:r w:rsidRPr="00582373">
        <w:rPr>
          <w:rFonts w:ascii="Times New Roman" w:eastAsia="Times New Roman" w:hAnsi="Times New Roman" w:cs="Times New Roman"/>
          <w:color w:val="000000" w:themeColor="text1"/>
          <w:sz w:val="20"/>
          <w:szCs w:val="20"/>
          <w:lang w:eastAsia="pt-BR"/>
        </w:rPr>
        <w:t xml:space="preserve">O IRPJ – Imposto de Renda Pessoa Jurídica – e a CSLL – Contribuição Social sobre o Lucro Líquido – não se consubstanciam em despesa indireta passível de inclusão na taxa de Bonificações e Despesas Indiretas - BDI do orçamento-base da licitação, haja vista a natureza direta e </w:t>
      </w:r>
      <w:proofErr w:type="spellStart"/>
      <w:r w:rsidRPr="00582373">
        <w:rPr>
          <w:rFonts w:ascii="Times New Roman" w:eastAsia="Times New Roman" w:hAnsi="Times New Roman" w:cs="Times New Roman"/>
          <w:color w:val="000000" w:themeColor="text1"/>
          <w:sz w:val="20"/>
          <w:szCs w:val="20"/>
          <w:lang w:eastAsia="pt-BR"/>
        </w:rPr>
        <w:t>personalística</w:t>
      </w:r>
      <w:proofErr w:type="spellEnd"/>
      <w:r w:rsidRPr="00582373">
        <w:rPr>
          <w:rFonts w:ascii="Times New Roman" w:eastAsia="Times New Roman" w:hAnsi="Times New Roman" w:cs="Times New Roman"/>
          <w:color w:val="000000" w:themeColor="text1"/>
          <w:sz w:val="20"/>
          <w:szCs w:val="20"/>
          <w:lang w:eastAsia="pt-BR"/>
        </w:rPr>
        <w:t xml:space="preserve"> desses tributos, que oneram pessoalmente o contratado.</w:t>
      </w:r>
    </w:p>
    <w:p w14:paraId="59604494"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D33BA41" w14:textId="5F6CA3A4"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Em pronunciamentos posteriores, o TCU esclareceu o seu entendimento, de que tanto a Súmula TCU nº 254</w:t>
      </w:r>
      <w:r w:rsidR="008A21F9" w:rsidRPr="00271BE3">
        <w:rPr>
          <w:rFonts w:ascii="Times New Roman" w:eastAsia="Times New Roman" w:hAnsi="Times New Roman" w:cs="Times New Roman"/>
          <w:color w:val="000000" w:themeColor="text1"/>
          <w:sz w:val="24"/>
          <w:szCs w:val="24"/>
          <w:lang w:eastAsia="pt-BR"/>
        </w:rPr>
        <w:t>, de 20</w:t>
      </w:r>
      <w:r w:rsidRPr="00271BE3">
        <w:rPr>
          <w:rFonts w:ascii="Times New Roman" w:eastAsia="Times New Roman" w:hAnsi="Times New Roman" w:cs="Times New Roman"/>
          <w:color w:val="000000" w:themeColor="text1"/>
          <w:sz w:val="24"/>
          <w:szCs w:val="24"/>
          <w:lang w:eastAsia="pt-BR"/>
        </w:rPr>
        <w:t>10</w:t>
      </w:r>
      <w:r w:rsidR="00FA1FEE" w:rsidRPr="00271BE3">
        <w:rPr>
          <w:rFonts w:ascii="Times New Roman" w:eastAsia="Times New Roman" w:hAnsi="Times New Roman" w:cs="Times New Roman"/>
          <w:color w:val="000000" w:themeColor="text1"/>
          <w:sz w:val="24"/>
          <w:szCs w:val="24"/>
          <w:lang w:eastAsia="pt-BR"/>
        </w:rPr>
        <w:t xml:space="preserve">, </w:t>
      </w:r>
      <w:r w:rsidRPr="00271BE3">
        <w:rPr>
          <w:rFonts w:ascii="Times New Roman" w:eastAsia="Times New Roman" w:hAnsi="Times New Roman" w:cs="Times New Roman"/>
          <w:color w:val="000000" w:themeColor="text1"/>
          <w:sz w:val="24"/>
          <w:szCs w:val="24"/>
          <w:lang w:eastAsia="pt-BR"/>
        </w:rPr>
        <w:t>como o art. 9º, do Decreto 7.983, de 2013, vedam a inclusão de tais rubricas apenas no orçamento-base da licitação, não sendo tais entendimentos aplicáveis aos preços ofertados pelos privados, conforme noticiado no informativo n.</w:t>
      </w:r>
      <w:r w:rsidR="00FA1FEE" w:rsidRPr="00271BE3">
        <w:rPr>
          <w:rFonts w:ascii="Times New Roman" w:eastAsia="Times New Roman" w:hAnsi="Times New Roman" w:cs="Times New Roman"/>
          <w:color w:val="000000" w:themeColor="text1"/>
          <w:sz w:val="24"/>
          <w:szCs w:val="24"/>
          <w:lang w:eastAsia="pt-BR"/>
        </w:rPr>
        <w:t>º</w:t>
      </w:r>
      <w:r w:rsidRPr="00271BE3">
        <w:rPr>
          <w:rFonts w:ascii="Times New Roman" w:eastAsia="Times New Roman" w:hAnsi="Times New Roman" w:cs="Times New Roman"/>
          <w:color w:val="000000" w:themeColor="text1"/>
          <w:sz w:val="24"/>
          <w:szCs w:val="24"/>
          <w:lang w:eastAsia="pt-BR"/>
        </w:rPr>
        <w:t xml:space="preserve"> 279, nos seguintes termos:</w:t>
      </w:r>
    </w:p>
    <w:p w14:paraId="57FDE192" w14:textId="6772228F" w:rsidR="0A7FF9E6" w:rsidRPr="00271BE3" w:rsidRDefault="0A7FF9E6" w:rsidP="00952A35">
      <w:pPr>
        <w:spacing w:after="0" w:line="240" w:lineRule="auto"/>
        <w:ind w:left="1440"/>
        <w:jc w:val="both"/>
        <w:rPr>
          <w:rFonts w:ascii="Times New Roman" w:eastAsia="Times New Roman" w:hAnsi="Times New Roman" w:cs="Times New Roman"/>
          <w:i/>
          <w:iCs/>
          <w:color w:val="000000" w:themeColor="text1"/>
          <w:sz w:val="24"/>
          <w:szCs w:val="24"/>
          <w:lang w:eastAsia="pt-BR"/>
        </w:rPr>
      </w:pPr>
    </w:p>
    <w:p w14:paraId="247D3D4F" w14:textId="77777777" w:rsidR="004423CE" w:rsidRPr="00ED55DA" w:rsidRDefault="004423CE" w:rsidP="00952A35">
      <w:pPr>
        <w:spacing w:after="0" w:line="240" w:lineRule="auto"/>
        <w:ind w:left="2268"/>
        <w:jc w:val="both"/>
        <w:rPr>
          <w:rFonts w:ascii="Times New Roman" w:eastAsia="Times New Roman" w:hAnsi="Times New Roman" w:cs="Times New Roman"/>
          <w:color w:val="000000"/>
          <w:sz w:val="20"/>
          <w:szCs w:val="20"/>
          <w:lang w:eastAsia="pt-BR"/>
        </w:rPr>
      </w:pPr>
      <w:r w:rsidRPr="00ED55DA">
        <w:rPr>
          <w:rFonts w:ascii="Times New Roman" w:eastAsia="Times New Roman" w:hAnsi="Times New Roman" w:cs="Times New Roman"/>
          <w:color w:val="000000" w:themeColor="text1"/>
          <w:sz w:val="20"/>
          <w:szCs w:val="20"/>
          <w:lang w:eastAsia="pt-BR"/>
        </w:rPr>
        <w:t xml:space="preserve">A inclusão, na composição do BDI constante das propostas das licitantes, do Imposto de Renda Pessoa Jurídica (IRPJ) e da Contribuição Social sobre o Lucro Líquido (CSLL) não é vedada nem acarreta, por si só, prejuízos ao erário, pois é legítimo que empresas considerem esses tributos quando do cálculo da equação econômico-financeira de suas propostas, desde que os preços praticados estejam de acordo com </w:t>
      </w:r>
      <w:r w:rsidRPr="00ED55DA">
        <w:rPr>
          <w:rFonts w:ascii="Times New Roman" w:eastAsia="Times New Roman" w:hAnsi="Times New Roman" w:cs="Times New Roman"/>
          <w:color w:val="000000" w:themeColor="text1"/>
          <w:sz w:val="20"/>
          <w:szCs w:val="20"/>
          <w:lang w:eastAsia="pt-BR"/>
        </w:rPr>
        <w:lastRenderedPageBreak/>
        <w:t>os paradigmas de mercado. O que é vedado é a inclusão do IRPJ e da CSLL no orçamento estimativo da licitação.</w:t>
      </w:r>
    </w:p>
    <w:p w14:paraId="73A5D68A"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3C2459FA"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Dessa forma, é vedada a inclusão do Imposto de Renda Pessoa Jurídica (IRPJ) e da Contribuição Social sobre o Lucro Líquido (CSLL) no orçamento estimativo da licitação.</w:t>
      </w:r>
    </w:p>
    <w:p w14:paraId="599CB0BF"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6B3582ED"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No entanto, é lícita a inclusão na composição do BDI do Imposto de Renda Pessoa Jurídica (IRPJ) e da Contribuição Social sobre o Lucro Líquido (CSLL) constante das propostas das licitantes. É legítimo que empresas considerem esses tributos quando do cálculo da equação econômico-financeira de suas propostas, desde que os preços praticados estejam de acordo com os paradigmas de mercado.</w:t>
      </w:r>
    </w:p>
    <w:p w14:paraId="7EEC9B61"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611DDFC" w14:textId="1A350CB4" w:rsidR="004423CE" w:rsidRPr="00271BE3" w:rsidRDefault="4692D27D" w:rsidP="00952A35">
      <w:pPr>
        <w:spacing w:after="0" w:line="240" w:lineRule="auto"/>
        <w:jc w:val="both"/>
        <w:rPr>
          <w:rFonts w:ascii="Times New Roman" w:eastAsia="Times New Roman" w:hAnsi="Times New Roman" w:cs="Times New Roman"/>
          <w:color w:val="000000"/>
          <w:sz w:val="24"/>
          <w:szCs w:val="24"/>
          <w:lang w:eastAsia="pt-BR"/>
        </w:rPr>
      </w:pPr>
      <w:r w:rsidRPr="00C7567C">
        <w:rPr>
          <w:rFonts w:ascii="Times New Roman" w:eastAsia="Times New Roman" w:hAnsi="Times New Roman" w:cs="Times New Roman"/>
          <w:color w:val="000000" w:themeColor="text1"/>
          <w:sz w:val="24"/>
          <w:szCs w:val="24"/>
          <w:lang w:eastAsia="pt-BR"/>
        </w:rPr>
        <w:t>Em relação ao BDI para materiais e equipamentos, a Administração deve observar</w:t>
      </w:r>
      <w:r w:rsidRPr="00271BE3">
        <w:rPr>
          <w:rFonts w:ascii="Times New Roman" w:eastAsia="Times New Roman" w:hAnsi="Times New Roman" w:cs="Times New Roman"/>
          <w:color w:val="000000" w:themeColor="text1"/>
          <w:sz w:val="24"/>
          <w:szCs w:val="24"/>
          <w:lang w:eastAsia="pt-BR"/>
        </w:rPr>
        <w:t> o que dispõe a Súmula n.</w:t>
      </w:r>
      <w:r w:rsidR="0098126D" w:rsidRPr="00271BE3">
        <w:rPr>
          <w:rFonts w:ascii="Times New Roman" w:eastAsia="Times New Roman" w:hAnsi="Times New Roman" w:cs="Times New Roman"/>
          <w:color w:val="000000" w:themeColor="text1"/>
          <w:sz w:val="24"/>
          <w:szCs w:val="24"/>
          <w:lang w:eastAsia="pt-BR"/>
        </w:rPr>
        <w:t>º</w:t>
      </w:r>
      <w:r w:rsidRPr="00271BE3">
        <w:rPr>
          <w:rFonts w:ascii="Times New Roman" w:eastAsia="Times New Roman" w:hAnsi="Times New Roman" w:cs="Times New Roman"/>
          <w:color w:val="000000" w:themeColor="text1"/>
          <w:sz w:val="24"/>
          <w:szCs w:val="24"/>
          <w:lang w:eastAsia="pt-BR"/>
        </w:rPr>
        <w:t xml:space="preserve"> 253 do TCU, que trata do BDI reduzido:</w:t>
      </w:r>
    </w:p>
    <w:p w14:paraId="1BC8D3FC" w14:textId="09A967C7" w:rsidR="0A7FF9E6" w:rsidRPr="00271BE3" w:rsidRDefault="0A7FF9E6" w:rsidP="00952A35">
      <w:pPr>
        <w:spacing w:after="0" w:line="240" w:lineRule="auto"/>
        <w:jc w:val="both"/>
        <w:rPr>
          <w:rFonts w:ascii="Times New Roman" w:eastAsia="Times New Roman" w:hAnsi="Times New Roman" w:cs="Times New Roman"/>
          <w:i/>
          <w:iCs/>
          <w:color w:val="000000" w:themeColor="text1"/>
          <w:sz w:val="24"/>
          <w:szCs w:val="24"/>
          <w:lang w:eastAsia="pt-BR"/>
        </w:rPr>
      </w:pPr>
    </w:p>
    <w:p w14:paraId="067DEF3B" w14:textId="77777777" w:rsidR="004423CE" w:rsidRPr="00D72604" w:rsidRDefault="004423CE" w:rsidP="00952A35">
      <w:pPr>
        <w:spacing w:after="0" w:line="240" w:lineRule="auto"/>
        <w:ind w:left="2268"/>
        <w:jc w:val="both"/>
        <w:rPr>
          <w:rFonts w:ascii="Times New Roman" w:eastAsia="Times New Roman" w:hAnsi="Times New Roman" w:cs="Times New Roman"/>
          <w:color w:val="000000"/>
          <w:sz w:val="20"/>
          <w:szCs w:val="20"/>
          <w:lang w:eastAsia="pt-BR"/>
        </w:rPr>
      </w:pPr>
      <w:r w:rsidRPr="00D72604">
        <w:rPr>
          <w:rFonts w:ascii="Times New Roman" w:eastAsia="Times New Roman" w:hAnsi="Times New Roman" w:cs="Times New Roman"/>
          <w:color w:val="000000" w:themeColor="text1"/>
          <w:sz w:val="20"/>
          <w:szCs w:val="20"/>
          <w:lang w:eastAsia="pt-BR"/>
        </w:rPr>
        <w:t>Comprovada a inviabilidade técnico-econômica de parcelamento do objeto da licitação, nos termos da legislação em vigor, os itens de fornecimento de materiais e equipamentos de natureza específica que possam ser fornecidos por empresas com especialidades próprias e diversas e que representem percentual significativo do preço global da obra devem apresentar incidência de taxa de Bonificação e Despesas Indiretas - BDI reduzida em relação à taxa aplicável aos demais itens.</w:t>
      </w:r>
    </w:p>
    <w:p w14:paraId="284F6661"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091756B5"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u w:val="single"/>
          <w:lang w:eastAsia="pt-BR"/>
        </w:rPr>
      </w:pPr>
      <w:r w:rsidRPr="00271BE3">
        <w:rPr>
          <w:rFonts w:ascii="Times New Roman" w:eastAsia="Times New Roman" w:hAnsi="Times New Roman" w:cs="Times New Roman"/>
          <w:color w:val="000000"/>
          <w:sz w:val="24"/>
          <w:szCs w:val="24"/>
          <w:lang w:eastAsia="pt-BR"/>
        </w:rPr>
        <w:t xml:space="preserve">Como se trata de tópico referente a matéria técnica, </w:t>
      </w:r>
      <w:r w:rsidRPr="00271BE3">
        <w:rPr>
          <w:rFonts w:ascii="Times New Roman" w:eastAsia="Times New Roman" w:hAnsi="Times New Roman" w:cs="Times New Roman"/>
          <w:color w:val="000000"/>
          <w:sz w:val="24"/>
          <w:szCs w:val="24"/>
          <w:u w:val="single"/>
          <w:lang w:eastAsia="pt-BR"/>
        </w:rPr>
        <w:t>cabe exclusivamente à Administração manifestar-se a respeito das exigências acima mencionadas.</w:t>
      </w:r>
    </w:p>
    <w:p w14:paraId="5F660B75"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68D28010" w14:textId="24CE3B84" w:rsidR="004423CE" w:rsidRPr="00271BE3" w:rsidRDefault="6817C2E8"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Cálculo da Contribuição Previdenciária - Orçamento onerado e desonerado</w:t>
      </w:r>
    </w:p>
    <w:p w14:paraId="6E87C99D"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6A4E8A23" w14:textId="2018BB53"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Por força do art. 7º da Lei nº 12.546</w:t>
      </w:r>
      <w:r w:rsidR="00094E5D" w:rsidRPr="00271BE3">
        <w:rPr>
          <w:rFonts w:ascii="Times New Roman" w:eastAsia="Times New Roman" w:hAnsi="Times New Roman" w:cs="Times New Roman"/>
          <w:color w:val="000000"/>
          <w:sz w:val="24"/>
          <w:szCs w:val="24"/>
          <w:lang w:eastAsia="pt-BR"/>
        </w:rPr>
        <w:t xml:space="preserve">, de </w:t>
      </w:r>
      <w:r w:rsidRPr="00271BE3">
        <w:rPr>
          <w:rFonts w:ascii="Times New Roman" w:eastAsia="Times New Roman" w:hAnsi="Times New Roman" w:cs="Times New Roman"/>
          <w:color w:val="000000"/>
          <w:sz w:val="24"/>
          <w:szCs w:val="24"/>
          <w:lang w:eastAsia="pt-BR"/>
        </w:rPr>
        <w:t>2011</w:t>
      </w:r>
      <w:r w:rsidR="00B95EE1" w:rsidRPr="00271BE3">
        <w:rPr>
          <w:rFonts w:ascii="Times New Roman" w:eastAsia="Times New Roman" w:hAnsi="Times New Roman" w:cs="Times New Roman"/>
          <w:color w:val="000000"/>
          <w:sz w:val="24"/>
          <w:szCs w:val="24"/>
          <w:lang w:eastAsia="pt-BR"/>
        </w:rPr>
        <w:t>,</w:t>
      </w:r>
      <w:r w:rsidRPr="00271BE3">
        <w:rPr>
          <w:rFonts w:ascii="Times New Roman" w:eastAsia="Times New Roman" w:hAnsi="Times New Roman" w:cs="Times New Roman"/>
          <w:color w:val="000000"/>
          <w:sz w:val="24"/>
          <w:szCs w:val="24"/>
          <w:lang w:eastAsia="pt-BR"/>
        </w:rPr>
        <w:t xml:space="preserve"> foi afastado o caráter obrigatório do recolhimento das contribuições previdenciárias mediante alíquota da receita bruta e permitido que a empresa opte pela regra veiculada, ou pela tradicional, definida no art. 22 da Lei nº 8.212</w:t>
      </w:r>
      <w:r w:rsidR="00094E5D" w:rsidRPr="00271BE3">
        <w:rPr>
          <w:rFonts w:ascii="Times New Roman" w:eastAsia="Times New Roman" w:hAnsi="Times New Roman" w:cs="Times New Roman"/>
          <w:color w:val="000000"/>
          <w:sz w:val="24"/>
          <w:szCs w:val="24"/>
          <w:lang w:eastAsia="pt-BR"/>
        </w:rPr>
        <w:t xml:space="preserve">, de </w:t>
      </w:r>
      <w:r w:rsidRPr="00271BE3">
        <w:rPr>
          <w:rFonts w:ascii="Times New Roman" w:eastAsia="Times New Roman" w:hAnsi="Times New Roman" w:cs="Times New Roman"/>
          <w:color w:val="000000"/>
          <w:sz w:val="24"/>
          <w:szCs w:val="24"/>
          <w:lang w:eastAsia="pt-BR"/>
        </w:rPr>
        <w:t>1991.</w:t>
      </w:r>
    </w:p>
    <w:p w14:paraId="62165587"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0DDBFCB4" w14:textId="53A0C82E"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Assim, ante a possibilidade de escolha da forma de recolhimento do tributo pelas empresas, surge para a Administração o dever de buscar a proposta mais vantajosa, prestigiando o princípio de economicidade. Nesses termos, as planilhas para licitações de obras e serviços de engenharia devem ser avaliadas quanto ao melhor critério de tributação, seja o previsto no art. 7 º da Lei nº 12.546</w:t>
      </w:r>
      <w:r w:rsidR="009D63C4" w:rsidRPr="00271BE3">
        <w:rPr>
          <w:rFonts w:ascii="Times New Roman" w:eastAsia="Times New Roman" w:hAnsi="Times New Roman" w:cs="Times New Roman"/>
          <w:color w:val="000000"/>
          <w:sz w:val="24"/>
          <w:szCs w:val="24"/>
          <w:lang w:eastAsia="pt-BR"/>
        </w:rPr>
        <w:t xml:space="preserve">, de </w:t>
      </w:r>
      <w:r w:rsidRPr="00271BE3">
        <w:rPr>
          <w:rFonts w:ascii="Times New Roman" w:eastAsia="Times New Roman" w:hAnsi="Times New Roman" w:cs="Times New Roman"/>
          <w:color w:val="000000"/>
          <w:sz w:val="24"/>
          <w:szCs w:val="24"/>
          <w:lang w:eastAsia="pt-BR"/>
        </w:rPr>
        <w:t>2</w:t>
      </w:r>
      <w:r w:rsidR="009D63C4" w:rsidRPr="00271BE3">
        <w:rPr>
          <w:rFonts w:ascii="Times New Roman" w:eastAsia="Times New Roman" w:hAnsi="Times New Roman" w:cs="Times New Roman"/>
          <w:color w:val="000000"/>
          <w:sz w:val="24"/>
          <w:szCs w:val="24"/>
          <w:lang w:eastAsia="pt-BR"/>
        </w:rPr>
        <w:t>0</w:t>
      </w:r>
      <w:r w:rsidRPr="00271BE3">
        <w:rPr>
          <w:rFonts w:ascii="Times New Roman" w:eastAsia="Times New Roman" w:hAnsi="Times New Roman" w:cs="Times New Roman"/>
          <w:color w:val="000000"/>
          <w:sz w:val="24"/>
          <w:szCs w:val="24"/>
          <w:lang w:eastAsia="pt-BR"/>
        </w:rPr>
        <w:t>11</w:t>
      </w:r>
      <w:r w:rsidR="009D63C4" w:rsidRPr="00271BE3">
        <w:rPr>
          <w:rFonts w:ascii="Times New Roman" w:eastAsia="Times New Roman" w:hAnsi="Times New Roman" w:cs="Times New Roman"/>
          <w:color w:val="000000"/>
          <w:sz w:val="24"/>
          <w:szCs w:val="24"/>
          <w:lang w:eastAsia="pt-BR"/>
        </w:rPr>
        <w:t>,</w:t>
      </w:r>
      <w:r w:rsidRPr="00271BE3">
        <w:rPr>
          <w:rFonts w:ascii="Times New Roman" w:eastAsia="Times New Roman" w:hAnsi="Times New Roman" w:cs="Times New Roman"/>
          <w:color w:val="000000"/>
          <w:sz w:val="24"/>
          <w:szCs w:val="24"/>
          <w:lang w:eastAsia="pt-BR"/>
        </w:rPr>
        <w:t> ou o estabelecido no art. 22, da Lei nº 8.212</w:t>
      </w:r>
      <w:r w:rsidR="00094E5D" w:rsidRPr="00271BE3">
        <w:rPr>
          <w:rFonts w:ascii="Times New Roman" w:eastAsia="Times New Roman" w:hAnsi="Times New Roman" w:cs="Times New Roman"/>
          <w:color w:val="000000"/>
          <w:sz w:val="24"/>
          <w:szCs w:val="24"/>
          <w:lang w:eastAsia="pt-BR"/>
        </w:rPr>
        <w:t>, de 19</w:t>
      </w:r>
      <w:r w:rsidRPr="00271BE3">
        <w:rPr>
          <w:rFonts w:ascii="Times New Roman" w:eastAsia="Times New Roman" w:hAnsi="Times New Roman" w:cs="Times New Roman"/>
          <w:color w:val="000000"/>
          <w:sz w:val="24"/>
          <w:szCs w:val="24"/>
          <w:lang w:eastAsia="pt-BR"/>
        </w:rPr>
        <w:t>91.</w:t>
      </w:r>
    </w:p>
    <w:p w14:paraId="078D70A8" w14:textId="747B4867" w:rsidR="000F224A" w:rsidRDefault="004423CE" w:rsidP="000F224A">
      <w:pPr>
        <w:spacing w:after="0" w:line="240" w:lineRule="auto"/>
        <w:ind w:firstLine="1418"/>
        <w:jc w:val="both"/>
        <w:rPr>
          <w:rFonts w:ascii="Times New Roman" w:eastAsia="Times New Roman" w:hAnsi="Times New Roman" w:cs="Times New Roman"/>
          <w:sz w:val="24"/>
          <w:szCs w:val="24"/>
          <w:lang w:eastAsia="pt-BR"/>
        </w:rPr>
      </w:pPr>
      <w:r w:rsidRPr="00271BE3">
        <w:rPr>
          <w:rFonts w:ascii="Times New Roman" w:eastAsia="Times New Roman" w:hAnsi="Times New Roman" w:cs="Times New Roman"/>
          <w:sz w:val="24"/>
          <w:szCs w:val="24"/>
          <w:lang w:eastAsia="pt-BR"/>
        </w:rPr>
        <w:t> </w:t>
      </w:r>
    </w:p>
    <w:p w14:paraId="2CB6195F" w14:textId="0E506804" w:rsidR="004423CE" w:rsidRPr="00271BE3" w:rsidRDefault="004423CE" w:rsidP="00952A35">
      <w:pPr>
        <w:spacing w:after="0" w:line="240" w:lineRule="auto"/>
        <w:jc w:val="both"/>
        <w:rPr>
          <w:rFonts w:ascii="Times New Roman" w:eastAsia="Times New Roman" w:hAnsi="Times New Roman" w:cs="Times New Roman"/>
          <w:sz w:val="24"/>
          <w:szCs w:val="24"/>
          <w:lang w:eastAsia="pt-BR"/>
        </w:rPr>
      </w:pPr>
      <w:r w:rsidRPr="00271BE3">
        <w:rPr>
          <w:rFonts w:ascii="Times New Roman" w:eastAsia="Times New Roman" w:hAnsi="Times New Roman" w:cs="Times New Roman"/>
          <w:sz w:val="24"/>
          <w:szCs w:val="24"/>
          <w:lang w:eastAsia="pt-BR"/>
        </w:rPr>
        <w:t>Portanto, para que a Administração elabore seu orçamento de referência, deverá avaliar o regime tributário que lhe for mais vantajoso. Para tanto, </w:t>
      </w:r>
      <w:r w:rsidRPr="00271BE3">
        <w:rPr>
          <w:rFonts w:ascii="Times New Roman" w:eastAsia="Times New Roman" w:hAnsi="Times New Roman" w:cs="Times New Roman"/>
          <w:sz w:val="24"/>
          <w:szCs w:val="24"/>
          <w:u w:val="single"/>
          <w:lang w:eastAsia="pt-BR"/>
        </w:rPr>
        <w:t>recomenda-se</w:t>
      </w:r>
      <w:r w:rsidRPr="00271BE3">
        <w:rPr>
          <w:rFonts w:ascii="Times New Roman" w:eastAsia="Times New Roman" w:hAnsi="Times New Roman" w:cs="Times New Roman"/>
          <w:sz w:val="24"/>
          <w:szCs w:val="24"/>
          <w:lang w:eastAsia="pt-BR"/>
        </w:rPr>
        <w:t> a simulação das duas condições possíveis de recolhimento da contribuição previdenciária pelas empresas, elaborando duas planilhas, a fim de constatar qual será o mais vantajoso.</w:t>
      </w:r>
    </w:p>
    <w:p w14:paraId="60F81B77"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294288C9"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O menor valor global obtido a partir dos orçamentos elaborados deverá ser utilizado como referência para a licitação das obras e serviços, cabendo à Administração dar ampla publicidade a respeito do regime de tributação adotado para a elaboração dos orçamentos no termo de referência ou projeto básico e no edital da licitação.</w:t>
      </w:r>
    </w:p>
    <w:p w14:paraId="788657B7"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4DFF95F" w14:textId="2C093351" w:rsidR="004423CE" w:rsidRPr="00271BE3" w:rsidRDefault="781A8CA1"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Da exigência de Anotação de Responsabilidade Técnica - ART</w:t>
      </w:r>
      <w:r w:rsidR="7F571377" w:rsidRPr="00271BE3">
        <w:rPr>
          <w:rFonts w:ascii="Times New Roman" w:eastAsia="Times New Roman" w:hAnsi="Times New Roman" w:cs="Times New Roman"/>
          <w:b/>
          <w:bCs/>
          <w:color w:val="000000" w:themeColor="text1"/>
          <w:sz w:val="24"/>
          <w:szCs w:val="24"/>
          <w:lang w:eastAsia="pt-BR"/>
        </w:rPr>
        <w:t xml:space="preserve">, </w:t>
      </w:r>
      <w:r w:rsidRPr="00271BE3">
        <w:rPr>
          <w:rFonts w:ascii="Times New Roman" w:eastAsia="Times New Roman" w:hAnsi="Times New Roman" w:cs="Times New Roman"/>
          <w:b/>
          <w:bCs/>
          <w:color w:val="000000" w:themeColor="text1"/>
          <w:sz w:val="24"/>
          <w:szCs w:val="24"/>
          <w:lang w:eastAsia="pt-BR"/>
        </w:rPr>
        <w:t>Registro de Responsabilidade Técnica - RRT</w:t>
      </w:r>
      <w:r w:rsidR="43BE82D5" w:rsidRPr="00271BE3">
        <w:rPr>
          <w:rFonts w:ascii="Times New Roman" w:eastAsia="Times New Roman" w:hAnsi="Times New Roman" w:cs="Times New Roman"/>
          <w:b/>
          <w:bCs/>
          <w:color w:val="000000" w:themeColor="text1"/>
          <w:sz w:val="24"/>
          <w:szCs w:val="24"/>
          <w:lang w:eastAsia="pt-BR"/>
        </w:rPr>
        <w:t xml:space="preserve"> ou Termo de Responsabilidade Técnica - TRT</w:t>
      </w:r>
    </w:p>
    <w:p w14:paraId="2F6E8EF3"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3F6EC729" w14:textId="1AF0B8CA"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lastRenderedPageBreak/>
        <w:t>Nos termos do art. 10 do Decreto n° 7.983</w:t>
      </w:r>
      <w:r w:rsidR="009D63C4" w:rsidRPr="00271BE3">
        <w:rPr>
          <w:rFonts w:ascii="Times New Roman" w:eastAsia="Times New Roman" w:hAnsi="Times New Roman" w:cs="Times New Roman"/>
          <w:color w:val="000000"/>
          <w:sz w:val="24"/>
          <w:szCs w:val="24"/>
          <w:lang w:eastAsia="pt-BR"/>
        </w:rPr>
        <w:t xml:space="preserve">, de </w:t>
      </w:r>
      <w:r w:rsidRPr="00271BE3">
        <w:rPr>
          <w:rFonts w:ascii="Times New Roman" w:eastAsia="Times New Roman" w:hAnsi="Times New Roman" w:cs="Times New Roman"/>
          <w:color w:val="000000"/>
          <w:sz w:val="24"/>
          <w:szCs w:val="24"/>
          <w:lang w:eastAsia="pt-BR"/>
        </w:rPr>
        <w:t>2013, a anotação de responsabilidade técnica pelas planilhas orçamentárias deverá constar do projeto que integrar o edital de licitação, inclusive de suas eventuais alterações.</w:t>
      </w:r>
    </w:p>
    <w:p w14:paraId="17DB434B"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D202981" w14:textId="2C38C0D7" w:rsidR="000F224A" w:rsidRDefault="315FFD9F" w:rsidP="008A6DA8">
      <w:pPr>
        <w:spacing w:after="0" w:line="240" w:lineRule="auto"/>
        <w:jc w:val="both"/>
        <w:rPr>
          <w:rFonts w:ascii="Times New Roman" w:eastAsia="Times New Roman" w:hAnsi="Times New Roman" w:cs="Times New Roman"/>
          <w:i/>
          <w:iCs/>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De acordo com a Súmula TCU n° 260, </w:t>
      </w:r>
      <w:r w:rsidRPr="00271BE3">
        <w:rPr>
          <w:rFonts w:ascii="Times New Roman" w:eastAsia="Times New Roman" w:hAnsi="Times New Roman" w:cs="Times New Roman"/>
          <w:i/>
          <w:iCs/>
          <w:color w:val="000000" w:themeColor="text1"/>
          <w:sz w:val="24"/>
          <w:szCs w:val="24"/>
          <w:lang w:eastAsia="pt-BR"/>
        </w:rPr>
        <w:t>“é dever do gestor exigir apresentação de Anotação de Responsabilidade Técnica - ART referente a projeto, execução, supervisão e fiscalização de obras e serviços de engenharia, com indicação do responsável pela elaboração de plantas, orçamento-base, especificações técnicas, composições de custos unitários, cronograma físico-financeiro e outras peças técnicas”.</w:t>
      </w:r>
    </w:p>
    <w:p w14:paraId="184AC61C" w14:textId="77777777" w:rsidR="008A6DA8" w:rsidRPr="008A6DA8" w:rsidRDefault="008A6DA8" w:rsidP="008A6DA8">
      <w:pPr>
        <w:spacing w:after="0" w:line="240" w:lineRule="auto"/>
        <w:jc w:val="both"/>
        <w:rPr>
          <w:rFonts w:ascii="Times New Roman" w:eastAsia="Times New Roman" w:hAnsi="Times New Roman" w:cs="Times New Roman"/>
          <w:i/>
          <w:iCs/>
          <w:color w:val="000000"/>
          <w:sz w:val="24"/>
          <w:szCs w:val="24"/>
          <w:lang w:eastAsia="pt-BR"/>
        </w:rPr>
      </w:pPr>
    </w:p>
    <w:p w14:paraId="250B16DE" w14:textId="38959273" w:rsidR="4A35D3A9" w:rsidRPr="00271BE3" w:rsidRDefault="4A35D3A9" w:rsidP="00952A35">
      <w:pPr>
        <w:spacing w:after="0" w:line="240" w:lineRule="auto"/>
        <w:jc w:val="both"/>
        <w:rPr>
          <w:rFonts w:ascii="Times New Roman" w:eastAsia="Calibri" w:hAnsi="Times New Roman" w:cs="Times New Roman"/>
          <w:sz w:val="24"/>
          <w:szCs w:val="24"/>
        </w:rPr>
      </w:pPr>
      <w:r w:rsidRPr="00271BE3">
        <w:rPr>
          <w:rFonts w:ascii="Times New Roman" w:eastAsia="Times New Roman" w:hAnsi="Times New Roman" w:cs="Times New Roman"/>
          <w:color w:val="000000" w:themeColor="text1"/>
          <w:sz w:val="24"/>
          <w:szCs w:val="24"/>
          <w:lang w:eastAsia="pt-BR"/>
        </w:rPr>
        <w:t xml:space="preserve">Dessa forma, a elaboração das planilhas orçamentárias e demais peças técnicas </w:t>
      </w:r>
      <w:r w:rsidRPr="00271BE3">
        <w:rPr>
          <w:rFonts w:ascii="Times New Roman" w:eastAsia="Calibri" w:hAnsi="Times New Roman" w:cs="Times New Roman"/>
          <w:color w:val="000000" w:themeColor="text1"/>
          <w:sz w:val="24"/>
          <w:szCs w:val="24"/>
        </w:rPr>
        <w:t>relativ</w:t>
      </w:r>
      <w:r w:rsidR="18A58543" w:rsidRPr="00271BE3">
        <w:rPr>
          <w:rFonts w:ascii="Times New Roman" w:eastAsia="Calibri" w:hAnsi="Times New Roman" w:cs="Times New Roman"/>
          <w:color w:val="000000" w:themeColor="text1"/>
          <w:sz w:val="24"/>
          <w:szCs w:val="24"/>
        </w:rPr>
        <w:t>a</w:t>
      </w:r>
      <w:r w:rsidRPr="00271BE3">
        <w:rPr>
          <w:rFonts w:ascii="Times New Roman" w:eastAsia="Calibri" w:hAnsi="Times New Roman" w:cs="Times New Roman"/>
          <w:color w:val="000000" w:themeColor="text1"/>
          <w:sz w:val="24"/>
          <w:szCs w:val="24"/>
        </w:rPr>
        <w:t>s a serviço de engenharia, arquitetura ou de técnica industrial exige a emissão de ART, RRT ou TRT, conforme Resolução CONFEA nº 361</w:t>
      </w:r>
      <w:r w:rsidR="008A21F9" w:rsidRPr="00271BE3">
        <w:rPr>
          <w:rFonts w:ascii="Times New Roman" w:eastAsia="Calibri" w:hAnsi="Times New Roman" w:cs="Times New Roman"/>
          <w:color w:val="000000" w:themeColor="text1"/>
          <w:sz w:val="24"/>
          <w:szCs w:val="24"/>
        </w:rPr>
        <w:t>, de 19</w:t>
      </w:r>
      <w:r w:rsidRPr="00271BE3">
        <w:rPr>
          <w:rFonts w:ascii="Times New Roman" w:eastAsia="Calibri" w:hAnsi="Times New Roman" w:cs="Times New Roman"/>
          <w:color w:val="000000" w:themeColor="text1"/>
          <w:sz w:val="24"/>
          <w:szCs w:val="24"/>
        </w:rPr>
        <w:t>91, Resolução CAU nº 91</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14</w:t>
      </w:r>
      <w:r w:rsidR="00273122" w:rsidRPr="00271BE3">
        <w:rPr>
          <w:rFonts w:ascii="Times New Roman" w:eastAsia="Calibri" w:hAnsi="Times New Roman" w:cs="Times New Roman"/>
          <w:color w:val="000000" w:themeColor="text1"/>
          <w:sz w:val="24"/>
          <w:szCs w:val="24"/>
        </w:rPr>
        <w:t>,</w:t>
      </w:r>
      <w:r w:rsidRPr="00271BE3">
        <w:rPr>
          <w:rFonts w:ascii="Times New Roman" w:eastAsia="Calibri" w:hAnsi="Times New Roman" w:cs="Times New Roman"/>
          <w:color w:val="000000" w:themeColor="text1"/>
          <w:sz w:val="24"/>
          <w:szCs w:val="24"/>
        </w:rPr>
        <w:t xml:space="preserve"> e Resolução CFT nº 101</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 xml:space="preserve">20, respectivamente, independentemente de o profissional pertencer aos quadros da Administração Pública ou ser contratado por esta. </w:t>
      </w:r>
    </w:p>
    <w:p w14:paraId="22392FF1" w14:textId="0CB004DC" w:rsidR="3BB4FC71" w:rsidRPr="00271BE3" w:rsidRDefault="3BB4FC71" w:rsidP="00952A35">
      <w:pPr>
        <w:spacing w:after="0" w:line="240" w:lineRule="auto"/>
        <w:jc w:val="both"/>
        <w:rPr>
          <w:rFonts w:ascii="Times New Roman" w:eastAsia="Calibri" w:hAnsi="Times New Roman" w:cs="Times New Roman"/>
          <w:color w:val="000000" w:themeColor="text1"/>
          <w:sz w:val="24"/>
          <w:szCs w:val="24"/>
        </w:rPr>
      </w:pPr>
    </w:p>
    <w:p w14:paraId="1012D5A2" w14:textId="7D3130D7" w:rsidR="2E1AACCD" w:rsidRPr="00271BE3" w:rsidRDefault="2E1AACCD"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 xml:space="preserve">Embora o Decreto e a Súmula TCU nº 260 mencionem apenas a ART, entende-se </w:t>
      </w:r>
      <w:r w:rsidR="5DD42413" w:rsidRPr="00271BE3">
        <w:rPr>
          <w:rFonts w:ascii="Times New Roman" w:eastAsia="Calibri" w:hAnsi="Times New Roman" w:cs="Times New Roman"/>
          <w:color w:val="000000" w:themeColor="text1"/>
          <w:sz w:val="24"/>
          <w:szCs w:val="24"/>
        </w:rPr>
        <w:t xml:space="preserve">cabível </w:t>
      </w:r>
      <w:r w:rsidRPr="00271BE3">
        <w:rPr>
          <w:rFonts w:ascii="Times New Roman" w:eastAsia="Calibri" w:hAnsi="Times New Roman" w:cs="Times New Roman"/>
          <w:color w:val="000000" w:themeColor="text1"/>
          <w:sz w:val="24"/>
          <w:szCs w:val="24"/>
        </w:rPr>
        <w:t>a interpretação extensiva, nos termos do art. 6º, XXI, da Lei nº 14</w:t>
      </w:r>
      <w:r w:rsidR="0047734C" w:rsidRPr="00271BE3">
        <w:rPr>
          <w:rFonts w:ascii="Times New Roman" w:eastAsia="Calibri" w:hAnsi="Times New Roman" w:cs="Times New Roman"/>
          <w:color w:val="000000" w:themeColor="text1"/>
          <w:sz w:val="24"/>
          <w:szCs w:val="24"/>
        </w:rPr>
        <w:t>.</w:t>
      </w:r>
      <w:r w:rsidRPr="00271BE3">
        <w:rPr>
          <w:rFonts w:ascii="Times New Roman" w:eastAsia="Calibri" w:hAnsi="Times New Roman" w:cs="Times New Roman"/>
          <w:color w:val="000000" w:themeColor="text1"/>
          <w:sz w:val="24"/>
          <w:szCs w:val="24"/>
        </w:rPr>
        <w:t>133</w:t>
      </w:r>
      <w:r w:rsidR="00B47554" w:rsidRPr="00271BE3">
        <w:rPr>
          <w:rFonts w:ascii="Times New Roman" w:eastAsia="Calibri" w:hAnsi="Times New Roman" w:cs="Times New Roman"/>
          <w:color w:val="000000" w:themeColor="text1"/>
          <w:sz w:val="24"/>
          <w:szCs w:val="24"/>
        </w:rPr>
        <w:t xml:space="preserve">, de </w:t>
      </w:r>
      <w:r w:rsidRPr="00271BE3">
        <w:rPr>
          <w:rFonts w:ascii="Times New Roman" w:eastAsia="Calibri" w:hAnsi="Times New Roman" w:cs="Times New Roman"/>
          <w:color w:val="000000" w:themeColor="text1"/>
          <w:sz w:val="24"/>
          <w:szCs w:val="24"/>
        </w:rPr>
        <w:t xml:space="preserve">2021, para abarcar também o RRT e o TRT, conforme </w:t>
      </w:r>
      <w:r w:rsidR="5116E31F" w:rsidRPr="00271BE3">
        <w:rPr>
          <w:rFonts w:ascii="Times New Roman" w:eastAsia="Calibri" w:hAnsi="Times New Roman" w:cs="Times New Roman"/>
          <w:color w:val="000000" w:themeColor="text1"/>
          <w:sz w:val="24"/>
          <w:szCs w:val="24"/>
        </w:rPr>
        <w:t xml:space="preserve">os trabalhos </w:t>
      </w:r>
      <w:r w:rsidRPr="00271BE3">
        <w:rPr>
          <w:rFonts w:ascii="Times New Roman" w:eastAsia="Calibri" w:hAnsi="Times New Roman" w:cs="Times New Roman"/>
          <w:color w:val="000000" w:themeColor="text1"/>
          <w:sz w:val="24"/>
          <w:szCs w:val="24"/>
        </w:rPr>
        <w:t>forem elaborad</w:t>
      </w:r>
      <w:r w:rsidR="2B71817D" w:rsidRPr="00271BE3">
        <w:rPr>
          <w:rFonts w:ascii="Times New Roman" w:eastAsia="Calibri" w:hAnsi="Times New Roman" w:cs="Times New Roman"/>
          <w:color w:val="000000" w:themeColor="text1"/>
          <w:sz w:val="24"/>
          <w:szCs w:val="24"/>
        </w:rPr>
        <w:t>o</w:t>
      </w:r>
      <w:r w:rsidRPr="00271BE3">
        <w:rPr>
          <w:rFonts w:ascii="Times New Roman" w:eastAsia="Calibri" w:hAnsi="Times New Roman" w:cs="Times New Roman"/>
          <w:color w:val="000000" w:themeColor="text1"/>
          <w:sz w:val="24"/>
          <w:szCs w:val="24"/>
        </w:rPr>
        <w:t>s por arquiteto ou por técnico industrial.</w:t>
      </w:r>
    </w:p>
    <w:p w14:paraId="59664ACB" w14:textId="01B04304" w:rsidR="004423CE" w:rsidRPr="00271BE3" w:rsidRDefault="31329E69"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77B74226" w14:textId="77777777" w:rsidR="7FAD6A6E" w:rsidRPr="00271BE3" w:rsidRDefault="7FAD6A6E" w:rsidP="00952A35">
      <w:pPr>
        <w:spacing w:after="0" w:line="240" w:lineRule="auto"/>
        <w:jc w:val="both"/>
        <w:rPr>
          <w:rFonts w:ascii="Times New Roman" w:eastAsia="Times New Roman" w:hAnsi="Times New Roman" w:cs="Times New Roman"/>
          <w:color w:val="FF0000"/>
          <w:sz w:val="24"/>
          <w:szCs w:val="24"/>
          <w:lang w:eastAsia="pt-BR"/>
        </w:rPr>
      </w:pPr>
      <w:r w:rsidRPr="00271BE3">
        <w:rPr>
          <w:rFonts w:ascii="Times New Roman" w:eastAsia="Times New Roman" w:hAnsi="Times New Roman" w:cs="Times New Roman"/>
          <w:color w:val="FF0000"/>
          <w:sz w:val="24"/>
          <w:szCs w:val="24"/>
          <w:lang w:eastAsia="pt-BR"/>
        </w:rPr>
        <w:t>A matéria a respeito da constitucionalidade das taxas de polícias pela ART restou superada pelo STF no julgamento do Recurso Extraordinário 838.284, que declarou a constitucionalidade da cobrança de ART. Segundo o STF, "</w:t>
      </w:r>
      <w:r w:rsidRPr="00271BE3">
        <w:rPr>
          <w:rFonts w:ascii="Times New Roman" w:eastAsia="Times New Roman" w:hAnsi="Times New Roman" w:cs="Times New Roman"/>
          <w:i/>
          <w:iCs/>
          <w:color w:val="FF0000"/>
          <w:sz w:val="24"/>
          <w:szCs w:val="24"/>
          <w:lang w:eastAsia="pt-BR"/>
        </w:rPr>
        <w:t>não viola a legalidade tributária a lei que, prescrevendo o teto, possibilita o ato normativo infralegal fixar o valor de taxa em proporção razoável com os custos da atuação estatal, valor esse que não pode ser atualizado por ato do próprio conselho de fiscalização em percentual superior aos índices de correção monetária legalmente previstos</w:t>
      </w:r>
      <w:r w:rsidRPr="00271BE3">
        <w:rPr>
          <w:rFonts w:ascii="Times New Roman" w:eastAsia="Times New Roman" w:hAnsi="Times New Roman" w:cs="Times New Roman"/>
          <w:color w:val="FF0000"/>
          <w:sz w:val="24"/>
          <w:szCs w:val="24"/>
          <w:lang w:eastAsia="pt-BR"/>
        </w:rPr>
        <w:t>.".</w:t>
      </w:r>
    </w:p>
    <w:p w14:paraId="6B882B4F" w14:textId="77777777" w:rsidR="7FAD6A6E" w:rsidRPr="00271BE3" w:rsidRDefault="7FAD6A6E" w:rsidP="00952A35">
      <w:pPr>
        <w:spacing w:after="0" w:line="240" w:lineRule="auto"/>
        <w:ind w:firstLine="1418"/>
        <w:jc w:val="both"/>
        <w:rPr>
          <w:rFonts w:ascii="Times New Roman" w:eastAsia="Times New Roman" w:hAnsi="Times New Roman" w:cs="Times New Roman"/>
          <w:color w:val="FF0000"/>
          <w:sz w:val="24"/>
          <w:szCs w:val="24"/>
          <w:lang w:eastAsia="pt-BR"/>
        </w:rPr>
      </w:pPr>
      <w:r w:rsidRPr="00271BE3">
        <w:rPr>
          <w:rFonts w:ascii="Times New Roman" w:eastAsia="Times New Roman" w:hAnsi="Times New Roman" w:cs="Times New Roman"/>
          <w:color w:val="FF0000"/>
          <w:sz w:val="24"/>
          <w:szCs w:val="24"/>
          <w:lang w:eastAsia="pt-BR"/>
        </w:rPr>
        <w:t> </w:t>
      </w:r>
    </w:p>
    <w:p w14:paraId="0D1CC0C9" w14:textId="43EC04FF" w:rsidR="7FAD6A6E" w:rsidRPr="00271BE3" w:rsidRDefault="7FAD6A6E" w:rsidP="00952A35">
      <w:pPr>
        <w:spacing w:after="0" w:line="240" w:lineRule="auto"/>
        <w:jc w:val="both"/>
        <w:rPr>
          <w:rFonts w:ascii="Times New Roman" w:eastAsia="Times New Roman" w:hAnsi="Times New Roman" w:cs="Times New Roman"/>
          <w:color w:val="FF0000"/>
          <w:sz w:val="24"/>
          <w:szCs w:val="24"/>
          <w:lang w:eastAsia="pt-BR"/>
        </w:rPr>
      </w:pPr>
      <w:r w:rsidRPr="00271BE3">
        <w:rPr>
          <w:rFonts w:ascii="Times New Roman" w:eastAsia="Times New Roman" w:hAnsi="Times New Roman" w:cs="Times New Roman"/>
          <w:color w:val="FF0000"/>
          <w:sz w:val="24"/>
          <w:szCs w:val="24"/>
          <w:lang w:eastAsia="pt-BR"/>
        </w:rPr>
        <w:t>Conforme a Nota Interna n.</w:t>
      </w:r>
      <w:r w:rsidR="005D7D9D" w:rsidRPr="00271BE3">
        <w:rPr>
          <w:rFonts w:ascii="Times New Roman" w:eastAsia="Times New Roman" w:hAnsi="Times New Roman" w:cs="Times New Roman"/>
          <w:color w:val="FF0000"/>
          <w:sz w:val="24"/>
          <w:szCs w:val="24"/>
          <w:lang w:eastAsia="pt-BR"/>
        </w:rPr>
        <w:t>º</w:t>
      </w:r>
      <w:r w:rsidRPr="00271BE3">
        <w:rPr>
          <w:rFonts w:ascii="Times New Roman" w:eastAsia="Times New Roman" w:hAnsi="Times New Roman" w:cs="Times New Roman"/>
          <w:color w:val="FF0000"/>
          <w:sz w:val="24"/>
          <w:szCs w:val="24"/>
          <w:lang w:eastAsia="pt-BR"/>
        </w:rPr>
        <w:t xml:space="preserve"> 02</w:t>
      </w:r>
      <w:r w:rsidR="008A21F9" w:rsidRPr="00271BE3">
        <w:rPr>
          <w:rFonts w:ascii="Times New Roman" w:eastAsia="Times New Roman" w:hAnsi="Times New Roman" w:cs="Times New Roman"/>
          <w:color w:val="FF0000"/>
          <w:sz w:val="24"/>
          <w:szCs w:val="24"/>
          <w:lang w:eastAsia="pt-BR"/>
        </w:rPr>
        <w:t>, de 20</w:t>
      </w:r>
      <w:r w:rsidRPr="00271BE3">
        <w:rPr>
          <w:rFonts w:ascii="Times New Roman" w:eastAsia="Times New Roman" w:hAnsi="Times New Roman" w:cs="Times New Roman"/>
          <w:color w:val="FF0000"/>
          <w:sz w:val="24"/>
          <w:szCs w:val="24"/>
          <w:lang w:eastAsia="pt-BR"/>
        </w:rPr>
        <w:t>16/CPLC/DEPCONSU/PGF/AGU, o ente público produtor do trabalho técnico especializado é o sujeito passivo das taxas referentes à Anotação de Responsabilidade Técnica, decorrente do exercício do poder de polícia do CREA, e das taxas referentes ao Registro de Responsabilidade Técnica, em razão do exercício do poder de polícia do CAU.</w:t>
      </w:r>
    </w:p>
    <w:p w14:paraId="64CC905D" w14:textId="2D4E5F8A" w:rsidR="3BB4FC71" w:rsidRPr="00271BE3" w:rsidRDefault="3BB4FC71" w:rsidP="00952A35">
      <w:pPr>
        <w:spacing w:after="0" w:line="240" w:lineRule="auto"/>
        <w:jc w:val="both"/>
        <w:rPr>
          <w:rFonts w:ascii="Times New Roman" w:eastAsia="Times New Roman" w:hAnsi="Times New Roman" w:cs="Times New Roman"/>
          <w:color w:val="FF0000"/>
          <w:sz w:val="24"/>
          <w:szCs w:val="24"/>
          <w:lang w:eastAsia="pt-BR"/>
        </w:rPr>
      </w:pPr>
    </w:p>
    <w:p w14:paraId="424CE86A" w14:textId="390796EF" w:rsidR="7FAD6A6E" w:rsidRPr="00271BE3" w:rsidRDefault="451B6DA0" w:rsidP="00952A35">
      <w:pPr>
        <w:spacing w:after="0" w:line="240" w:lineRule="auto"/>
        <w:jc w:val="both"/>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color w:val="000000" w:themeColor="text1"/>
          <w:sz w:val="24"/>
          <w:szCs w:val="24"/>
          <w:highlight w:val="cyan"/>
          <w:lang w:eastAsia="pt-BR"/>
        </w:rPr>
        <w:t xml:space="preserve">No caso, verifica-se que foi juntada </w:t>
      </w:r>
      <w:r w:rsidRPr="00271BE3">
        <w:rPr>
          <w:rFonts w:ascii="Times New Roman" w:eastAsia="Times New Roman" w:hAnsi="Times New Roman" w:cs="Times New Roman"/>
          <w:color w:val="FF0000"/>
          <w:sz w:val="24"/>
          <w:szCs w:val="24"/>
          <w:highlight w:val="cyan"/>
          <w:lang w:eastAsia="pt-BR"/>
        </w:rPr>
        <w:t>ART/RRT/TRT</w:t>
      </w:r>
      <w:r w:rsidRPr="00271BE3">
        <w:rPr>
          <w:rFonts w:ascii="Times New Roman" w:eastAsia="Times New Roman" w:hAnsi="Times New Roman" w:cs="Times New Roman"/>
          <w:color w:val="000000" w:themeColor="text1"/>
          <w:sz w:val="24"/>
          <w:szCs w:val="24"/>
          <w:highlight w:val="cyan"/>
          <w:lang w:eastAsia="pt-BR"/>
        </w:rPr>
        <w:t xml:space="preserve">, conforme consta </w:t>
      </w:r>
      <w:r w:rsidRPr="00271BE3">
        <w:rPr>
          <w:rFonts w:ascii="Times New Roman" w:eastAsia="Times New Roman" w:hAnsi="Times New Roman" w:cs="Times New Roman"/>
          <w:color w:val="FF0000"/>
          <w:sz w:val="24"/>
          <w:szCs w:val="24"/>
          <w:highlight w:val="cyan"/>
          <w:lang w:eastAsia="pt-BR"/>
        </w:rPr>
        <w:t>às fls. XXX/ do doc. SEI XXX</w:t>
      </w:r>
      <w:r w:rsidRPr="00271BE3">
        <w:rPr>
          <w:rFonts w:ascii="Times New Roman" w:eastAsia="Times New Roman" w:hAnsi="Times New Roman" w:cs="Times New Roman"/>
          <w:color w:val="FF0000"/>
          <w:sz w:val="24"/>
          <w:szCs w:val="24"/>
          <w:lang w:eastAsia="pt-BR"/>
        </w:rPr>
        <w:t>.</w:t>
      </w:r>
    </w:p>
    <w:p w14:paraId="4E0ED3C3" w14:textId="77777777" w:rsidR="7FAD6A6E" w:rsidRPr="00271BE3" w:rsidRDefault="451B6DA0" w:rsidP="009617AB">
      <w:pPr>
        <w:spacing w:after="0" w:line="240" w:lineRule="auto"/>
        <w:ind w:firstLine="708"/>
        <w:jc w:val="both"/>
        <w:rPr>
          <w:rFonts w:ascii="Times New Roman" w:eastAsia="Times New Roman" w:hAnsi="Times New Roman" w:cs="Times New Roman"/>
          <w:color w:val="000000" w:themeColor="text1"/>
          <w:sz w:val="24"/>
          <w:szCs w:val="24"/>
          <w:highlight w:val="cyan"/>
          <w:lang w:eastAsia="pt-BR"/>
        </w:rPr>
      </w:pPr>
      <w:r w:rsidRPr="00271BE3">
        <w:rPr>
          <w:rFonts w:ascii="Times New Roman" w:eastAsia="Times New Roman" w:hAnsi="Times New Roman" w:cs="Times New Roman"/>
          <w:b/>
          <w:bCs/>
          <w:color w:val="000000" w:themeColor="text1"/>
          <w:sz w:val="24"/>
          <w:szCs w:val="24"/>
          <w:highlight w:val="cyan"/>
          <w:u w:val="single"/>
          <w:lang w:eastAsia="pt-BR"/>
        </w:rPr>
        <w:t>OU</w:t>
      </w:r>
    </w:p>
    <w:p w14:paraId="03C4B2A3" w14:textId="21339276" w:rsidR="7FAD6A6E" w:rsidRPr="00271BE3" w:rsidRDefault="451B6DA0" w:rsidP="00FA11AC">
      <w:pPr>
        <w:spacing w:after="0" w:line="240" w:lineRule="auto"/>
        <w:ind w:firstLine="708"/>
        <w:jc w:val="both"/>
        <w:rPr>
          <w:rFonts w:ascii="Times New Roman" w:eastAsia="Times New Roman" w:hAnsi="Times New Roman" w:cs="Times New Roman"/>
          <w:color w:val="000000" w:themeColor="text1"/>
          <w:sz w:val="24"/>
          <w:szCs w:val="24"/>
          <w:highlight w:val="cyan"/>
          <w:lang w:eastAsia="pt-BR"/>
        </w:rPr>
      </w:pPr>
      <w:r w:rsidRPr="594C5555">
        <w:rPr>
          <w:rFonts w:ascii="Times New Roman" w:eastAsia="Times New Roman" w:hAnsi="Times New Roman" w:cs="Times New Roman"/>
          <w:color w:val="000000" w:themeColor="text1"/>
          <w:sz w:val="24"/>
          <w:szCs w:val="24"/>
          <w:highlight w:val="cyan"/>
          <w:lang w:eastAsia="pt-BR"/>
        </w:rPr>
        <w:t xml:space="preserve">No caso, </w:t>
      </w:r>
      <w:r w:rsidRPr="594C5555">
        <w:rPr>
          <w:rFonts w:ascii="Times New Roman" w:eastAsia="Times New Roman" w:hAnsi="Times New Roman" w:cs="Times New Roman"/>
          <w:color w:val="000000" w:themeColor="text1"/>
          <w:sz w:val="24"/>
          <w:szCs w:val="24"/>
          <w:highlight w:val="cyan"/>
          <w:u w:val="single"/>
          <w:lang w:eastAsia="pt-BR"/>
        </w:rPr>
        <w:t xml:space="preserve">verifica-se que não foi juntada </w:t>
      </w:r>
      <w:r w:rsidRPr="594C5555">
        <w:rPr>
          <w:rFonts w:ascii="Times New Roman" w:eastAsia="Times New Roman" w:hAnsi="Times New Roman" w:cs="Times New Roman"/>
          <w:color w:val="FF0000"/>
          <w:sz w:val="24"/>
          <w:szCs w:val="24"/>
          <w:highlight w:val="cyan"/>
          <w:u w:val="single"/>
          <w:lang w:eastAsia="pt-BR"/>
        </w:rPr>
        <w:t>ART/RRT/TRT</w:t>
      </w:r>
      <w:r w:rsidRPr="594C5555">
        <w:rPr>
          <w:rFonts w:ascii="Times New Roman" w:eastAsia="Times New Roman" w:hAnsi="Times New Roman" w:cs="Times New Roman"/>
          <w:color w:val="000000" w:themeColor="text1"/>
          <w:sz w:val="24"/>
          <w:szCs w:val="24"/>
          <w:highlight w:val="cyan"/>
          <w:u w:val="single"/>
          <w:lang w:eastAsia="pt-BR"/>
        </w:rPr>
        <w:t>, razão pela qual deverá a Administração providenciar tais documentos antes da deflagração do certame</w:t>
      </w:r>
      <w:r w:rsidRPr="594C5555">
        <w:rPr>
          <w:rFonts w:ascii="Times New Roman" w:eastAsia="Times New Roman" w:hAnsi="Times New Roman" w:cs="Times New Roman"/>
          <w:color w:val="000000" w:themeColor="text1"/>
          <w:sz w:val="24"/>
          <w:szCs w:val="24"/>
          <w:highlight w:val="cyan"/>
          <w:lang w:eastAsia="pt-BR"/>
        </w:rPr>
        <w:t>.</w:t>
      </w:r>
    </w:p>
    <w:p w14:paraId="2D255F8D" w14:textId="7099E694" w:rsidR="3BB4FC71" w:rsidRPr="00271BE3" w:rsidRDefault="3BB4FC71" w:rsidP="00952A35">
      <w:pPr>
        <w:spacing w:after="0" w:line="240" w:lineRule="auto"/>
        <w:ind w:firstLine="1418"/>
        <w:jc w:val="both"/>
        <w:rPr>
          <w:rFonts w:ascii="Times New Roman" w:eastAsia="Times New Roman" w:hAnsi="Times New Roman" w:cs="Times New Roman"/>
          <w:b/>
          <w:bCs/>
          <w:color w:val="000000" w:themeColor="text1"/>
          <w:sz w:val="24"/>
          <w:szCs w:val="24"/>
          <w:lang w:eastAsia="pt-BR"/>
        </w:rPr>
      </w:pPr>
    </w:p>
    <w:p w14:paraId="44503931" w14:textId="286B1643" w:rsidR="004423CE" w:rsidRPr="00271BE3" w:rsidRDefault="6B97850B"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Designação formal do pregoeiro e da equipe de apoio</w:t>
      </w:r>
    </w:p>
    <w:p w14:paraId="54AEF8C6"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78A93F4" w14:textId="6119A340" w:rsidR="004423CE" w:rsidRPr="00271BE3" w:rsidRDefault="004423CE" w:rsidP="00952A35">
      <w:pPr>
        <w:spacing w:after="0" w:line="240" w:lineRule="auto"/>
        <w:jc w:val="both"/>
        <w:rPr>
          <w:rFonts w:ascii="Times New Roman" w:eastAsia="Times New Roman" w:hAnsi="Times New Roman" w:cs="Times New Roman"/>
          <w:color w:val="000000"/>
          <w:sz w:val="24"/>
          <w:szCs w:val="24"/>
          <w:highlight w:val="cyan"/>
          <w:lang w:eastAsia="pt-BR"/>
        </w:rPr>
      </w:pPr>
      <w:r w:rsidRPr="00271BE3">
        <w:rPr>
          <w:rFonts w:ascii="Times New Roman" w:eastAsia="Times New Roman" w:hAnsi="Times New Roman" w:cs="Times New Roman"/>
          <w:color w:val="000000"/>
          <w:sz w:val="24"/>
          <w:szCs w:val="24"/>
          <w:highlight w:val="cyan"/>
          <w:shd w:val="clear" w:color="auto" w:fill="00FFFF"/>
          <w:lang w:eastAsia="pt-BR"/>
        </w:rPr>
        <w:t>Houve a juntada,</w:t>
      </w:r>
      <w:r w:rsidRPr="00271BE3">
        <w:rPr>
          <w:rFonts w:ascii="Times New Roman" w:eastAsia="Times New Roman" w:hAnsi="Times New Roman" w:cs="Times New Roman"/>
          <w:color w:val="FF0000"/>
          <w:sz w:val="24"/>
          <w:szCs w:val="24"/>
          <w:highlight w:val="cyan"/>
          <w:shd w:val="clear" w:color="auto" w:fill="00FFFF"/>
          <w:lang w:eastAsia="pt-BR"/>
        </w:rPr>
        <w:t xml:space="preserve"> à fl. XXX/no doc. SEI XXX</w:t>
      </w:r>
      <w:r w:rsidRPr="00271BE3">
        <w:rPr>
          <w:rFonts w:ascii="Times New Roman" w:eastAsia="Times New Roman" w:hAnsi="Times New Roman" w:cs="Times New Roman"/>
          <w:color w:val="000000" w:themeColor="text1"/>
          <w:sz w:val="24"/>
          <w:szCs w:val="24"/>
          <w:highlight w:val="cyan"/>
          <w:shd w:val="clear" w:color="auto" w:fill="00FFFF"/>
          <w:lang w:eastAsia="pt-BR"/>
        </w:rPr>
        <w:t>,</w:t>
      </w:r>
      <w:r w:rsidRPr="00271BE3">
        <w:rPr>
          <w:rFonts w:ascii="Times New Roman" w:eastAsia="Times New Roman" w:hAnsi="Times New Roman" w:cs="Times New Roman"/>
          <w:color w:val="000000"/>
          <w:sz w:val="24"/>
          <w:szCs w:val="24"/>
          <w:highlight w:val="cyan"/>
          <w:shd w:val="clear" w:color="auto" w:fill="00FFFF"/>
          <w:lang w:eastAsia="pt-BR"/>
        </w:rPr>
        <w:t> de documento que comprova a designação do pregoeiro e da equipe de apoio (</w:t>
      </w:r>
      <w:r w:rsidR="774FFAB6" w:rsidRPr="00271BE3">
        <w:rPr>
          <w:rFonts w:ascii="Times New Roman" w:eastAsia="Calibri" w:hAnsi="Times New Roman" w:cs="Times New Roman"/>
          <w:color w:val="000000" w:themeColor="text1"/>
          <w:sz w:val="24"/>
          <w:szCs w:val="24"/>
          <w:highlight w:val="cyan"/>
        </w:rPr>
        <w:t>art. 8º, §§ 1º e 5º, da Lei nº 14.133</w:t>
      </w:r>
      <w:r w:rsidR="00A33223" w:rsidRPr="00271BE3">
        <w:rPr>
          <w:rFonts w:ascii="Times New Roman" w:eastAsia="Calibri" w:hAnsi="Times New Roman" w:cs="Times New Roman"/>
          <w:color w:val="000000" w:themeColor="text1"/>
          <w:sz w:val="24"/>
          <w:szCs w:val="24"/>
          <w:highlight w:val="cyan"/>
        </w:rPr>
        <w:t xml:space="preserve">, de </w:t>
      </w:r>
      <w:r w:rsidR="774FFAB6" w:rsidRPr="00271BE3">
        <w:rPr>
          <w:rFonts w:ascii="Times New Roman" w:eastAsia="Calibri" w:hAnsi="Times New Roman" w:cs="Times New Roman"/>
          <w:color w:val="000000" w:themeColor="text1"/>
          <w:sz w:val="24"/>
          <w:szCs w:val="24"/>
          <w:highlight w:val="cyan"/>
        </w:rPr>
        <w:t xml:space="preserve">2021 e </w:t>
      </w:r>
      <w:r w:rsidR="00B47554" w:rsidRPr="00271BE3">
        <w:rPr>
          <w:rFonts w:ascii="Times New Roman" w:eastAsia="Calibri" w:hAnsi="Times New Roman" w:cs="Times New Roman"/>
          <w:sz w:val="24"/>
          <w:szCs w:val="24"/>
          <w:highlight w:val="cyan"/>
        </w:rPr>
        <w:t>Decreto n</w:t>
      </w:r>
      <w:r w:rsidR="774FFAB6" w:rsidRPr="00271BE3">
        <w:rPr>
          <w:rFonts w:ascii="Times New Roman" w:eastAsia="Calibri" w:hAnsi="Times New Roman" w:cs="Times New Roman"/>
          <w:sz w:val="24"/>
          <w:szCs w:val="24"/>
          <w:highlight w:val="cyan"/>
        </w:rPr>
        <w:t xml:space="preserve">º 11.246, </w:t>
      </w:r>
      <w:r w:rsidR="00B47554" w:rsidRPr="00271BE3">
        <w:rPr>
          <w:rFonts w:ascii="Times New Roman" w:eastAsia="Calibri" w:hAnsi="Times New Roman" w:cs="Times New Roman"/>
          <w:sz w:val="24"/>
          <w:szCs w:val="24"/>
          <w:highlight w:val="cyan"/>
        </w:rPr>
        <w:t xml:space="preserve">de </w:t>
      </w:r>
      <w:r w:rsidR="774FFAB6" w:rsidRPr="00271BE3">
        <w:rPr>
          <w:rFonts w:ascii="Times New Roman" w:eastAsia="Calibri" w:hAnsi="Times New Roman" w:cs="Times New Roman"/>
          <w:sz w:val="24"/>
          <w:szCs w:val="24"/>
          <w:highlight w:val="cyan"/>
        </w:rPr>
        <w:t>2022</w:t>
      </w:r>
      <w:r w:rsidRPr="00271BE3">
        <w:rPr>
          <w:rFonts w:ascii="Times New Roman" w:eastAsia="Times New Roman" w:hAnsi="Times New Roman" w:cs="Times New Roman"/>
          <w:color w:val="000000"/>
          <w:sz w:val="24"/>
          <w:szCs w:val="24"/>
          <w:highlight w:val="cyan"/>
          <w:shd w:val="clear" w:color="auto" w:fill="00FFFF"/>
          <w:lang w:eastAsia="pt-BR"/>
        </w:rPr>
        <w:t>), estando o feito regularmente instruído quanto ao ponto.</w:t>
      </w:r>
    </w:p>
    <w:p w14:paraId="7A5AD12D" w14:textId="77777777" w:rsidR="004423CE" w:rsidRPr="00271BE3" w:rsidRDefault="004423CE" w:rsidP="009617AB">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271BE3">
        <w:rPr>
          <w:rFonts w:ascii="Times New Roman" w:eastAsia="Times New Roman" w:hAnsi="Times New Roman" w:cs="Times New Roman"/>
          <w:b/>
          <w:bCs/>
          <w:color w:val="000000"/>
          <w:sz w:val="24"/>
          <w:szCs w:val="24"/>
          <w:highlight w:val="cyan"/>
          <w:u w:val="single"/>
          <w:shd w:val="clear" w:color="auto" w:fill="00FFFF"/>
          <w:lang w:eastAsia="pt-BR"/>
        </w:rPr>
        <w:t>OU</w:t>
      </w:r>
    </w:p>
    <w:p w14:paraId="0917ADE0" w14:textId="05240E07" w:rsidR="004423CE" w:rsidRPr="00271BE3" w:rsidRDefault="004423CE" w:rsidP="00FA11AC">
      <w:pPr>
        <w:spacing w:after="0" w:line="240" w:lineRule="auto"/>
        <w:ind w:firstLine="70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highlight w:val="cyan"/>
          <w:shd w:val="clear" w:color="auto" w:fill="00FFFF"/>
          <w:lang w:eastAsia="pt-BR"/>
        </w:rPr>
        <w:lastRenderedPageBreak/>
        <w:t>A exigência de designação do pregoeiro e sua equipe de apoio não foi cumprida (</w:t>
      </w:r>
      <w:r w:rsidR="09FF8BC1" w:rsidRPr="00271BE3">
        <w:rPr>
          <w:rFonts w:ascii="Times New Roman" w:eastAsia="Calibri" w:hAnsi="Times New Roman" w:cs="Times New Roman"/>
          <w:color w:val="000000" w:themeColor="text1"/>
          <w:sz w:val="24"/>
          <w:szCs w:val="24"/>
          <w:highlight w:val="cyan"/>
        </w:rPr>
        <w:t>art. 8º, §§ 1º e 5º, da Lei nº 14.133</w:t>
      </w:r>
      <w:r w:rsidR="00A33223" w:rsidRPr="00271BE3">
        <w:rPr>
          <w:rFonts w:ascii="Times New Roman" w:eastAsia="Calibri" w:hAnsi="Times New Roman" w:cs="Times New Roman"/>
          <w:color w:val="000000" w:themeColor="text1"/>
          <w:sz w:val="24"/>
          <w:szCs w:val="24"/>
          <w:highlight w:val="cyan"/>
        </w:rPr>
        <w:t xml:space="preserve">, de </w:t>
      </w:r>
      <w:r w:rsidR="09FF8BC1" w:rsidRPr="00271BE3">
        <w:rPr>
          <w:rFonts w:ascii="Times New Roman" w:eastAsia="Calibri" w:hAnsi="Times New Roman" w:cs="Times New Roman"/>
          <w:color w:val="000000" w:themeColor="text1"/>
          <w:sz w:val="24"/>
          <w:szCs w:val="24"/>
          <w:highlight w:val="cyan"/>
        </w:rPr>
        <w:t xml:space="preserve">2021 e </w:t>
      </w:r>
      <w:r w:rsidR="00B47554" w:rsidRPr="00271BE3">
        <w:rPr>
          <w:rFonts w:ascii="Times New Roman" w:eastAsia="Calibri" w:hAnsi="Times New Roman" w:cs="Times New Roman"/>
          <w:sz w:val="24"/>
          <w:szCs w:val="24"/>
          <w:highlight w:val="cyan"/>
        </w:rPr>
        <w:t>Decreto n</w:t>
      </w:r>
      <w:r w:rsidR="09FF8BC1" w:rsidRPr="00271BE3">
        <w:rPr>
          <w:rFonts w:ascii="Times New Roman" w:eastAsia="Calibri" w:hAnsi="Times New Roman" w:cs="Times New Roman"/>
          <w:sz w:val="24"/>
          <w:szCs w:val="24"/>
          <w:highlight w:val="cyan"/>
        </w:rPr>
        <w:t xml:space="preserve">º 11.246, </w:t>
      </w:r>
      <w:r w:rsidR="00B47554" w:rsidRPr="00271BE3">
        <w:rPr>
          <w:rFonts w:ascii="Times New Roman" w:eastAsia="Calibri" w:hAnsi="Times New Roman" w:cs="Times New Roman"/>
          <w:sz w:val="24"/>
          <w:szCs w:val="24"/>
          <w:highlight w:val="cyan"/>
        </w:rPr>
        <w:t>de</w:t>
      </w:r>
      <w:r w:rsidR="09FF8BC1" w:rsidRPr="00271BE3">
        <w:rPr>
          <w:rFonts w:ascii="Times New Roman" w:eastAsia="Calibri" w:hAnsi="Times New Roman" w:cs="Times New Roman"/>
          <w:sz w:val="24"/>
          <w:szCs w:val="24"/>
          <w:highlight w:val="cyan"/>
        </w:rPr>
        <w:t xml:space="preserve"> 2022</w:t>
      </w:r>
      <w:r w:rsidRPr="00271BE3">
        <w:rPr>
          <w:rFonts w:ascii="Times New Roman" w:eastAsia="Times New Roman" w:hAnsi="Times New Roman" w:cs="Times New Roman"/>
          <w:color w:val="000000"/>
          <w:sz w:val="24"/>
          <w:szCs w:val="24"/>
          <w:highlight w:val="cyan"/>
          <w:shd w:val="clear" w:color="auto" w:fill="00FFFF"/>
          <w:lang w:eastAsia="pt-BR"/>
        </w:rPr>
        <w:t>), razão pela qual se recomenda a correção do vício.</w:t>
      </w:r>
    </w:p>
    <w:p w14:paraId="34959F7F" w14:textId="46B6B170" w:rsidR="000F224A" w:rsidRPr="000F224A" w:rsidRDefault="004423CE" w:rsidP="000F224A">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0CD0E9F0" w14:textId="35E53100" w:rsidR="004423CE" w:rsidRPr="00271BE3" w:rsidRDefault="79B9EDE3"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Participação de Microempresas e</w:t>
      </w:r>
      <w:r w:rsidRPr="00271BE3">
        <w:rPr>
          <w:rFonts w:ascii="Times New Roman" w:eastAsia="Times New Roman" w:hAnsi="Times New Roman" w:cs="Times New Roman"/>
          <w:color w:val="000000" w:themeColor="text1"/>
          <w:sz w:val="24"/>
          <w:szCs w:val="24"/>
          <w:lang w:eastAsia="pt-BR"/>
        </w:rPr>
        <w:t> </w:t>
      </w:r>
      <w:r w:rsidRPr="00271BE3">
        <w:rPr>
          <w:rFonts w:ascii="Times New Roman" w:eastAsia="Times New Roman" w:hAnsi="Times New Roman" w:cs="Times New Roman"/>
          <w:b/>
          <w:bCs/>
          <w:color w:val="000000" w:themeColor="text1"/>
          <w:sz w:val="24"/>
          <w:szCs w:val="24"/>
          <w:lang w:eastAsia="pt-BR"/>
        </w:rPr>
        <w:t>Empresas de Pequeno Porte</w:t>
      </w:r>
    </w:p>
    <w:p w14:paraId="45AB4792"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6E58C65"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O Decreto nº 8.538, de 2015, prevê tratamento favorecido, diferenciado e simplificado para as microempresas e empresas de pequeno porte nas contratações públicas de bens, serviços e obras.</w:t>
      </w:r>
    </w:p>
    <w:p w14:paraId="3F47EF29"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45AEC406" w14:textId="2D8DCC65"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O art. 6º do referido decreto estabelece que, nos itens ou lotes de licitação cujo valor esteja abaixo de R$ 80.000,00 (oitenta mil reais), a participação no processo licitatório deve ser exclusivamente destinada às microempresas e empresas de pequeno porte. A Orientação Normativa AGU nº 10</w:t>
      </w:r>
      <w:r w:rsidR="008A21F9" w:rsidRPr="00271BE3">
        <w:rPr>
          <w:rFonts w:ascii="Times New Roman" w:eastAsia="Times New Roman" w:hAnsi="Times New Roman" w:cs="Times New Roman"/>
          <w:color w:val="000000"/>
          <w:sz w:val="24"/>
          <w:szCs w:val="24"/>
          <w:lang w:eastAsia="pt-BR"/>
        </w:rPr>
        <w:t>, de 20</w:t>
      </w:r>
      <w:r w:rsidRPr="00271BE3">
        <w:rPr>
          <w:rFonts w:ascii="Times New Roman" w:eastAsia="Times New Roman" w:hAnsi="Times New Roman" w:cs="Times New Roman"/>
          <w:color w:val="000000"/>
          <w:sz w:val="24"/>
          <w:szCs w:val="24"/>
          <w:lang w:eastAsia="pt-BR"/>
        </w:rPr>
        <w:t xml:space="preserve">09, por sua vez, pacifica a forma de aferição do valor de R$ 80.000,00 </w:t>
      </w:r>
      <w:r w:rsidR="00134366" w:rsidRPr="00271BE3">
        <w:rPr>
          <w:rFonts w:ascii="Times New Roman" w:eastAsia="Times New Roman" w:hAnsi="Times New Roman" w:cs="Times New Roman"/>
          <w:color w:val="000000"/>
          <w:sz w:val="24"/>
          <w:szCs w:val="24"/>
          <w:lang w:eastAsia="pt-BR"/>
        </w:rPr>
        <w:t xml:space="preserve">(oitenta mil reais), </w:t>
      </w:r>
      <w:r w:rsidRPr="00271BE3">
        <w:rPr>
          <w:rFonts w:ascii="Times New Roman" w:eastAsia="Times New Roman" w:hAnsi="Times New Roman" w:cs="Times New Roman"/>
          <w:color w:val="000000"/>
          <w:sz w:val="24"/>
          <w:szCs w:val="24"/>
          <w:lang w:eastAsia="pt-BR"/>
        </w:rPr>
        <w:t>como sendo a referente ao período de um ano da contratação.</w:t>
      </w:r>
    </w:p>
    <w:p w14:paraId="5CA2E2A2"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6FDD537D" w14:textId="2DF39B46"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Adicionalmente, vale lembrar que, de acordo com a Orientação Normativa AGU n.</w:t>
      </w:r>
      <w:r w:rsidR="00134366" w:rsidRPr="00271BE3">
        <w:rPr>
          <w:rFonts w:ascii="Times New Roman" w:eastAsia="Times New Roman" w:hAnsi="Times New Roman" w:cs="Times New Roman"/>
          <w:color w:val="000000"/>
          <w:sz w:val="24"/>
          <w:szCs w:val="24"/>
          <w:lang w:eastAsia="pt-BR"/>
        </w:rPr>
        <w:t xml:space="preserve">º </w:t>
      </w:r>
      <w:r w:rsidRPr="00271BE3">
        <w:rPr>
          <w:rFonts w:ascii="Times New Roman" w:eastAsia="Times New Roman" w:hAnsi="Times New Roman" w:cs="Times New Roman"/>
          <w:color w:val="000000"/>
          <w:sz w:val="24"/>
          <w:szCs w:val="24"/>
          <w:lang w:eastAsia="pt-BR"/>
        </w:rPr>
        <w:t xml:space="preserve"> 47</w:t>
      </w:r>
      <w:r w:rsidR="008A21F9" w:rsidRPr="00271BE3">
        <w:rPr>
          <w:rFonts w:ascii="Times New Roman" w:eastAsia="Times New Roman" w:hAnsi="Times New Roman" w:cs="Times New Roman"/>
          <w:color w:val="000000"/>
          <w:sz w:val="24"/>
          <w:szCs w:val="24"/>
          <w:lang w:eastAsia="pt-BR"/>
        </w:rPr>
        <w:t>, de 20</w:t>
      </w:r>
      <w:r w:rsidRPr="00271BE3">
        <w:rPr>
          <w:rFonts w:ascii="Times New Roman" w:eastAsia="Times New Roman" w:hAnsi="Times New Roman" w:cs="Times New Roman"/>
          <w:color w:val="000000"/>
          <w:sz w:val="24"/>
          <w:szCs w:val="24"/>
          <w:lang w:eastAsia="pt-BR"/>
        </w:rPr>
        <w:t>14, é obrigatória a participação exclusiva de ME e EPP na licitação quando os itens ou lotes/grupos tiverem valor igual ou inferior a R$ 80.000,00</w:t>
      </w:r>
      <w:r w:rsidR="00134366" w:rsidRPr="00271BE3">
        <w:rPr>
          <w:rFonts w:ascii="Times New Roman" w:eastAsia="Times New Roman" w:hAnsi="Times New Roman" w:cs="Times New Roman"/>
          <w:color w:val="000000"/>
          <w:sz w:val="24"/>
          <w:szCs w:val="24"/>
          <w:lang w:eastAsia="pt-BR"/>
        </w:rPr>
        <w:t xml:space="preserve"> (oitenta mil reais).</w:t>
      </w:r>
    </w:p>
    <w:p w14:paraId="18D8DF2B"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2F638BB"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Há, ainda, previsão facultativa de estabelecimento, nos instrumentos convocatórios:</w:t>
      </w:r>
    </w:p>
    <w:p w14:paraId="51DA9A5C" w14:textId="77777777" w:rsidR="005846EF" w:rsidRPr="00271BE3" w:rsidRDefault="005846EF" w:rsidP="00952A35">
      <w:pPr>
        <w:spacing w:after="0" w:line="240" w:lineRule="auto"/>
        <w:jc w:val="both"/>
        <w:rPr>
          <w:rFonts w:ascii="Times New Roman" w:eastAsia="Times New Roman" w:hAnsi="Times New Roman" w:cs="Times New Roman"/>
          <w:color w:val="000000"/>
          <w:sz w:val="24"/>
          <w:szCs w:val="24"/>
          <w:lang w:eastAsia="pt-BR"/>
        </w:rPr>
      </w:pPr>
    </w:p>
    <w:p w14:paraId="24F8F3CA" w14:textId="77777777" w:rsidR="00FC4A4C" w:rsidRPr="0089470E" w:rsidRDefault="004423CE" w:rsidP="009617AB">
      <w:pPr>
        <w:pStyle w:val="PargrafodaLista"/>
        <w:numPr>
          <w:ilvl w:val="0"/>
          <w:numId w:val="22"/>
        </w:numPr>
        <w:tabs>
          <w:tab w:val="left" w:pos="2552"/>
        </w:tabs>
        <w:spacing w:after="0" w:line="240" w:lineRule="auto"/>
        <w:ind w:left="2268" w:firstLine="0"/>
        <w:jc w:val="both"/>
        <w:rPr>
          <w:rFonts w:ascii="Times New Roman" w:eastAsia="Times New Roman" w:hAnsi="Times New Roman" w:cs="Times New Roman"/>
          <w:i/>
          <w:iCs/>
          <w:color w:val="000000"/>
          <w:sz w:val="20"/>
          <w:szCs w:val="20"/>
          <w:lang w:eastAsia="pt-BR"/>
        </w:rPr>
      </w:pPr>
      <w:r w:rsidRPr="0089470E">
        <w:rPr>
          <w:rFonts w:ascii="Times New Roman" w:eastAsia="Times New Roman" w:hAnsi="Times New Roman" w:cs="Times New Roman"/>
          <w:i/>
          <w:iCs/>
          <w:color w:val="000000"/>
          <w:sz w:val="20"/>
          <w:szCs w:val="20"/>
          <w:lang w:eastAsia="pt-BR"/>
        </w:rPr>
        <w:t>de exigência de subcontratação de microempresas ou empresas de pequeno porte nos termos do art. 7º do Decreto nº 8.538, de 2015;</w:t>
      </w:r>
    </w:p>
    <w:p w14:paraId="3D6B513B" w14:textId="37F09E62" w:rsidR="004423CE" w:rsidRPr="0089470E" w:rsidRDefault="004423CE" w:rsidP="009617AB">
      <w:pPr>
        <w:pStyle w:val="PargrafodaLista"/>
        <w:numPr>
          <w:ilvl w:val="0"/>
          <w:numId w:val="22"/>
        </w:numPr>
        <w:tabs>
          <w:tab w:val="left" w:pos="2552"/>
        </w:tabs>
        <w:spacing w:after="0" w:line="240" w:lineRule="auto"/>
        <w:ind w:left="2268" w:firstLine="0"/>
        <w:jc w:val="both"/>
        <w:rPr>
          <w:rFonts w:ascii="Times New Roman" w:eastAsia="Times New Roman" w:hAnsi="Times New Roman" w:cs="Times New Roman"/>
          <w:i/>
          <w:iCs/>
          <w:color w:val="000000"/>
          <w:sz w:val="20"/>
          <w:szCs w:val="20"/>
          <w:lang w:eastAsia="pt-BR"/>
        </w:rPr>
      </w:pPr>
      <w:r w:rsidRPr="0089470E">
        <w:rPr>
          <w:rFonts w:ascii="Times New Roman" w:eastAsia="Times New Roman" w:hAnsi="Times New Roman" w:cs="Times New Roman"/>
          <w:i/>
          <w:iCs/>
          <w:color w:val="000000"/>
          <w:sz w:val="20"/>
          <w:szCs w:val="20"/>
          <w:lang w:eastAsia="pt-BR"/>
        </w:rPr>
        <w:t xml:space="preserve"> de prioridade de contratação de microempresas e empresas de pequeno porte sediadas local ou regionalmente, até o limite de dez por cento do melhor preço válido nos termos do art. 9º, II, do Decreto nº 8.538, de 2015.</w:t>
      </w:r>
    </w:p>
    <w:p w14:paraId="5918191A"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0C87DE07"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Registre-se que os tratamentos diferenciados previstos no presente tópico também se aplicam às cooperativas com receita bruta equivalente à das empresas de pequeno porte, por força do art. 34 da Lei nº 11.488, de 2007.</w:t>
      </w:r>
    </w:p>
    <w:p w14:paraId="02A008BA" w14:textId="11F5BD67" w:rsidR="000F224A" w:rsidRPr="000F224A" w:rsidRDefault="004423CE" w:rsidP="000F224A">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73ABB327" w14:textId="77777777" w:rsidR="008A6DA8" w:rsidRDefault="008A6DA8">
      <w:pPr>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br w:type="page"/>
      </w:r>
    </w:p>
    <w:p w14:paraId="4B65A288" w14:textId="459DF3A7" w:rsidR="000F224A" w:rsidRDefault="6B97850B" w:rsidP="00952A35">
      <w:pPr>
        <w:spacing w:after="0" w:line="240" w:lineRule="auto"/>
        <w:jc w:val="both"/>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color w:val="000000" w:themeColor="text1"/>
          <w:sz w:val="24"/>
          <w:szCs w:val="24"/>
          <w:lang w:eastAsia="pt-BR"/>
        </w:rPr>
        <w:lastRenderedPageBreak/>
        <w:t>Por fim, os tratamentos diferenciados devem ser afastados quando incidente alguma das situações previstas no art. 10 do Decreto nº 8.538</w:t>
      </w:r>
      <w:r w:rsidR="00A33223" w:rsidRPr="00271BE3">
        <w:rPr>
          <w:rFonts w:ascii="Times New Roman" w:eastAsia="Times New Roman" w:hAnsi="Times New Roman" w:cs="Times New Roman"/>
          <w:color w:val="000000" w:themeColor="text1"/>
          <w:sz w:val="24"/>
          <w:szCs w:val="24"/>
          <w:lang w:eastAsia="pt-BR"/>
        </w:rPr>
        <w:t xml:space="preserve">, de </w:t>
      </w:r>
      <w:r w:rsidRPr="00271BE3">
        <w:rPr>
          <w:rFonts w:ascii="Times New Roman" w:eastAsia="Times New Roman" w:hAnsi="Times New Roman" w:cs="Times New Roman"/>
          <w:color w:val="000000" w:themeColor="text1"/>
          <w:sz w:val="24"/>
          <w:szCs w:val="24"/>
          <w:lang w:eastAsia="pt-BR"/>
        </w:rPr>
        <w:t>2015, o que requer a devida justificativa.</w:t>
      </w:r>
    </w:p>
    <w:p w14:paraId="436CE4FA" w14:textId="6CE5EA97" w:rsidR="004423CE" w:rsidRPr="000F224A" w:rsidRDefault="6B97850B" w:rsidP="00952A35">
      <w:pPr>
        <w:spacing w:after="0" w:line="240" w:lineRule="auto"/>
        <w:jc w:val="both"/>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color w:val="000000" w:themeColor="text1"/>
          <w:sz w:val="24"/>
          <w:szCs w:val="24"/>
          <w:lang w:eastAsia="pt-BR"/>
        </w:rPr>
        <w:t xml:space="preserve"> </w:t>
      </w:r>
      <w:r w:rsidRPr="00271BE3">
        <w:rPr>
          <w:rFonts w:ascii="Times New Roman" w:eastAsia="Times New Roman" w:hAnsi="Times New Roman" w:cs="Times New Roman"/>
          <w:color w:val="FF0000"/>
          <w:sz w:val="24"/>
          <w:szCs w:val="24"/>
          <w:lang w:eastAsia="pt-BR"/>
        </w:rPr>
        <w:t>Dispõe referido artigo:</w:t>
      </w:r>
    </w:p>
    <w:p w14:paraId="46BEA26B" w14:textId="386206F8" w:rsidR="66EBB3D6" w:rsidRPr="00271BE3" w:rsidRDefault="66EBB3D6" w:rsidP="00952A35">
      <w:pPr>
        <w:spacing w:after="0" w:line="240" w:lineRule="auto"/>
        <w:ind w:left="1440"/>
        <w:jc w:val="both"/>
        <w:rPr>
          <w:rFonts w:ascii="Times New Roman" w:eastAsia="Times New Roman" w:hAnsi="Times New Roman" w:cs="Times New Roman"/>
          <w:i/>
          <w:iCs/>
          <w:color w:val="FF0000"/>
          <w:sz w:val="24"/>
          <w:szCs w:val="24"/>
          <w:lang w:eastAsia="pt-BR"/>
        </w:rPr>
      </w:pPr>
    </w:p>
    <w:p w14:paraId="43992363" w14:textId="77777777" w:rsidR="004423CE" w:rsidRPr="0089470E" w:rsidRDefault="79B9EDE3" w:rsidP="00952A35">
      <w:pPr>
        <w:spacing w:after="0" w:line="240" w:lineRule="auto"/>
        <w:ind w:left="2268"/>
        <w:jc w:val="both"/>
        <w:rPr>
          <w:rFonts w:ascii="Times New Roman" w:eastAsia="Times New Roman" w:hAnsi="Times New Roman" w:cs="Times New Roman"/>
          <w:color w:val="FF0000"/>
          <w:sz w:val="20"/>
          <w:szCs w:val="20"/>
          <w:lang w:eastAsia="pt-BR"/>
        </w:rPr>
      </w:pPr>
      <w:r w:rsidRPr="0089470E">
        <w:rPr>
          <w:rFonts w:ascii="Times New Roman" w:eastAsia="Times New Roman" w:hAnsi="Times New Roman" w:cs="Times New Roman"/>
          <w:color w:val="FF0000"/>
          <w:sz w:val="20"/>
          <w:szCs w:val="20"/>
          <w:lang w:eastAsia="pt-BR"/>
        </w:rPr>
        <w:t>Art. 10.  Não se aplica o disposto nos art. 6º ao art. 8º quando:</w:t>
      </w:r>
    </w:p>
    <w:p w14:paraId="64EF5B43" w14:textId="77777777" w:rsidR="004423CE" w:rsidRPr="0089470E" w:rsidRDefault="79B9EDE3" w:rsidP="00952A35">
      <w:pPr>
        <w:spacing w:after="0" w:line="240" w:lineRule="auto"/>
        <w:ind w:left="2268"/>
        <w:jc w:val="both"/>
        <w:rPr>
          <w:rFonts w:ascii="Times New Roman" w:eastAsia="Times New Roman" w:hAnsi="Times New Roman" w:cs="Times New Roman"/>
          <w:color w:val="FF0000"/>
          <w:sz w:val="20"/>
          <w:szCs w:val="20"/>
          <w:lang w:eastAsia="pt-BR"/>
        </w:rPr>
      </w:pPr>
      <w:r w:rsidRPr="0089470E">
        <w:rPr>
          <w:rFonts w:ascii="Times New Roman" w:eastAsia="Times New Roman" w:hAnsi="Times New Roman" w:cs="Times New Roman"/>
          <w:color w:val="FF0000"/>
          <w:sz w:val="20"/>
          <w:szCs w:val="20"/>
          <w:lang w:eastAsia="pt-BR"/>
        </w:rPr>
        <w:t>I - não houver o mínimo de três fornecedores competitivos enquadrados como microempresas ou empresas de pequeno porte sediadas local ou regionalmente e capazes de cumprir as exigências estabelecidas no instrumento convocatório;</w:t>
      </w:r>
    </w:p>
    <w:p w14:paraId="4D8D126C" w14:textId="77777777" w:rsidR="004423CE" w:rsidRPr="0089470E" w:rsidRDefault="79B9EDE3" w:rsidP="00952A35">
      <w:pPr>
        <w:spacing w:after="0" w:line="240" w:lineRule="auto"/>
        <w:ind w:left="2268"/>
        <w:jc w:val="both"/>
        <w:rPr>
          <w:rFonts w:ascii="Times New Roman" w:eastAsia="Times New Roman" w:hAnsi="Times New Roman" w:cs="Times New Roman"/>
          <w:color w:val="FF0000"/>
          <w:sz w:val="20"/>
          <w:szCs w:val="20"/>
          <w:lang w:eastAsia="pt-BR"/>
        </w:rPr>
      </w:pPr>
      <w:r w:rsidRPr="0089470E">
        <w:rPr>
          <w:rFonts w:ascii="Times New Roman" w:eastAsia="Times New Roman" w:hAnsi="Times New Roman" w:cs="Times New Roman"/>
          <w:color w:val="FF0000"/>
          <w:sz w:val="20"/>
          <w:szCs w:val="20"/>
          <w:lang w:eastAsia="pt-BR"/>
        </w:rPr>
        <w:t>II - o tratamento diferenciado e simplificado para as microempresas e as empresas de pequeno porte não for vantajoso para a administração pública ou representar prejuízo ao conjunto ou ao complexo do objeto a ser contratado, justificadamente;</w:t>
      </w:r>
    </w:p>
    <w:p w14:paraId="3808A774" w14:textId="77777777" w:rsidR="004423CE" w:rsidRPr="0089470E" w:rsidRDefault="79B9EDE3" w:rsidP="00952A35">
      <w:pPr>
        <w:spacing w:after="0" w:line="240" w:lineRule="auto"/>
        <w:ind w:left="2268"/>
        <w:jc w:val="both"/>
        <w:rPr>
          <w:rFonts w:ascii="Times New Roman" w:eastAsia="Times New Roman" w:hAnsi="Times New Roman" w:cs="Times New Roman"/>
          <w:color w:val="FF0000"/>
          <w:sz w:val="20"/>
          <w:szCs w:val="20"/>
          <w:lang w:eastAsia="pt-BR"/>
        </w:rPr>
      </w:pPr>
      <w:r w:rsidRPr="0089470E">
        <w:rPr>
          <w:rFonts w:ascii="Times New Roman" w:eastAsia="Times New Roman" w:hAnsi="Times New Roman" w:cs="Times New Roman"/>
          <w:color w:val="FF0000"/>
          <w:sz w:val="20"/>
          <w:szCs w:val="20"/>
          <w:lang w:eastAsia="pt-BR"/>
        </w:rPr>
        <w:t>III - a licitação for dispensável ou inexigível, nos termos dos arts. 24 e 25 da Lei nº 8.666, de 1993, excetuadas as dispensas tratadas pelos incisos I e II do caput do referido art. 24, nas quais a compra deverá ser feita preferencialmente por microempresas e empresas</w:t>
      </w:r>
      <w:r w:rsidRPr="00271BE3">
        <w:rPr>
          <w:rFonts w:ascii="Times New Roman" w:eastAsia="Times New Roman" w:hAnsi="Times New Roman" w:cs="Times New Roman"/>
          <w:color w:val="FF0000"/>
          <w:sz w:val="24"/>
          <w:szCs w:val="24"/>
          <w:lang w:eastAsia="pt-BR"/>
        </w:rPr>
        <w:t xml:space="preserve"> </w:t>
      </w:r>
      <w:r w:rsidRPr="0089470E">
        <w:rPr>
          <w:rFonts w:ascii="Times New Roman" w:eastAsia="Times New Roman" w:hAnsi="Times New Roman" w:cs="Times New Roman"/>
          <w:color w:val="FF0000"/>
          <w:sz w:val="20"/>
          <w:szCs w:val="20"/>
          <w:lang w:eastAsia="pt-BR"/>
        </w:rPr>
        <w:t>de pequeno porte, observados, no que couber, os incisos I, II e IV do caput deste artigo; ou</w:t>
      </w:r>
    </w:p>
    <w:p w14:paraId="3F0CEE66" w14:textId="77777777" w:rsidR="004423CE" w:rsidRPr="0089470E" w:rsidRDefault="79B9EDE3" w:rsidP="00952A35">
      <w:pPr>
        <w:spacing w:after="0" w:line="240" w:lineRule="auto"/>
        <w:ind w:left="2268"/>
        <w:jc w:val="both"/>
        <w:rPr>
          <w:rFonts w:ascii="Times New Roman" w:eastAsia="Times New Roman" w:hAnsi="Times New Roman" w:cs="Times New Roman"/>
          <w:color w:val="FF0000"/>
          <w:sz w:val="20"/>
          <w:szCs w:val="20"/>
          <w:lang w:eastAsia="pt-BR"/>
        </w:rPr>
      </w:pPr>
      <w:r w:rsidRPr="0089470E">
        <w:rPr>
          <w:rFonts w:ascii="Times New Roman" w:eastAsia="Times New Roman" w:hAnsi="Times New Roman" w:cs="Times New Roman"/>
          <w:color w:val="FF0000"/>
          <w:sz w:val="20"/>
          <w:szCs w:val="20"/>
          <w:lang w:eastAsia="pt-BR"/>
        </w:rPr>
        <w:t>IV - o tratamento diferenciado e simplificado não for capaz de alcançar, justificadamente, pelo menos um dos objetivos previstos no art. 1º.</w:t>
      </w:r>
    </w:p>
    <w:p w14:paraId="6E22900D" w14:textId="77777777" w:rsidR="004423CE" w:rsidRPr="0089470E" w:rsidRDefault="79B9EDE3" w:rsidP="00952A35">
      <w:pPr>
        <w:spacing w:after="0" w:line="240" w:lineRule="auto"/>
        <w:ind w:left="2268"/>
        <w:jc w:val="both"/>
        <w:rPr>
          <w:rFonts w:ascii="Times New Roman" w:eastAsia="Times New Roman" w:hAnsi="Times New Roman" w:cs="Times New Roman"/>
          <w:color w:val="FF0000"/>
          <w:sz w:val="20"/>
          <w:szCs w:val="20"/>
          <w:lang w:eastAsia="pt-BR"/>
        </w:rPr>
      </w:pPr>
      <w:r w:rsidRPr="0089470E">
        <w:rPr>
          <w:rFonts w:ascii="Times New Roman" w:eastAsia="Times New Roman" w:hAnsi="Times New Roman" w:cs="Times New Roman"/>
          <w:color w:val="FF0000"/>
          <w:sz w:val="20"/>
          <w:szCs w:val="20"/>
          <w:lang w:eastAsia="pt-BR"/>
        </w:rPr>
        <w:t>Parágrafo único.  Para o disposto no inciso II do caput, considera-se não vantajosa a contratação quando:</w:t>
      </w:r>
    </w:p>
    <w:p w14:paraId="3EFD2A20" w14:textId="77777777" w:rsidR="004423CE" w:rsidRPr="0089470E" w:rsidRDefault="79B9EDE3" w:rsidP="00952A35">
      <w:pPr>
        <w:spacing w:after="0" w:line="240" w:lineRule="auto"/>
        <w:ind w:left="2268"/>
        <w:jc w:val="both"/>
        <w:rPr>
          <w:rFonts w:ascii="Times New Roman" w:eastAsia="Times New Roman" w:hAnsi="Times New Roman" w:cs="Times New Roman"/>
          <w:color w:val="FF0000"/>
          <w:sz w:val="20"/>
          <w:szCs w:val="20"/>
          <w:lang w:eastAsia="pt-BR"/>
        </w:rPr>
      </w:pPr>
      <w:r w:rsidRPr="0089470E">
        <w:rPr>
          <w:rFonts w:ascii="Times New Roman" w:eastAsia="Times New Roman" w:hAnsi="Times New Roman" w:cs="Times New Roman"/>
          <w:color w:val="FF0000"/>
          <w:sz w:val="20"/>
          <w:szCs w:val="20"/>
          <w:lang w:eastAsia="pt-BR"/>
        </w:rPr>
        <w:t>I - resultar em preço superior ao valor estabelecido como referência; ou</w:t>
      </w:r>
    </w:p>
    <w:p w14:paraId="1145DA94" w14:textId="77777777" w:rsidR="004423CE" w:rsidRPr="0089470E" w:rsidRDefault="6B97850B" w:rsidP="00952A35">
      <w:pPr>
        <w:spacing w:after="0" w:line="240" w:lineRule="auto"/>
        <w:ind w:left="2268"/>
        <w:jc w:val="both"/>
        <w:rPr>
          <w:rFonts w:ascii="Times New Roman" w:eastAsia="Times New Roman" w:hAnsi="Times New Roman" w:cs="Times New Roman"/>
          <w:color w:val="FF0000"/>
          <w:sz w:val="20"/>
          <w:szCs w:val="20"/>
          <w:lang w:eastAsia="pt-BR"/>
        </w:rPr>
      </w:pPr>
      <w:r w:rsidRPr="0089470E">
        <w:rPr>
          <w:rFonts w:ascii="Times New Roman" w:eastAsia="Times New Roman" w:hAnsi="Times New Roman" w:cs="Times New Roman"/>
          <w:color w:val="FF0000"/>
          <w:sz w:val="20"/>
          <w:szCs w:val="20"/>
          <w:lang w:eastAsia="pt-BR"/>
        </w:rPr>
        <w:t>II - a natureza do bem, serviço ou obra for incompatível com a aplicação dos benefícios.</w:t>
      </w:r>
    </w:p>
    <w:p w14:paraId="3FDF2826"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tbl>
      <w:tblPr>
        <w:tblW w:w="9064" w:type="dxa"/>
        <w:tblBorders>
          <w:top w:val="outset" w:sz="6" w:space="0" w:color="000000" w:themeColor="text1"/>
          <w:left w:val="outset" w:sz="6" w:space="0" w:color="000000" w:themeColor="text1"/>
          <w:bottom w:val="outset" w:sz="6" w:space="0" w:color="000000" w:themeColor="text1"/>
          <w:right w:val="outset" w:sz="6" w:space="0" w:color="000000" w:themeColor="text1"/>
        </w:tblBorders>
        <w:tblCellMar>
          <w:top w:w="15" w:type="dxa"/>
          <w:left w:w="15" w:type="dxa"/>
          <w:bottom w:w="15" w:type="dxa"/>
          <w:right w:w="15" w:type="dxa"/>
        </w:tblCellMar>
        <w:tblLook w:val="04A0" w:firstRow="1" w:lastRow="0" w:firstColumn="1" w:lastColumn="0" w:noHBand="0" w:noVBand="1"/>
      </w:tblPr>
      <w:tblGrid>
        <w:gridCol w:w="9064"/>
      </w:tblGrid>
      <w:tr w:rsidR="004423CE" w:rsidRPr="00271BE3" w14:paraId="38D67462" w14:textId="77777777" w:rsidTr="000F224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00"/>
            <w:tcMar>
              <w:top w:w="30" w:type="dxa"/>
              <w:left w:w="30" w:type="dxa"/>
              <w:bottom w:w="30" w:type="dxa"/>
              <w:right w:w="30" w:type="dxa"/>
            </w:tcMar>
            <w:vAlign w:val="center"/>
            <w:hideMark/>
          </w:tcPr>
          <w:p w14:paraId="6F13FF1C" w14:textId="77777777" w:rsidR="004423CE" w:rsidRPr="00271BE3" w:rsidRDefault="781A8CA1" w:rsidP="00952A35">
            <w:pPr>
              <w:spacing w:after="0" w:line="240" w:lineRule="auto"/>
              <w:jc w:val="both"/>
              <w:rPr>
                <w:rFonts w:ascii="Times New Roman" w:eastAsia="Times New Roman" w:hAnsi="Times New Roman" w:cs="Times New Roman"/>
                <w:sz w:val="24"/>
                <w:szCs w:val="24"/>
                <w:highlight w:val="yellow"/>
                <w:lang w:eastAsia="pt-BR"/>
              </w:rPr>
            </w:pPr>
            <w:r w:rsidRPr="00271BE3">
              <w:rPr>
                <w:rFonts w:ascii="Times New Roman" w:eastAsia="Times New Roman" w:hAnsi="Times New Roman" w:cs="Times New Roman"/>
                <w:b/>
                <w:bCs/>
                <w:i/>
                <w:iCs/>
                <w:sz w:val="24"/>
                <w:szCs w:val="24"/>
                <w:highlight w:val="yellow"/>
                <w:shd w:val="clear" w:color="auto" w:fill="FFFF99"/>
                <w:lang w:eastAsia="pt-BR"/>
              </w:rPr>
              <w:t>Nota Explicativa: </w:t>
            </w:r>
            <w:r w:rsidRPr="00271BE3">
              <w:rPr>
                <w:rFonts w:ascii="Times New Roman" w:eastAsia="Times New Roman" w:hAnsi="Times New Roman" w:cs="Times New Roman"/>
                <w:sz w:val="24"/>
                <w:szCs w:val="24"/>
                <w:highlight w:val="yellow"/>
                <w:shd w:val="clear" w:color="auto" w:fill="FFFF99"/>
                <w:lang w:eastAsia="pt-BR"/>
              </w:rPr>
              <w:t>Seguem abaixo sugestões alternativas de redação para as diferentes hipóteses sobre a participação exclusiva ou não de microempresas e empresas de pequeno porte: </w:t>
            </w:r>
          </w:p>
          <w:p w14:paraId="6D2ED60C" w14:textId="77777777" w:rsidR="004423CE" w:rsidRPr="00271BE3" w:rsidRDefault="781A8CA1" w:rsidP="00952A35">
            <w:pPr>
              <w:spacing w:after="0" w:line="240" w:lineRule="auto"/>
              <w:jc w:val="both"/>
              <w:rPr>
                <w:rFonts w:ascii="Times New Roman" w:eastAsia="Times New Roman" w:hAnsi="Times New Roman" w:cs="Times New Roman"/>
                <w:sz w:val="24"/>
                <w:szCs w:val="24"/>
                <w:lang w:eastAsia="pt-BR"/>
              </w:rPr>
            </w:pPr>
            <w:r w:rsidRPr="00271BE3">
              <w:rPr>
                <w:rFonts w:ascii="Times New Roman" w:eastAsia="Times New Roman" w:hAnsi="Times New Roman" w:cs="Times New Roman"/>
                <w:b/>
                <w:bCs/>
                <w:sz w:val="24"/>
                <w:szCs w:val="24"/>
                <w:highlight w:val="yellow"/>
                <w:shd w:val="clear" w:color="auto" w:fill="FFFF99"/>
                <w:lang w:eastAsia="pt-BR"/>
              </w:rPr>
              <w:t>Hipótese 1 - </w:t>
            </w:r>
            <w:r w:rsidRPr="00271BE3">
              <w:rPr>
                <w:rFonts w:ascii="Times New Roman" w:eastAsia="Times New Roman" w:hAnsi="Times New Roman" w:cs="Times New Roman"/>
                <w:sz w:val="24"/>
                <w:szCs w:val="24"/>
                <w:highlight w:val="yellow"/>
                <w:shd w:val="clear" w:color="auto" w:fill="FFFF99"/>
                <w:lang w:eastAsia="pt-BR"/>
              </w:rPr>
              <w:t>valor estimado da licitação supera R$ 80.000,00 por item/grupo:</w:t>
            </w:r>
          </w:p>
        </w:tc>
      </w:tr>
    </w:tbl>
    <w:p w14:paraId="163BAE58" w14:textId="77777777" w:rsidR="004423CE" w:rsidRPr="00271BE3" w:rsidRDefault="004423CE" w:rsidP="00952A35">
      <w:pPr>
        <w:spacing w:after="0" w:line="240" w:lineRule="auto"/>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0A9C182D"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shd w:val="clear" w:color="auto" w:fill="00FFFF"/>
          <w:lang w:eastAsia="pt-BR"/>
        </w:rPr>
        <w:t>Diante disso, verifica-se que, no caso, a estimativa do </w:t>
      </w:r>
      <w:r w:rsidRPr="00271BE3">
        <w:rPr>
          <w:rFonts w:ascii="Times New Roman" w:eastAsia="Times New Roman" w:hAnsi="Times New Roman" w:cs="Times New Roman"/>
          <w:color w:val="FF0000"/>
          <w:sz w:val="24"/>
          <w:szCs w:val="24"/>
          <w:shd w:val="clear" w:color="auto" w:fill="00FFFF"/>
          <w:lang w:eastAsia="pt-BR"/>
        </w:rPr>
        <w:t>valor da contratação (OU</w:t>
      </w:r>
      <w:r w:rsidRPr="00271BE3">
        <w:rPr>
          <w:rFonts w:ascii="Times New Roman" w:eastAsia="Times New Roman" w:hAnsi="Times New Roman" w:cs="Times New Roman"/>
          <w:color w:val="000000"/>
          <w:sz w:val="24"/>
          <w:szCs w:val="24"/>
          <w:shd w:val="clear" w:color="auto" w:fill="00FFFF"/>
          <w:lang w:eastAsia="pt-BR"/>
        </w:rPr>
        <w:t> de cada item/grupo/lote) ultrapassa R$ 80.000,00. Foi acertada, portanto, a não exigência da participação exclusiva das microempresas e empresas de pequeno porte no presente certame.</w:t>
      </w:r>
    </w:p>
    <w:p w14:paraId="21581E49" w14:textId="77777777" w:rsidR="004423CE" w:rsidRPr="00271BE3" w:rsidRDefault="004423CE" w:rsidP="009617AB">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271BE3">
        <w:rPr>
          <w:rFonts w:ascii="Times New Roman" w:eastAsia="Times New Roman" w:hAnsi="Times New Roman" w:cs="Times New Roman"/>
          <w:b/>
          <w:bCs/>
          <w:color w:val="000000"/>
          <w:sz w:val="24"/>
          <w:szCs w:val="24"/>
          <w:u w:val="single"/>
          <w:shd w:val="clear" w:color="auto" w:fill="00FFFF"/>
          <w:lang w:eastAsia="pt-BR"/>
        </w:rPr>
        <w:t>OU</w:t>
      </w:r>
    </w:p>
    <w:tbl>
      <w:tblPr>
        <w:tblW w:w="9064" w:type="dxa"/>
        <w:tblBorders>
          <w:top w:val="outset" w:sz="6" w:space="0" w:color="000000" w:themeColor="text1"/>
          <w:left w:val="outset" w:sz="6" w:space="0" w:color="000000" w:themeColor="text1"/>
          <w:bottom w:val="outset" w:sz="6" w:space="0" w:color="000000" w:themeColor="text1"/>
          <w:right w:val="outset" w:sz="6" w:space="0" w:color="000000" w:themeColor="text1"/>
        </w:tblBorders>
        <w:tblCellMar>
          <w:top w:w="15" w:type="dxa"/>
          <w:left w:w="15" w:type="dxa"/>
          <w:bottom w:w="15" w:type="dxa"/>
          <w:right w:w="15" w:type="dxa"/>
        </w:tblCellMar>
        <w:tblLook w:val="04A0" w:firstRow="1" w:lastRow="0" w:firstColumn="1" w:lastColumn="0" w:noHBand="0" w:noVBand="1"/>
      </w:tblPr>
      <w:tblGrid>
        <w:gridCol w:w="9064"/>
      </w:tblGrid>
      <w:tr w:rsidR="004423CE" w:rsidRPr="00271BE3" w14:paraId="17FF7762" w14:textId="77777777" w:rsidTr="000F224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00"/>
            <w:tcMar>
              <w:top w:w="30" w:type="dxa"/>
              <w:left w:w="30" w:type="dxa"/>
              <w:bottom w:w="30" w:type="dxa"/>
              <w:right w:w="30" w:type="dxa"/>
            </w:tcMar>
            <w:vAlign w:val="center"/>
            <w:hideMark/>
          </w:tcPr>
          <w:p w14:paraId="4C8EA93D" w14:textId="36DFCDCD" w:rsidR="004423CE" w:rsidRPr="00271BE3" w:rsidRDefault="781A8CA1" w:rsidP="00952A35">
            <w:pPr>
              <w:spacing w:after="0" w:line="240" w:lineRule="auto"/>
              <w:jc w:val="both"/>
              <w:rPr>
                <w:rFonts w:ascii="Times New Roman" w:eastAsia="Times New Roman" w:hAnsi="Times New Roman" w:cs="Times New Roman"/>
                <w:sz w:val="24"/>
                <w:szCs w:val="24"/>
                <w:lang w:eastAsia="pt-BR"/>
              </w:rPr>
            </w:pPr>
            <w:r w:rsidRPr="00271BE3">
              <w:rPr>
                <w:rFonts w:ascii="Times New Roman" w:eastAsia="Times New Roman" w:hAnsi="Times New Roman" w:cs="Times New Roman"/>
                <w:b/>
                <w:bCs/>
                <w:i/>
                <w:iCs/>
                <w:sz w:val="24"/>
                <w:szCs w:val="24"/>
                <w:highlight w:val="yellow"/>
                <w:shd w:val="clear" w:color="auto" w:fill="FFFF99"/>
                <w:lang w:eastAsia="pt-BR"/>
              </w:rPr>
              <w:t>Nota Explicativa: </w:t>
            </w:r>
            <w:r w:rsidRPr="00271BE3">
              <w:rPr>
                <w:rFonts w:ascii="Times New Roman" w:eastAsia="Times New Roman" w:hAnsi="Times New Roman" w:cs="Times New Roman"/>
                <w:b/>
                <w:bCs/>
                <w:sz w:val="24"/>
                <w:szCs w:val="24"/>
                <w:highlight w:val="yellow"/>
                <w:shd w:val="clear" w:color="auto" w:fill="FFFF99"/>
                <w:lang w:eastAsia="pt-BR"/>
              </w:rPr>
              <w:t>Hipótese 2 -</w:t>
            </w:r>
            <w:r w:rsidR="00E87192" w:rsidRPr="00271BE3">
              <w:rPr>
                <w:rFonts w:ascii="Times New Roman" w:eastAsia="Times New Roman" w:hAnsi="Times New Roman" w:cs="Times New Roman"/>
                <w:b/>
                <w:bCs/>
                <w:sz w:val="24"/>
                <w:szCs w:val="24"/>
                <w:highlight w:val="yellow"/>
                <w:shd w:val="clear" w:color="auto" w:fill="FFFF99"/>
                <w:lang w:eastAsia="pt-BR"/>
              </w:rPr>
              <w:t xml:space="preserve"> </w:t>
            </w:r>
            <w:r w:rsidRPr="00271BE3">
              <w:rPr>
                <w:rFonts w:ascii="Times New Roman" w:eastAsia="Times New Roman" w:hAnsi="Times New Roman" w:cs="Times New Roman"/>
                <w:sz w:val="24"/>
                <w:szCs w:val="24"/>
                <w:highlight w:val="yellow"/>
                <w:shd w:val="clear" w:color="auto" w:fill="FFFF99"/>
                <w:lang w:eastAsia="pt-BR"/>
              </w:rPr>
              <w:t>participação exclusiva garantida, com pronunciamento expresso sobre o art. 10 do Decreto n. 8.538, de 2015:</w:t>
            </w:r>
          </w:p>
        </w:tc>
      </w:tr>
    </w:tbl>
    <w:p w14:paraId="3E93A57F" w14:textId="77777777" w:rsidR="004423CE" w:rsidRPr="00271BE3" w:rsidRDefault="004423CE" w:rsidP="00952A35">
      <w:pPr>
        <w:spacing w:after="0" w:line="240" w:lineRule="auto"/>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4140CA22" w14:textId="77777777" w:rsidR="004423CE" w:rsidRPr="00271BE3" w:rsidRDefault="004423CE" w:rsidP="594C555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shd w:val="clear" w:color="auto" w:fill="00FFFF"/>
          <w:lang w:eastAsia="pt-BR"/>
        </w:rPr>
        <w:t>Diante disso, verifica-se que, no caso, </w:t>
      </w:r>
      <w:r w:rsidRPr="00271BE3">
        <w:rPr>
          <w:rFonts w:ascii="Times New Roman" w:eastAsia="Times New Roman" w:hAnsi="Times New Roman" w:cs="Times New Roman"/>
          <w:color w:val="FF0000"/>
          <w:sz w:val="24"/>
          <w:szCs w:val="24"/>
          <w:shd w:val="clear" w:color="auto" w:fill="00FFFF"/>
          <w:lang w:eastAsia="pt-BR"/>
        </w:rPr>
        <w:t>a estimativa do valor da contratação (</w:t>
      </w:r>
      <w:r w:rsidRPr="00271BE3">
        <w:rPr>
          <w:rFonts w:ascii="Times New Roman" w:eastAsia="Times New Roman" w:hAnsi="Times New Roman" w:cs="Times New Roman"/>
          <w:b/>
          <w:bCs/>
          <w:color w:val="FF0000"/>
          <w:sz w:val="24"/>
          <w:szCs w:val="24"/>
          <w:u w:val="single"/>
          <w:shd w:val="clear" w:color="auto" w:fill="00FFFF"/>
          <w:lang w:eastAsia="pt-BR"/>
        </w:rPr>
        <w:t>OU</w:t>
      </w:r>
      <w:r w:rsidRPr="00271BE3">
        <w:rPr>
          <w:rFonts w:ascii="Times New Roman" w:eastAsia="Times New Roman" w:hAnsi="Times New Roman" w:cs="Times New Roman"/>
          <w:color w:val="000000"/>
          <w:sz w:val="24"/>
          <w:szCs w:val="24"/>
          <w:shd w:val="clear" w:color="auto" w:fill="00FFFF"/>
          <w:lang w:eastAsia="pt-BR"/>
        </w:rPr>
        <w:t> </w:t>
      </w:r>
      <w:r w:rsidRPr="00271BE3">
        <w:rPr>
          <w:rFonts w:ascii="Times New Roman" w:eastAsia="Times New Roman" w:hAnsi="Times New Roman" w:cs="Times New Roman"/>
          <w:color w:val="FF0000"/>
          <w:sz w:val="24"/>
          <w:szCs w:val="24"/>
          <w:shd w:val="clear" w:color="auto" w:fill="00FFFF"/>
          <w:lang w:eastAsia="pt-BR"/>
        </w:rPr>
        <w:t>de cada item/grupo/lote)</w:t>
      </w:r>
      <w:r w:rsidRPr="00271BE3">
        <w:rPr>
          <w:rFonts w:ascii="Times New Roman" w:eastAsia="Times New Roman" w:hAnsi="Times New Roman" w:cs="Times New Roman"/>
          <w:color w:val="000000"/>
          <w:sz w:val="24"/>
          <w:szCs w:val="24"/>
          <w:shd w:val="clear" w:color="auto" w:fill="00FFFF"/>
          <w:lang w:eastAsia="pt-BR"/>
        </w:rPr>
        <w:t> não ultrapassa R$ 80.000,00, e o certame contempla o tratamento favorecido. Não há, portanto, observações adicionais a fazer, pois a Administração se pronunciou, expressamente, sobre a não incidência de qualquer das hipóteses do art. 10 do Decreto nº 8.538, de 2015</w:t>
      </w:r>
      <w:r w:rsidRPr="00271BE3">
        <w:rPr>
          <w:rFonts w:ascii="Times New Roman" w:eastAsia="Times New Roman" w:hAnsi="Times New Roman" w:cs="Times New Roman"/>
          <w:color w:val="FF0000"/>
          <w:sz w:val="24"/>
          <w:szCs w:val="24"/>
          <w:shd w:val="clear" w:color="auto" w:fill="00FFFF"/>
          <w:lang w:eastAsia="pt-BR"/>
        </w:rPr>
        <w:t> (fls. XXX)</w:t>
      </w:r>
      <w:r w:rsidRPr="00271BE3">
        <w:rPr>
          <w:rFonts w:ascii="Times New Roman" w:eastAsia="Times New Roman" w:hAnsi="Times New Roman" w:cs="Times New Roman"/>
          <w:color w:val="000000"/>
          <w:sz w:val="24"/>
          <w:szCs w:val="24"/>
          <w:shd w:val="clear" w:color="auto" w:fill="00FFFF"/>
          <w:lang w:eastAsia="pt-BR"/>
        </w:rPr>
        <w:t>.</w:t>
      </w:r>
    </w:p>
    <w:p w14:paraId="6D9761C0" w14:textId="77777777" w:rsidR="004423CE" w:rsidRPr="00271BE3" w:rsidRDefault="004423CE" w:rsidP="009617AB">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271BE3">
        <w:rPr>
          <w:rFonts w:ascii="Times New Roman" w:eastAsia="Times New Roman" w:hAnsi="Times New Roman" w:cs="Times New Roman"/>
          <w:b/>
          <w:bCs/>
          <w:color w:val="000000"/>
          <w:sz w:val="24"/>
          <w:szCs w:val="24"/>
          <w:u w:val="single"/>
          <w:shd w:val="clear" w:color="auto" w:fill="00FFFF"/>
          <w:lang w:eastAsia="pt-BR"/>
        </w:rPr>
        <w:t>OU</w:t>
      </w:r>
    </w:p>
    <w:p w14:paraId="14901686" w14:textId="77777777" w:rsidR="0092664B" w:rsidRPr="00271BE3" w:rsidRDefault="0092664B" w:rsidP="00952A35">
      <w:pPr>
        <w:spacing w:after="0" w:line="240" w:lineRule="auto"/>
        <w:ind w:firstLine="1418"/>
        <w:jc w:val="both"/>
        <w:rPr>
          <w:rFonts w:ascii="Times New Roman" w:eastAsia="Times New Roman" w:hAnsi="Times New Roman" w:cs="Times New Roman"/>
          <w:color w:val="000000"/>
          <w:sz w:val="24"/>
          <w:szCs w:val="24"/>
          <w:lang w:eastAsia="pt-BR"/>
        </w:rPr>
      </w:pPr>
    </w:p>
    <w:tbl>
      <w:tblPr>
        <w:tblW w:w="9064" w:type="dxa"/>
        <w:tblBorders>
          <w:top w:val="outset" w:sz="6" w:space="0" w:color="000000" w:themeColor="text1"/>
          <w:left w:val="outset" w:sz="6" w:space="0" w:color="000000" w:themeColor="text1"/>
          <w:bottom w:val="outset" w:sz="6" w:space="0" w:color="000000" w:themeColor="text1"/>
          <w:right w:val="outset" w:sz="6" w:space="0" w:color="000000" w:themeColor="text1"/>
        </w:tblBorders>
        <w:tblCellMar>
          <w:top w:w="15" w:type="dxa"/>
          <w:left w:w="15" w:type="dxa"/>
          <w:bottom w:w="15" w:type="dxa"/>
          <w:right w:w="15" w:type="dxa"/>
        </w:tblCellMar>
        <w:tblLook w:val="04A0" w:firstRow="1" w:lastRow="0" w:firstColumn="1" w:lastColumn="0" w:noHBand="0" w:noVBand="1"/>
      </w:tblPr>
      <w:tblGrid>
        <w:gridCol w:w="9064"/>
      </w:tblGrid>
      <w:tr w:rsidR="004423CE" w:rsidRPr="00271BE3" w14:paraId="5825B2A1" w14:textId="77777777" w:rsidTr="000F224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00"/>
            <w:tcMar>
              <w:top w:w="30" w:type="dxa"/>
              <w:left w:w="30" w:type="dxa"/>
              <w:bottom w:w="30" w:type="dxa"/>
              <w:right w:w="30" w:type="dxa"/>
            </w:tcMar>
            <w:vAlign w:val="center"/>
            <w:hideMark/>
          </w:tcPr>
          <w:p w14:paraId="638DF610" w14:textId="77777777" w:rsidR="004423CE" w:rsidRPr="00271BE3" w:rsidRDefault="781A8CA1" w:rsidP="00952A35">
            <w:pPr>
              <w:spacing w:after="0" w:line="240" w:lineRule="auto"/>
              <w:jc w:val="both"/>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b/>
                <w:bCs/>
                <w:i/>
                <w:iCs/>
                <w:color w:val="000000" w:themeColor="text1"/>
                <w:sz w:val="24"/>
                <w:szCs w:val="24"/>
                <w:highlight w:val="yellow"/>
                <w:shd w:val="clear" w:color="auto" w:fill="FFFF99"/>
                <w:lang w:eastAsia="pt-BR"/>
              </w:rPr>
              <w:t>Nota Explicativa: </w:t>
            </w:r>
            <w:r w:rsidRPr="00271BE3">
              <w:rPr>
                <w:rFonts w:ascii="Times New Roman" w:eastAsia="Times New Roman" w:hAnsi="Times New Roman" w:cs="Times New Roman"/>
                <w:b/>
                <w:bCs/>
                <w:color w:val="000000" w:themeColor="text1"/>
                <w:sz w:val="24"/>
                <w:szCs w:val="24"/>
                <w:highlight w:val="yellow"/>
                <w:shd w:val="clear" w:color="auto" w:fill="FFFF99"/>
                <w:lang w:eastAsia="pt-BR"/>
              </w:rPr>
              <w:t>Hipótese 3 - </w:t>
            </w:r>
            <w:r w:rsidRPr="00271BE3">
              <w:rPr>
                <w:rFonts w:ascii="Times New Roman" w:eastAsia="Times New Roman" w:hAnsi="Times New Roman" w:cs="Times New Roman"/>
                <w:color w:val="000000" w:themeColor="text1"/>
                <w:sz w:val="24"/>
                <w:szCs w:val="24"/>
                <w:highlight w:val="yellow"/>
                <w:shd w:val="clear" w:color="auto" w:fill="FFFF99"/>
                <w:lang w:eastAsia="pt-BR"/>
              </w:rPr>
              <w:t>participação exclusiva garantida, mas há a necessidade de verificação da não incidência do art. 10 do Decreto nº 8.535, de 2015:</w:t>
            </w:r>
          </w:p>
        </w:tc>
      </w:tr>
    </w:tbl>
    <w:p w14:paraId="3942BD21"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05E7161" w14:textId="77777777" w:rsidR="004423CE" w:rsidRPr="00271BE3" w:rsidRDefault="004423CE" w:rsidP="594C555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shd w:val="clear" w:color="auto" w:fill="00FFFF"/>
          <w:lang w:eastAsia="pt-BR"/>
        </w:rPr>
        <w:t>No caso, a estimativa do valor </w:t>
      </w:r>
      <w:r w:rsidRPr="00271BE3">
        <w:rPr>
          <w:rFonts w:ascii="Times New Roman" w:eastAsia="Times New Roman" w:hAnsi="Times New Roman" w:cs="Times New Roman"/>
          <w:color w:val="FF0000"/>
          <w:sz w:val="24"/>
          <w:szCs w:val="24"/>
          <w:shd w:val="clear" w:color="auto" w:fill="00FFFF"/>
          <w:lang w:eastAsia="pt-BR"/>
        </w:rPr>
        <w:t>de cada item/grupo/lote</w:t>
      </w:r>
      <w:r w:rsidRPr="00271BE3">
        <w:rPr>
          <w:rFonts w:ascii="Times New Roman" w:eastAsia="Times New Roman" w:hAnsi="Times New Roman" w:cs="Times New Roman"/>
          <w:color w:val="000000"/>
          <w:sz w:val="24"/>
          <w:szCs w:val="24"/>
          <w:shd w:val="clear" w:color="auto" w:fill="00FFFF"/>
          <w:lang w:eastAsia="pt-BR"/>
        </w:rPr>
        <w:t> não ultrapassa R$ 80.000,00. Acertada, portanto, a opção da Administração </w:t>
      </w:r>
      <w:r w:rsidRPr="00271BE3">
        <w:rPr>
          <w:rFonts w:ascii="Times New Roman" w:eastAsia="Times New Roman" w:hAnsi="Times New Roman" w:cs="Times New Roman"/>
          <w:color w:val="FF0000"/>
          <w:sz w:val="24"/>
          <w:szCs w:val="24"/>
          <w:shd w:val="clear" w:color="auto" w:fill="00FFFF"/>
          <w:lang w:eastAsia="pt-BR"/>
        </w:rPr>
        <w:t>em destinar o certame (</w:t>
      </w:r>
      <w:r w:rsidRPr="00271BE3">
        <w:rPr>
          <w:rFonts w:ascii="Times New Roman" w:eastAsia="Times New Roman" w:hAnsi="Times New Roman" w:cs="Times New Roman"/>
          <w:b/>
          <w:bCs/>
          <w:color w:val="FF0000"/>
          <w:sz w:val="24"/>
          <w:szCs w:val="24"/>
          <w:u w:val="single"/>
          <w:shd w:val="clear" w:color="auto" w:fill="00FFFF"/>
          <w:lang w:eastAsia="pt-BR"/>
        </w:rPr>
        <w:t>OU</w:t>
      </w:r>
      <w:r w:rsidRPr="00271BE3">
        <w:rPr>
          <w:rFonts w:ascii="Times New Roman" w:eastAsia="Times New Roman" w:hAnsi="Times New Roman" w:cs="Times New Roman"/>
          <w:color w:val="000000"/>
          <w:sz w:val="24"/>
          <w:szCs w:val="24"/>
          <w:shd w:val="clear" w:color="auto" w:fill="00FFFF"/>
          <w:lang w:eastAsia="pt-BR"/>
        </w:rPr>
        <w:t> </w:t>
      </w:r>
      <w:r w:rsidRPr="00271BE3">
        <w:rPr>
          <w:rFonts w:ascii="Times New Roman" w:eastAsia="Times New Roman" w:hAnsi="Times New Roman" w:cs="Times New Roman"/>
          <w:color w:val="FF0000"/>
          <w:sz w:val="24"/>
          <w:szCs w:val="24"/>
          <w:shd w:val="clear" w:color="auto" w:fill="00FFFF"/>
          <w:lang w:eastAsia="pt-BR"/>
        </w:rPr>
        <w:t>destinar tais itens/grupos/lotes)</w:t>
      </w:r>
      <w:r w:rsidRPr="00271BE3">
        <w:rPr>
          <w:rFonts w:ascii="Times New Roman" w:eastAsia="Times New Roman" w:hAnsi="Times New Roman" w:cs="Times New Roman"/>
          <w:color w:val="000000"/>
          <w:sz w:val="24"/>
          <w:szCs w:val="24"/>
          <w:shd w:val="clear" w:color="auto" w:fill="00FFFF"/>
          <w:lang w:eastAsia="pt-BR"/>
        </w:rPr>
        <w:t> à participação exclusiva de microempresas e empresas de pequeno porte.</w:t>
      </w:r>
    </w:p>
    <w:p w14:paraId="523080A3" w14:textId="77777777" w:rsidR="004423CE" w:rsidRPr="00271BE3" w:rsidRDefault="004423CE" w:rsidP="594C555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shd w:val="clear" w:color="auto" w:fill="00FFFF"/>
          <w:lang w:eastAsia="pt-BR"/>
        </w:rPr>
        <w:t>Todavia, </w:t>
      </w:r>
      <w:r w:rsidRPr="00271BE3">
        <w:rPr>
          <w:rFonts w:ascii="Times New Roman" w:eastAsia="Times New Roman" w:hAnsi="Times New Roman" w:cs="Times New Roman"/>
          <w:color w:val="000000"/>
          <w:sz w:val="24"/>
          <w:szCs w:val="24"/>
          <w:u w:val="single"/>
          <w:shd w:val="clear" w:color="auto" w:fill="00FFFF"/>
          <w:lang w:eastAsia="pt-BR"/>
        </w:rPr>
        <w:t>recomenda-se</w:t>
      </w:r>
      <w:r w:rsidRPr="00271BE3">
        <w:rPr>
          <w:rFonts w:ascii="Times New Roman" w:eastAsia="Times New Roman" w:hAnsi="Times New Roman" w:cs="Times New Roman"/>
          <w:color w:val="000000"/>
          <w:sz w:val="24"/>
          <w:szCs w:val="24"/>
          <w:shd w:val="clear" w:color="auto" w:fill="00FFFF"/>
          <w:lang w:eastAsia="pt-BR"/>
        </w:rPr>
        <w:t xml:space="preserve"> a verificação da não incidência de qualquer das hipóteses do art. 10 do Decreto nº 8.538, de 2015</w:t>
      </w:r>
      <w:r w:rsidRPr="00271BE3">
        <w:rPr>
          <w:rFonts w:ascii="Times New Roman" w:eastAsia="Times New Roman" w:hAnsi="Times New Roman" w:cs="Times New Roman"/>
          <w:color w:val="000000"/>
          <w:sz w:val="24"/>
          <w:szCs w:val="24"/>
          <w:u w:val="single"/>
          <w:shd w:val="clear" w:color="auto" w:fill="00FFFF"/>
          <w:lang w:eastAsia="pt-BR"/>
        </w:rPr>
        <w:t>,</w:t>
      </w:r>
      <w:r w:rsidRPr="00271BE3">
        <w:rPr>
          <w:rFonts w:ascii="Times New Roman" w:eastAsia="Times New Roman" w:hAnsi="Times New Roman" w:cs="Times New Roman"/>
          <w:color w:val="000000"/>
          <w:sz w:val="24"/>
          <w:szCs w:val="24"/>
          <w:shd w:val="clear" w:color="auto" w:fill="00FFFF"/>
          <w:lang w:eastAsia="pt-BR"/>
        </w:rPr>
        <w:t xml:space="preserve"> o que imporia, como consequência, o afastamento do tratamento </w:t>
      </w:r>
      <w:r w:rsidRPr="00271BE3">
        <w:rPr>
          <w:rFonts w:ascii="Times New Roman" w:eastAsia="Times New Roman" w:hAnsi="Times New Roman" w:cs="Times New Roman"/>
          <w:color w:val="000000"/>
          <w:sz w:val="24"/>
          <w:szCs w:val="24"/>
          <w:shd w:val="clear" w:color="auto" w:fill="00FFFF"/>
          <w:lang w:eastAsia="pt-BR"/>
        </w:rPr>
        <w:lastRenderedPageBreak/>
        <w:t>diferenciado e a abertura da competição a todas as empresas interessadas, independentemente de seu porte.</w:t>
      </w:r>
    </w:p>
    <w:p w14:paraId="29C3C45C" w14:textId="77777777" w:rsidR="004423CE" w:rsidRPr="00271BE3" w:rsidRDefault="004423CE" w:rsidP="009617AB">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271BE3">
        <w:rPr>
          <w:rFonts w:ascii="Times New Roman" w:eastAsia="Times New Roman" w:hAnsi="Times New Roman" w:cs="Times New Roman"/>
          <w:b/>
          <w:bCs/>
          <w:color w:val="000000"/>
          <w:sz w:val="24"/>
          <w:szCs w:val="24"/>
          <w:u w:val="single"/>
          <w:shd w:val="clear" w:color="auto" w:fill="00FFFF"/>
          <w:lang w:eastAsia="pt-BR"/>
        </w:rPr>
        <w:t>OU</w:t>
      </w:r>
    </w:p>
    <w:p w14:paraId="762EA554" w14:textId="77777777" w:rsidR="0092664B" w:rsidRPr="00271BE3" w:rsidRDefault="0092664B" w:rsidP="00952A35">
      <w:pPr>
        <w:spacing w:after="0" w:line="240" w:lineRule="auto"/>
        <w:ind w:firstLine="1418"/>
        <w:jc w:val="both"/>
        <w:rPr>
          <w:rFonts w:ascii="Times New Roman" w:eastAsia="Times New Roman" w:hAnsi="Times New Roman" w:cs="Times New Roman"/>
          <w:color w:val="000000"/>
          <w:sz w:val="24"/>
          <w:szCs w:val="24"/>
          <w:lang w:eastAsia="pt-BR"/>
        </w:rPr>
      </w:pPr>
    </w:p>
    <w:tbl>
      <w:tblPr>
        <w:tblW w:w="9064" w:type="dxa"/>
        <w:tblBorders>
          <w:top w:val="outset" w:sz="6" w:space="0" w:color="000000" w:themeColor="text1"/>
          <w:left w:val="outset" w:sz="6" w:space="0" w:color="000000" w:themeColor="text1"/>
          <w:bottom w:val="outset" w:sz="6" w:space="0" w:color="000000" w:themeColor="text1"/>
          <w:right w:val="outset" w:sz="6" w:space="0" w:color="000000" w:themeColor="text1"/>
        </w:tblBorders>
        <w:tblCellMar>
          <w:top w:w="15" w:type="dxa"/>
          <w:left w:w="15" w:type="dxa"/>
          <w:bottom w:w="15" w:type="dxa"/>
          <w:right w:w="15" w:type="dxa"/>
        </w:tblCellMar>
        <w:tblLook w:val="04A0" w:firstRow="1" w:lastRow="0" w:firstColumn="1" w:lastColumn="0" w:noHBand="0" w:noVBand="1"/>
      </w:tblPr>
      <w:tblGrid>
        <w:gridCol w:w="9064"/>
      </w:tblGrid>
      <w:tr w:rsidR="004423CE" w:rsidRPr="00271BE3" w14:paraId="720C48CD" w14:textId="77777777" w:rsidTr="000F224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00"/>
            <w:tcMar>
              <w:top w:w="30" w:type="dxa"/>
              <w:left w:w="30" w:type="dxa"/>
              <w:bottom w:w="30" w:type="dxa"/>
              <w:right w:w="30" w:type="dxa"/>
            </w:tcMar>
            <w:vAlign w:val="center"/>
            <w:hideMark/>
          </w:tcPr>
          <w:p w14:paraId="5650BA6A" w14:textId="77777777" w:rsidR="004423CE" w:rsidRPr="00271BE3" w:rsidRDefault="781A8CA1" w:rsidP="00952A35">
            <w:pPr>
              <w:spacing w:after="0" w:line="240" w:lineRule="auto"/>
              <w:jc w:val="both"/>
              <w:rPr>
                <w:rFonts w:ascii="Times New Roman" w:eastAsia="Times New Roman" w:hAnsi="Times New Roman" w:cs="Times New Roman"/>
                <w:sz w:val="24"/>
                <w:szCs w:val="24"/>
                <w:lang w:eastAsia="pt-BR"/>
              </w:rPr>
            </w:pPr>
            <w:r w:rsidRPr="00271BE3">
              <w:rPr>
                <w:rFonts w:ascii="Times New Roman" w:eastAsia="Times New Roman" w:hAnsi="Times New Roman" w:cs="Times New Roman"/>
                <w:b/>
                <w:bCs/>
                <w:i/>
                <w:iCs/>
                <w:sz w:val="24"/>
                <w:szCs w:val="24"/>
                <w:highlight w:val="yellow"/>
                <w:shd w:val="clear" w:color="auto" w:fill="FFFF99"/>
                <w:lang w:eastAsia="pt-BR"/>
              </w:rPr>
              <w:t>Nota Explicativa: </w:t>
            </w:r>
            <w:r w:rsidRPr="00271BE3">
              <w:rPr>
                <w:rFonts w:ascii="Times New Roman" w:eastAsia="Times New Roman" w:hAnsi="Times New Roman" w:cs="Times New Roman"/>
                <w:b/>
                <w:bCs/>
                <w:sz w:val="24"/>
                <w:szCs w:val="24"/>
                <w:highlight w:val="yellow"/>
                <w:shd w:val="clear" w:color="auto" w:fill="FFFF99"/>
                <w:lang w:eastAsia="pt-BR"/>
              </w:rPr>
              <w:t>Hipótese 4 - </w:t>
            </w:r>
            <w:r w:rsidRPr="00271BE3">
              <w:rPr>
                <w:rFonts w:ascii="Times New Roman" w:eastAsia="Times New Roman" w:hAnsi="Times New Roman" w:cs="Times New Roman"/>
                <w:sz w:val="24"/>
                <w:szCs w:val="24"/>
                <w:highlight w:val="yellow"/>
                <w:shd w:val="clear" w:color="auto" w:fill="FFFF99"/>
                <w:lang w:eastAsia="pt-BR"/>
              </w:rPr>
              <w:t>participação exclusiva não garantida, sem qualquer justificativa:</w:t>
            </w:r>
          </w:p>
        </w:tc>
      </w:tr>
    </w:tbl>
    <w:p w14:paraId="5C51C793" w14:textId="77777777" w:rsidR="004423CE" w:rsidRPr="00271BE3" w:rsidRDefault="004423CE" w:rsidP="00952A35">
      <w:pPr>
        <w:spacing w:after="0" w:line="240" w:lineRule="auto"/>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486229D8" w14:textId="1FEFEC5A" w:rsidR="004423CE" w:rsidRPr="00271BE3" w:rsidRDefault="004423CE" w:rsidP="594C555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shd w:val="clear" w:color="auto" w:fill="00FFFF"/>
          <w:lang w:eastAsia="pt-BR"/>
        </w:rPr>
        <w:t>No caso, a estimativa </w:t>
      </w:r>
      <w:r w:rsidRPr="00271BE3">
        <w:rPr>
          <w:rFonts w:ascii="Times New Roman" w:eastAsia="Times New Roman" w:hAnsi="Times New Roman" w:cs="Times New Roman"/>
          <w:color w:val="FF0000"/>
          <w:sz w:val="24"/>
          <w:szCs w:val="24"/>
          <w:shd w:val="clear" w:color="auto" w:fill="00FFFF"/>
          <w:lang w:eastAsia="pt-BR"/>
        </w:rPr>
        <w:t>do valor da contratação não ultrapassa R$ 80.000,00 (</w:t>
      </w:r>
      <w:r w:rsidRPr="00271BE3">
        <w:rPr>
          <w:rFonts w:ascii="Times New Roman" w:eastAsia="Times New Roman" w:hAnsi="Times New Roman" w:cs="Times New Roman"/>
          <w:b/>
          <w:bCs/>
          <w:color w:val="FF0000"/>
          <w:sz w:val="24"/>
          <w:szCs w:val="24"/>
          <w:u w:val="single"/>
          <w:shd w:val="clear" w:color="auto" w:fill="00FFFF"/>
          <w:lang w:eastAsia="pt-BR"/>
        </w:rPr>
        <w:t>OU</w:t>
      </w:r>
      <w:r w:rsidRPr="00271BE3">
        <w:rPr>
          <w:rFonts w:ascii="Times New Roman" w:eastAsia="Times New Roman" w:hAnsi="Times New Roman" w:cs="Times New Roman"/>
          <w:color w:val="000000"/>
          <w:sz w:val="24"/>
          <w:szCs w:val="24"/>
          <w:shd w:val="clear" w:color="auto" w:fill="00FFFF"/>
          <w:lang w:eastAsia="pt-BR"/>
        </w:rPr>
        <w:t> </w:t>
      </w:r>
      <w:r w:rsidRPr="00271BE3">
        <w:rPr>
          <w:rFonts w:ascii="Times New Roman" w:eastAsia="Times New Roman" w:hAnsi="Times New Roman" w:cs="Times New Roman"/>
          <w:color w:val="FF0000"/>
          <w:sz w:val="24"/>
          <w:szCs w:val="24"/>
          <w:shd w:val="clear" w:color="auto" w:fill="00FFFF"/>
          <w:lang w:eastAsia="pt-BR"/>
        </w:rPr>
        <w:t>No caso, a estimativa do valor de cada item/grupo/lote não ultrapassa R$ 80.000,00). </w:t>
      </w:r>
      <w:r w:rsidRPr="005E6CD2">
        <w:rPr>
          <w:rFonts w:ascii="Times New Roman" w:eastAsia="Times New Roman" w:hAnsi="Times New Roman" w:cs="Times New Roman"/>
          <w:color w:val="000000"/>
          <w:sz w:val="24"/>
          <w:szCs w:val="24"/>
          <w:u w:val="single"/>
          <w:shd w:val="clear" w:color="auto" w:fill="00FFFF"/>
          <w:lang w:eastAsia="pt-BR"/>
        </w:rPr>
        <w:t>Cabe à Administração, portanto, </w:t>
      </w:r>
      <w:r w:rsidRPr="005E6CD2">
        <w:rPr>
          <w:rFonts w:ascii="Times New Roman" w:eastAsia="Times New Roman" w:hAnsi="Times New Roman" w:cs="Times New Roman"/>
          <w:color w:val="FF0000"/>
          <w:sz w:val="24"/>
          <w:szCs w:val="24"/>
          <w:u w:val="single"/>
          <w:shd w:val="clear" w:color="auto" w:fill="00FFFF"/>
          <w:lang w:eastAsia="pt-BR"/>
        </w:rPr>
        <w:t>destinar o certame</w:t>
      </w:r>
      <w:r w:rsidRPr="00271BE3">
        <w:rPr>
          <w:rFonts w:ascii="Times New Roman" w:eastAsia="Times New Roman" w:hAnsi="Times New Roman" w:cs="Times New Roman"/>
          <w:color w:val="FF0000"/>
          <w:sz w:val="24"/>
          <w:szCs w:val="24"/>
          <w:shd w:val="clear" w:color="auto" w:fill="00FFFF"/>
          <w:lang w:eastAsia="pt-BR"/>
        </w:rPr>
        <w:t> (</w:t>
      </w:r>
      <w:r w:rsidRPr="00271BE3">
        <w:rPr>
          <w:rFonts w:ascii="Times New Roman" w:eastAsia="Times New Roman" w:hAnsi="Times New Roman" w:cs="Times New Roman"/>
          <w:b/>
          <w:bCs/>
          <w:color w:val="FF0000"/>
          <w:sz w:val="24"/>
          <w:szCs w:val="24"/>
          <w:u w:val="single"/>
          <w:shd w:val="clear" w:color="auto" w:fill="00FFFF"/>
          <w:lang w:eastAsia="pt-BR"/>
        </w:rPr>
        <w:t>OU</w:t>
      </w:r>
      <w:r w:rsidRPr="00271BE3">
        <w:rPr>
          <w:rFonts w:ascii="Times New Roman" w:eastAsia="Times New Roman" w:hAnsi="Times New Roman" w:cs="Times New Roman"/>
          <w:color w:val="FF0000"/>
          <w:sz w:val="24"/>
          <w:szCs w:val="24"/>
          <w:shd w:val="clear" w:color="auto" w:fill="00FFFF"/>
          <w:lang w:eastAsia="pt-BR"/>
        </w:rPr>
        <w:t> tais itens/grupos/lotes do certame) </w:t>
      </w:r>
      <w:r w:rsidRPr="00271BE3">
        <w:rPr>
          <w:rFonts w:ascii="Times New Roman" w:eastAsia="Times New Roman" w:hAnsi="Times New Roman" w:cs="Times New Roman"/>
          <w:color w:val="000000"/>
          <w:sz w:val="24"/>
          <w:szCs w:val="24"/>
          <w:shd w:val="clear" w:color="auto" w:fill="00FFFF"/>
          <w:lang w:eastAsia="pt-BR"/>
        </w:rPr>
        <w:t xml:space="preserve">à participação exclusiva das ME e EPP, </w:t>
      </w:r>
      <w:r w:rsidRPr="005E6CD2">
        <w:rPr>
          <w:rFonts w:ascii="Times New Roman" w:eastAsia="Times New Roman" w:hAnsi="Times New Roman" w:cs="Times New Roman"/>
          <w:color w:val="000000"/>
          <w:sz w:val="24"/>
          <w:szCs w:val="24"/>
          <w:u w:val="single"/>
          <w:shd w:val="clear" w:color="auto" w:fill="00FFFF"/>
          <w:lang w:eastAsia="pt-BR"/>
        </w:rPr>
        <w:t>ou apresentar a devida justificativa</w:t>
      </w:r>
      <w:r w:rsidRPr="00271BE3">
        <w:rPr>
          <w:rFonts w:ascii="Times New Roman" w:eastAsia="Times New Roman" w:hAnsi="Times New Roman" w:cs="Times New Roman"/>
          <w:color w:val="000000"/>
          <w:sz w:val="24"/>
          <w:szCs w:val="24"/>
          <w:shd w:val="clear" w:color="auto" w:fill="00FFFF"/>
          <w:lang w:eastAsia="pt-BR"/>
        </w:rPr>
        <w:t xml:space="preserve">, nos termos do art. 10 do Decreto </w:t>
      </w:r>
      <w:r w:rsidR="003A3338" w:rsidRPr="00271BE3">
        <w:rPr>
          <w:rFonts w:ascii="Times New Roman" w:eastAsia="Times New Roman" w:hAnsi="Times New Roman" w:cs="Times New Roman"/>
          <w:color w:val="000000"/>
          <w:sz w:val="24"/>
          <w:szCs w:val="24"/>
          <w:shd w:val="clear" w:color="auto" w:fill="00FFFF"/>
          <w:lang w:eastAsia="pt-BR"/>
        </w:rPr>
        <w:t xml:space="preserve">n.º </w:t>
      </w:r>
      <w:r w:rsidRPr="00271BE3">
        <w:rPr>
          <w:rFonts w:ascii="Times New Roman" w:eastAsia="Times New Roman" w:hAnsi="Times New Roman" w:cs="Times New Roman"/>
          <w:color w:val="000000"/>
          <w:sz w:val="24"/>
          <w:szCs w:val="24"/>
          <w:shd w:val="clear" w:color="auto" w:fill="00FFFF"/>
          <w:lang w:eastAsia="pt-BR"/>
        </w:rPr>
        <w:t>8.538, de 2015.</w:t>
      </w:r>
    </w:p>
    <w:p w14:paraId="78EC1C55" w14:textId="77777777" w:rsidR="004423CE" w:rsidRPr="00271BE3" w:rsidRDefault="004423CE" w:rsidP="009617AB">
      <w:pPr>
        <w:spacing w:after="0" w:line="240" w:lineRule="auto"/>
        <w:ind w:firstLine="708"/>
        <w:jc w:val="both"/>
        <w:rPr>
          <w:rFonts w:ascii="Times New Roman" w:eastAsia="Times New Roman" w:hAnsi="Times New Roman" w:cs="Times New Roman"/>
          <w:b/>
          <w:bCs/>
          <w:color w:val="000000"/>
          <w:sz w:val="24"/>
          <w:szCs w:val="24"/>
          <w:highlight w:val="cyan"/>
          <w:u w:val="single"/>
          <w:shd w:val="clear" w:color="auto" w:fill="00FFFF"/>
          <w:lang w:eastAsia="pt-BR"/>
        </w:rPr>
      </w:pPr>
      <w:r w:rsidRPr="00271BE3">
        <w:rPr>
          <w:rFonts w:ascii="Times New Roman" w:eastAsia="Times New Roman" w:hAnsi="Times New Roman" w:cs="Times New Roman"/>
          <w:b/>
          <w:bCs/>
          <w:color w:val="000000"/>
          <w:sz w:val="24"/>
          <w:szCs w:val="24"/>
          <w:highlight w:val="cyan"/>
          <w:u w:val="single"/>
          <w:shd w:val="clear" w:color="auto" w:fill="00FFFF"/>
          <w:lang w:eastAsia="pt-BR"/>
        </w:rPr>
        <w:t>OU</w:t>
      </w:r>
    </w:p>
    <w:p w14:paraId="7FADC868" w14:textId="77777777" w:rsidR="0092664B" w:rsidRPr="00271BE3" w:rsidRDefault="0092664B" w:rsidP="00952A35">
      <w:pPr>
        <w:spacing w:after="0" w:line="240" w:lineRule="auto"/>
        <w:ind w:firstLine="1418"/>
        <w:jc w:val="both"/>
        <w:rPr>
          <w:rFonts w:ascii="Times New Roman" w:eastAsia="Times New Roman" w:hAnsi="Times New Roman" w:cs="Times New Roman"/>
          <w:color w:val="000000"/>
          <w:sz w:val="24"/>
          <w:szCs w:val="24"/>
          <w:highlight w:val="cyan"/>
          <w:lang w:eastAsia="pt-BR"/>
        </w:rPr>
      </w:pPr>
    </w:p>
    <w:tbl>
      <w:tblPr>
        <w:tblW w:w="9064" w:type="dxa"/>
        <w:tblBorders>
          <w:top w:val="outset" w:sz="6" w:space="0" w:color="000000" w:themeColor="text1"/>
          <w:left w:val="outset" w:sz="6" w:space="0" w:color="000000" w:themeColor="text1"/>
          <w:bottom w:val="outset" w:sz="6" w:space="0" w:color="000000" w:themeColor="text1"/>
          <w:right w:val="outset" w:sz="6" w:space="0" w:color="000000" w:themeColor="text1"/>
        </w:tblBorders>
        <w:tblCellMar>
          <w:top w:w="15" w:type="dxa"/>
          <w:left w:w="15" w:type="dxa"/>
          <w:bottom w:w="15" w:type="dxa"/>
          <w:right w:w="15" w:type="dxa"/>
        </w:tblCellMar>
        <w:tblLook w:val="04A0" w:firstRow="1" w:lastRow="0" w:firstColumn="1" w:lastColumn="0" w:noHBand="0" w:noVBand="1"/>
      </w:tblPr>
      <w:tblGrid>
        <w:gridCol w:w="9064"/>
      </w:tblGrid>
      <w:tr w:rsidR="004423CE" w:rsidRPr="00271BE3" w14:paraId="68388265" w14:textId="77777777" w:rsidTr="000F224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00"/>
            <w:tcMar>
              <w:top w:w="30" w:type="dxa"/>
              <w:left w:w="30" w:type="dxa"/>
              <w:bottom w:w="30" w:type="dxa"/>
              <w:right w:w="30" w:type="dxa"/>
            </w:tcMar>
            <w:vAlign w:val="center"/>
            <w:hideMark/>
          </w:tcPr>
          <w:p w14:paraId="1507D30E" w14:textId="77777777" w:rsidR="004423CE" w:rsidRPr="00271BE3" w:rsidRDefault="781A8CA1" w:rsidP="00952A35">
            <w:pPr>
              <w:spacing w:after="0" w:line="240" w:lineRule="auto"/>
              <w:jc w:val="both"/>
              <w:rPr>
                <w:rFonts w:ascii="Times New Roman" w:eastAsia="Times New Roman" w:hAnsi="Times New Roman" w:cs="Times New Roman"/>
                <w:sz w:val="24"/>
                <w:szCs w:val="24"/>
                <w:lang w:eastAsia="pt-BR"/>
              </w:rPr>
            </w:pPr>
            <w:r w:rsidRPr="00271BE3">
              <w:rPr>
                <w:rFonts w:ascii="Times New Roman" w:eastAsia="Times New Roman" w:hAnsi="Times New Roman" w:cs="Times New Roman"/>
                <w:b/>
                <w:bCs/>
                <w:i/>
                <w:iCs/>
                <w:sz w:val="24"/>
                <w:szCs w:val="24"/>
                <w:highlight w:val="yellow"/>
                <w:shd w:val="clear" w:color="auto" w:fill="FFFF99"/>
                <w:lang w:eastAsia="pt-BR"/>
              </w:rPr>
              <w:t>Nota Explicativa: </w:t>
            </w:r>
            <w:r w:rsidRPr="00271BE3">
              <w:rPr>
                <w:rFonts w:ascii="Times New Roman" w:eastAsia="Times New Roman" w:hAnsi="Times New Roman" w:cs="Times New Roman"/>
                <w:b/>
                <w:bCs/>
                <w:sz w:val="24"/>
                <w:szCs w:val="24"/>
                <w:highlight w:val="yellow"/>
                <w:shd w:val="clear" w:color="auto" w:fill="FFFF99"/>
                <w:lang w:eastAsia="pt-BR"/>
              </w:rPr>
              <w:t>Hipótese 5 - </w:t>
            </w:r>
            <w:r w:rsidRPr="00271BE3">
              <w:rPr>
                <w:rFonts w:ascii="Times New Roman" w:eastAsia="Times New Roman" w:hAnsi="Times New Roman" w:cs="Times New Roman"/>
                <w:sz w:val="24"/>
                <w:szCs w:val="24"/>
                <w:highlight w:val="yellow"/>
                <w:shd w:val="clear" w:color="auto" w:fill="FFFF99"/>
                <w:lang w:eastAsia="pt-BR"/>
              </w:rPr>
              <w:t>participação exclusiva não garantida, com justificativa:</w:t>
            </w:r>
          </w:p>
        </w:tc>
      </w:tr>
    </w:tbl>
    <w:p w14:paraId="5AEF5360"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2A5E7F4A" w14:textId="2C950898" w:rsidR="004423CE" w:rsidRPr="00271BE3" w:rsidRDefault="004423CE" w:rsidP="594C555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shd w:val="clear" w:color="auto" w:fill="00FFFF"/>
          <w:lang w:eastAsia="pt-BR"/>
        </w:rPr>
        <w:t>No caso, a estimativa </w:t>
      </w:r>
      <w:r w:rsidRPr="00271BE3">
        <w:rPr>
          <w:rFonts w:ascii="Times New Roman" w:eastAsia="Times New Roman" w:hAnsi="Times New Roman" w:cs="Times New Roman"/>
          <w:color w:val="FF0000"/>
          <w:sz w:val="24"/>
          <w:szCs w:val="24"/>
          <w:shd w:val="clear" w:color="auto" w:fill="00FFFF"/>
          <w:lang w:eastAsia="pt-BR"/>
        </w:rPr>
        <w:t>do valor da contratação não ultrapassa R$ 80.000,00 (</w:t>
      </w:r>
      <w:r w:rsidRPr="00271BE3">
        <w:rPr>
          <w:rFonts w:ascii="Times New Roman" w:eastAsia="Times New Roman" w:hAnsi="Times New Roman" w:cs="Times New Roman"/>
          <w:b/>
          <w:bCs/>
          <w:color w:val="FF0000"/>
          <w:sz w:val="24"/>
          <w:szCs w:val="24"/>
          <w:u w:val="single"/>
          <w:shd w:val="clear" w:color="auto" w:fill="00FFFF"/>
          <w:lang w:eastAsia="pt-BR"/>
        </w:rPr>
        <w:t>OU</w:t>
      </w:r>
      <w:r w:rsidRPr="00271BE3">
        <w:rPr>
          <w:rFonts w:ascii="Times New Roman" w:eastAsia="Times New Roman" w:hAnsi="Times New Roman" w:cs="Times New Roman"/>
          <w:color w:val="000000"/>
          <w:sz w:val="24"/>
          <w:szCs w:val="24"/>
          <w:shd w:val="clear" w:color="auto" w:fill="00FFFF"/>
          <w:lang w:eastAsia="pt-BR"/>
        </w:rPr>
        <w:t> </w:t>
      </w:r>
      <w:r w:rsidRPr="00271BE3">
        <w:rPr>
          <w:rFonts w:ascii="Times New Roman" w:eastAsia="Times New Roman" w:hAnsi="Times New Roman" w:cs="Times New Roman"/>
          <w:color w:val="FF0000"/>
          <w:sz w:val="24"/>
          <w:szCs w:val="24"/>
          <w:shd w:val="clear" w:color="auto" w:fill="00FFFF"/>
          <w:lang w:eastAsia="pt-BR"/>
        </w:rPr>
        <w:t>No caso dos autos, a estimativa do valor de cada item/grupo/lote não ultrapassa R$ 80.000,00).</w:t>
      </w:r>
      <w:r w:rsidRPr="00271BE3">
        <w:rPr>
          <w:rFonts w:ascii="Times New Roman" w:eastAsia="Times New Roman" w:hAnsi="Times New Roman" w:cs="Times New Roman"/>
          <w:color w:val="000000"/>
          <w:sz w:val="24"/>
          <w:szCs w:val="24"/>
          <w:shd w:val="clear" w:color="auto" w:fill="00FFFF"/>
          <w:lang w:eastAsia="pt-BR"/>
        </w:rPr>
        <w:t> Todavia, foi apresentada justificativa com base no inciso </w:t>
      </w:r>
      <w:r w:rsidR="00B25255" w:rsidRPr="00271BE3">
        <w:rPr>
          <w:rFonts w:ascii="Times New Roman" w:eastAsia="Times New Roman" w:hAnsi="Times New Roman" w:cs="Times New Roman"/>
          <w:color w:val="FF0000"/>
          <w:sz w:val="24"/>
          <w:szCs w:val="24"/>
          <w:shd w:val="clear" w:color="auto" w:fill="00FFFF"/>
          <w:lang w:eastAsia="pt-BR"/>
        </w:rPr>
        <w:t>[indicar inciso específico]</w:t>
      </w:r>
      <w:r w:rsidRPr="00271BE3">
        <w:rPr>
          <w:rFonts w:ascii="Times New Roman" w:eastAsia="Times New Roman" w:hAnsi="Times New Roman" w:cs="Times New Roman"/>
          <w:color w:val="FF0000"/>
          <w:sz w:val="24"/>
          <w:szCs w:val="24"/>
          <w:shd w:val="clear" w:color="auto" w:fill="00FFFF"/>
          <w:lang w:eastAsia="pt-BR"/>
        </w:rPr>
        <w:t> </w:t>
      </w:r>
      <w:r w:rsidRPr="00271BE3">
        <w:rPr>
          <w:rFonts w:ascii="Times New Roman" w:eastAsia="Times New Roman" w:hAnsi="Times New Roman" w:cs="Times New Roman"/>
          <w:color w:val="000000"/>
          <w:sz w:val="24"/>
          <w:szCs w:val="24"/>
          <w:shd w:val="clear" w:color="auto" w:fill="00FFFF"/>
          <w:lang w:eastAsia="pt-BR"/>
        </w:rPr>
        <w:t>do art. 10 do Decreto nº 8.538, de 2015, o que fundamenta a exclusão do tratamento favorecido no caso concreto.</w:t>
      </w:r>
    </w:p>
    <w:p w14:paraId="06460590"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47502A52" w14:textId="6DF3A3A9" w:rsidR="004423CE" w:rsidRPr="00271BE3" w:rsidRDefault="79B9EDE3" w:rsidP="00952A35">
      <w:pPr>
        <w:spacing w:after="0" w:line="240" w:lineRule="auto"/>
        <w:jc w:val="both"/>
        <w:rPr>
          <w:rFonts w:ascii="Times New Roman" w:eastAsia="Times New Roman" w:hAnsi="Times New Roman" w:cs="Times New Roman"/>
          <w:color w:val="FF0000"/>
          <w:sz w:val="24"/>
          <w:szCs w:val="24"/>
          <w:lang w:eastAsia="pt-BR"/>
        </w:rPr>
      </w:pPr>
      <w:r w:rsidRPr="00271BE3">
        <w:rPr>
          <w:rFonts w:ascii="Times New Roman" w:eastAsia="Times New Roman" w:hAnsi="Times New Roman" w:cs="Times New Roman"/>
          <w:b/>
          <w:bCs/>
          <w:color w:val="000000" w:themeColor="text1"/>
          <w:sz w:val="24"/>
          <w:szCs w:val="24"/>
          <w:lang w:eastAsia="pt-BR"/>
        </w:rPr>
        <w:t xml:space="preserve"> </w:t>
      </w:r>
      <w:r w:rsidRPr="00271BE3">
        <w:rPr>
          <w:rFonts w:ascii="Times New Roman" w:eastAsia="Times New Roman" w:hAnsi="Times New Roman" w:cs="Times New Roman"/>
          <w:b/>
          <w:bCs/>
          <w:color w:val="FF0000"/>
          <w:sz w:val="24"/>
          <w:szCs w:val="24"/>
          <w:lang w:eastAsia="pt-BR"/>
        </w:rPr>
        <w:t>Do Regime de Execução</w:t>
      </w:r>
    </w:p>
    <w:p w14:paraId="47978143" w14:textId="6AE1FC96" w:rsidR="79B9EDE3" w:rsidRPr="00271BE3" w:rsidRDefault="79B9EDE3" w:rsidP="00952A35">
      <w:pPr>
        <w:spacing w:after="0" w:line="240" w:lineRule="auto"/>
        <w:ind w:firstLine="1418"/>
        <w:jc w:val="both"/>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color w:val="000000" w:themeColor="text1"/>
          <w:sz w:val="24"/>
          <w:szCs w:val="24"/>
          <w:lang w:eastAsia="pt-BR"/>
        </w:rPr>
        <w:t> </w:t>
      </w:r>
    </w:p>
    <w:tbl>
      <w:tblPr>
        <w:tblW w:w="9062" w:type="dxa"/>
        <w:tblLayout w:type="fixed"/>
        <w:tblLook w:val="04A0" w:firstRow="1" w:lastRow="0" w:firstColumn="1" w:lastColumn="0" w:noHBand="0" w:noVBand="1"/>
      </w:tblPr>
      <w:tblGrid>
        <w:gridCol w:w="9062"/>
      </w:tblGrid>
      <w:tr w:rsidR="66EBB3D6" w:rsidRPr="00271BE3" w14:paraId="66E38B8C" w14:textId="77777777" w:rsidTr="000F224A">
        <w:trPr>
          <w:trHeight w:val="300"/>
        </w:trPr>
        <w:tc>
          <w:tcPr>
            <w:tcW w:w="9062" w:type="dxa"/>
            <w:tcBorders>
              <w:top w:val="inset" w:sz="8" w:space="0" w:color="000000" w:themeColor="text1"/>
              <w:left w:val="inset" w:sz="8" w:space="0" w:color="000000" w:themeColor="text1"/>
              <w:bottom w:val="inset" w:sz="8" w:space="0" w:color="000000" w:themeColor="text1"/>
              <w:right w:val="inset" w:sz="8" w:space="0" w:color="000000" w:themeColor="text1"/>
            </w:tcBorders>
            <w:shd w:val="clear" w:color="auto" w:fill="FFFF00"/>
            <w:tcMar>
              <w:top w:w="30" w:type="dxa"/>
              <w:left w:w="30" w:type="dxa"/>
              <w:bottom w:w="30" w:type="dxa"/>
              <w:right w:w="30" w:type="dxa"/>
            </w:tcMar>
            <w:vAlign w:val="center"/>
          </w:tcPr>
          <w:p w14:paraId="73003051" w14:textId="08986317" w:rsidR="66EBB3D6" w:rsidRPr="00271BE3" w:rsidRDefault="66EBB3D6"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b/>
                <w:bCs/>
                <w:i/>
                <w:iCs/>
                <w:color w:val="000000" w:themeColor="text1"/>
                <w:sz w:val="24"/>
                <w:szCs w:val="24"/>
              </w:rPr>
              <w:t xml:space="preserve">Nota Explicativa: </w:t>
            </w:r>
            <w:r w:rsidRPr="00271BE3">
              <w:rPr>
                <w:rFonts w:ascii="Times New Roman" w:eastAsia="Calibri" w:hAnsi="Times New Roman" w:cs="Times New Roman"/>
                <w:color w:val="000000" w:themeColor="text1"/>
                <w:sz w:val="24"/>
                <w:szCs w:val="24"/>
              </w:rPr>
              <w:t>A fundamentação constante do presente tópico destina-se às situações em que não conste dos autos a apresentação da devida justificativa para a escolha do regime de execução. Caso a área técnica tenha motivado a escolha do regime de execução, deverá ser suprimido o presente item do parecer.</w:t>
            </w:r>
          </w:p>
        </w:tc>
      </w:tr>
    </w:tbl>
    <w:p w14:paraId="5AA96AD0" w14:textId="2740E45D" w:rsidR="66EBB3D6" w:rsidRPr="00271BE3" w:rsidRDefault="66EBB3D6" w:rsidP="00952A35">
      <w:pPr>
        <w:spacing w:after="0" w:line="240" w:lineRule="auto"/>
        <w:jc w:val="both"/>
        <w:rPr>
          <w:rFonts w:ascii="Times New Roman" w:eastAsia="Times New Roman" w:hAnsi="Times New Roman" w:cs="Times New Roman"/>
          <w:color w:val="FF0000"/>
          <w:sz w:val="24"/>
          <w:szCs w:val="24"/>
          <w:lang w:eastAsia="pt-BR"/>
        </w:rPr>
      </w:pPr>
    </w:p>
    <w:p w14:paraId="057C6820"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FF0000"/>
          <w:sz w:val="24"/>
          <w:szCs w:val="24"/>
          <w:lang w:eastAsia="pt-BR"/>
        </w:rPr>
        <w:t>O regime de execução deve ser sopesado pela Administração, em particular em termos de eficiência na gestão contratual.</w:t>
      </w:r>
    </w:p>
    <w:p w14:paraId="10B3381E"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467C9BFB"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FF0000"/>
          <w:sz w:val="24"/>
          <w:szCs w:val="24"/>
          <w:lang w:eastAsia="pt-BR"/>
        </w:rPr>
        <w:t>Como regra, exige-se que as características qualitativas e quantitativas do objeto sejam previamente definidas no edital, permitindo-se aos licitantes a elaboração de proposta fundada em dados objetivos e seguros.</w:t>
      </w:r>
    </w:p>
    <w:p w14:paraId="3578D828"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7809468D"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FF0000"/>
          <w:sz w:val="24"/>
          <w:szCs w:val="24"/>
          <w:lang w:eastAsia="pt-BR"/>
        </w:rPr>
        <w:t>Quando isso não é possível, ou seja, quando não se sabe ao certo a estimativa precisa dos itens e quantitativos que compõem o objeto a ser contratado, o gestor deve avaliar a melhor forma de execução contratual.</w:t>
      </w:r>
    </w:p>
    <w:p w14:paraId="0147C16C" w14:textId="297272F0" w:rsidR="000F224A" w:rsidRPr="000F224A" w:rsidRDefault="004423CE" w:rsidP="000F224A">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9539ADC" w14:textId="1D04E54B" w:rsidR="004423CE" w:rsidRPr="00271BE3" w:rsidRDefault="4692D27D"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FF0000"/>
          <w:sz w:val="24"/>
          <w:szCs w:val="24"/>
          <w:lang w:eastAsia="pt-BR"/>
        </w:rPr>
        <w:t>Na empreitada por preço global, cada parte assume, em tese, o risco de eventuais distorções nos quantitativos a serem executados, que podem ser superiores ou inferiores àqueles originalmente previstos na planilha orçamentária da contratação. Justamente por isso, a adoção 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w:t>
      </w:r>
      <w:r w:rsidR="672909E6" w:rsidRPr="00271BE3">
        <w:rPr>
          <w:rFonts w:ascii="Times New Roman" w:eastAsia="Calibri" w:hAnsi="Times New Roman" w:cs="Times New Roman"/>
          <w:color w:val="FF0000"/>
          <w:sz w:val="24"/>
          <w:szCs w:val="24"/>
        </w:rPr>
        <w:t>art. 6º, XXIX, Lei nº 14.133</w:t>
      </w:r>
      <w:r w:rsidR="0092664B" w:rsidRPr="00271BE3">
        <w:rPr>
          <w:rFonts w:ascii="Times New Roman" w:eastAsia="Calibri" w:hAnsi="Times New Roman" w:cs="Times New Roman"/>
          <w:color w:val="FF0000"/>
          <w:sz w:val="24"/>
          <w:szCs w:val="24"/>
        </w:rPr>
        <w:t>,</w:t>
      </w:r>
      <w:r w:rsidR="0029361D" w:rsidRPr="00271BE3">
        <w:rPr>
          <w:rFonts w:ascii="Times New Roman" w:eastAsia="Calibri" w:hAnsi="Times New Roman" w:cs="Times New Roman"/>
          <w:color w:val="FF0000"/>
          <w:sz w:val="24"/>
          <w:szCs w:val="24"/>
        </w:rPr>
        <w:t xml:space="preserve"> </w:t>
      </w:r>
      <w:r w:rsidR="0092664B" w:rsidRPr="00271BE3">
        <w:rPr>
          <w:rFonts w:ascii="Times New Roman" w:eastAsia="Calibri" w:hAnsi="Times New Roman" w:cs="Times New Roman"/>
          <w:color w:val="FF0000"/>
          <w:sz w:val="24"/>
          <w:szCs w:val="24"/>
        </w:rPr>
        <w:t xml:space="preserve">de </w:t>
      </w:r>
      <w:r w:rsidR="672909E6" w:rsidRPr="00271BE3">
        <w:rPr>
          <w:rFonts w:ascii="Times New Roman" w:eastAsia="Calibri" w:hAnsi="Times New Roman" w:cs="Times New Roman"/>
          <w:color w:val="FF0000"/>
          <w:sz w:val="24"/>
          <w:szCs w:val="24"/>
        </w:rPr>
        <w:t>2021</w:t>
      </w:r>
      <w:r w:rsidRPr="00271BE3">
        <w:rPr>
          <w:rFonts w:ascii="Times New Roman" w:eastAsia="Times New Roman" w:hAnsi="Times New Roman" w:cs="Times New Roman"/>
          <w:color w:val="FF0000"/>
          <w:sz w:val="24"/>
          <w:szCs w:val="24"/>
          <w:lang w:eastAsia="pt-BR"/>
        </w:rPr>
        <w:t>), para evitar distorções relevantes no decorrer da execução contratual (TCU. Acórdão 1978</w:t>
      </w:r>
      <w:r w:rsidR="008A21F9" w:rsidRPr="00271BE3">
        <w:rPr>
          <w:rFonts w:ascii="Times New Roman" w:eastAsia="Times New Roman" w:hAnsi="Times New Roman" w:cs="Times New Roman"/>
          <w:color w:val="FF0000"/>
          <w:sz w:val="24"/>
          <w:szCs w:val="24"/>
          <w:lang w:eastAsia="pt-BR"/>
        </w:rPr>
        <w:t>, de 20</w:t>
      </w:r>
      <w:r w:rsidRPr="00271BE3">
        <w:rPr>
          <w:rFonts w:ascii="Times New Roman" w:eastAsia="Times New Roman" w:hAnsi="Times New Roman" w:cs="Times New Roman"/>
          <w:color w:val="FF0000"/>
          <w:sz w:val="24"/>
          <w:szCs w:val="24"/>
          <w:lang w:eastAsia="pt-BR"/>
        </w:rPr>
        <w:t>13-Plenário, TC 007.109</w:t>
      </w:r>
      <w:r w:rsidR="008A21F9" w:rsidRPr="00271BE3">
        <w:rPr>
          <w:rFonts w:ascii="Times New Roman" w:eastAsia="Times New Roman" w:hAnsi="Times New Roman" w:cs="Times New Roman"/>
          <w:color w:val="FF0000"/>
          <w:sz w:val="24"/>
          <w:szCs w:val="24"/>
          <w:lang w:eastAsia="pt-BR"/>
        </w:rPr>
        <w:t>, de 20</w:t>
      </w:r>
      <w:r w:rsidRPr="00271BE3">
        <w:rPr>
          <w:rFonts w:ascii="Times New Roman" w:eastAsia="Times New Roman" w:hAnsi="Times New Roman" w:cs="Times New Roman"/>
          <w:color w:val="FF0000"/>
          <w:sz w:val="24"/>
          <w:szCs w:val="24"/>
          <w:lang w:eastAsia="pt-BR"/>
        </w:rPr>
        <w:t>13-0, relator Ministro Valmir Campelo, 31.7.2013).</w:t>
      </w:r>
    </w:p>
    <w:p w14:paraId="7768DAC3"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lastRenderedPageBreak/>
        <w:t> </w:t>
      </w:r>
    </w:p>
    <w:p w14:paraId="0C9D59D0" w14:textId="40C096E6" w:rsidR="004423CE" w:rsidRPr="00271BE3" w:rsidRDefault="4692D27D"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FF0000"/>
          <w:sz w:val="24"/>
          <w:szCs w:val="24"/>
          <w:lang w:eastAsia="pt-BR"/>
        </w:rPr>
        <w:t>Já na empreitada por preço unitário</w:t>
      </w:r>
      <w:r w:rsidR="4CE633A9" w:rsidRPr="00271BE3">
        <w:rPr>
          <w:rFonts w:ascii="Times New Roman" w:eastAsia="Times New Roman" w:hAnsi="Times New Roman" w:cs="Times New Roman"/>
          <w:color w:val="FF0000"/>
          <w:sz w:val="24"/>
          <w:szCs w:val="24"/>
          <w:lang w:eastAsia="pt-BR"/>
        </w:rPr>
        <w:t xml:space="preserve"> (</w:t>
      </w:r>
      <w:r w:rsidR="4CE633A9" w:rsidRPr="00271BE3">
        <w:rPr>
          <w:rFonts w:ascii="Times New Roman" w:eastAsia="Calibri" w:hAnsi="Times New Roman" w:cs="Times New Roman"/>
          <w:color w:val="FF0000"/>
          <w:sz w:val="24"/>
          <w:szCs w:val="24"/>
        </w:rPr>
        <w:t>art. 6º, XXVI</w:t>
      </w:r>
      <w:r w:rsidR="768B4B1C" w:rsidRPr="00271BE3">
        <w:rPr>
          <w:rFonts w:ascii="Times New Roman" w:eastAsia="Calibri" w:hAnsi="Times New Roman" w:cs="Times New Roman"/>
          <w:color w:val="FF0000"/>
          <w:sz w:val="24"/>
          <w:szCs w:val="24"/>
        </w:rPr>
        <w:t>I</w:t>
      </w:r>
      <w:r w:rsidR="4CE633A9" w:rsidRPr="00271BE3">
        <w:rPr>
          <w:rFonts w:ascii="Times New Roman" w:eastAsia="Calibri" w:hAnsi="Times New Roman" w:cs="Times New Roman"/>
          <w:color w:val="FF0000"/>
          <w:sz w:val="24"/>
          <w:szCs w:val="24"/>
        </w:rPr>
        <w:t>I, Lei nº 14.133</w:t>
      </w:r>
      <w:r w:rsidR="0029361D" w:rsidRPr="00271BE3">
        <w:rPr>
          <w:rFonts w:ascii="Times New Roman" w:eastAsia="Calibri" w:hAnsi="Times New Roman" w:cs="Times New Roman"/>
          <w:color w:val="FF0000"/>
          <w:sz w:val="24"/>
          <w:szCs w:val="24"/>
        </w:rPr>
        <w:t xml:space="preserve">, de </w:t>
      </w:r>
      <w:r w:rsidR="4CE633A9" w:rsidRPr="00271BE3">
        <w:rPr>
          <w:rFonts w:ascii="Times New Roman" w:eastAsia="Calibri" w:hAnsi="Times New Roman" w:cs="Times New Roman"/>
          <w:color w:val="FF0000"/>
          <w:sz w:val="24"/>
          <w:szCs w:val="24"/>
        </w:rPr>
        <w:t>2021)</w:t>
      </w:r>
      <w:r w:rsidRPr="00271BE3">
        <w:rPr>
          <w:rFonts w:ascii="Times New Roman" w:eastAsia="Times New Roman" w:hAnsi="Times New Roman" w:cs="Times New Roman"/>
          <w:color w:val="FF0000"/>
          <w:sz w:val="24"/>
          <w:szCs w:val="24"/>
          <w:lang w:eastAsia="pt-BR"/>
        </w:rPr>
        <w:t>, em que o preço é fixado por unidade</w:t>
      </w:r>
      <w:r w:rsidR="579B3C82" w:rsidRPr="00271BE3">
        <w:rPr>
          <w:rFonts w:ascii="Times New Roman" w:eastAsia="Times New Roman" w:hAnsi="Times New Roman" w:cs="Times New Roman"/>
          <w:color w:val="FF0000"/>
          <w:sz w:val="24"/>
          <w:szCs w:val="24"/>
          <w:lang w:eastAsia="pt-BR"/>
        </w:rPr>
        <w:t>s</w:t>
      </w:r>
      <w:r w:rsidRPr="00271BE3">
        <w:rPr>
          <w:rFonts w:ascii="Times New Roman" w:eastAsia="Times New Roman" w:hAnsi="Times New Roman" w:cs="Times New Roman"/>
          <w:color w:val="FF0000"/>
          <w:sz w:val="24"/>
          <w:szCs w:val="24"/>
          <w:lang w:eastAsia="pt-BR"/>
        </w:rPr>
        <w:t xml:space="preserve"> determinada</w:t>
      </w:r>
      <w:r w:rsidR="6E45EEE0" w:rsidRPr="00271BE3">
        <w:rPr>
          <w:rFonts w:ascii="Times New Roman" w:eastAsia="Times New Roman" w:hAnsi="Times New Roman" w:cs="Times New Roman"/>
          <w:color w:val="FF0000"/>
          <w:sz w:val="24"/>
          <w:szCs w:val="24"/>
          <w:lang w:eastAsia="pt-BR"/>
        </w:rPr>
        <w:t>s</w:t>
      </w:r>
      <w:r w:rsidRPr="00271BE3">
        <w:rPr>
          <w:rFonts w:ascii="Times New Roman" w:eastAsia="Times New Roman" w:hAnsi="Times New Roman" w:cs="Times New Roman"/>
          <w:color w:val="FF0000"/>
          <w:sz w:val="24"/>
          <w:szCs w:val="24"/>
          <w:lang w:eastAsia="pt-BR"/>
        </w:rPr>
        <w:t>,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“unidades” se dará de acordo com a necessidade observada, com a realização de medições periódicas a fim de quantificar os serviços efetivamente executados e os correspondentes valores devidos (TCU. Acórdão 1978</w:t>
      </w:r>
      <w:r w:rsidR="008A21F9" w:rsidRPr="00271BE3">
        <w:rPr>
          <w:rFonts w:ascii="Times New Roman" w:eastAsia="Times New Roman" w:hAnsi="Times New Roman" w:cs="Times New Roman"/>
          <w:color w:val="FF0000"/>
          <w:sz w:val="24"/>
          <w:szCs w:val="24"/>
          <w:lang w:eastAsia="pt-BR"/>
        </w:rPr>
        <w:t>, de 20</w:t>
      </w:r>
      <w:r w:rsidRPr="00271BE3">
        <w:rPr>
          <w:rFonts w:ascii="Times New Roman" w:eastAsia="Times New Roman" w:hAnsi="Times New Roman" w:cs="Times New Roman"/>
          <w:color w:val="FF0000"/>
          <w:sz w:val="24"/>
          <w:szCs w:val="24"/>
          <w:lang w:eastAsia="pt-BR"/>
        </w:rPr>
        <w:t>13-Plenário, TC 007.109</w:t>
      </w:r>
      <w:r w:rsidR="008A21F9" w:rsidRPr="00271BE3">
        <w:rPr>
          <w:rFonts w:ascii="Times New Roman" w:eastAsia="Times New Roman" w:hAnsi="Times New Roman" w:cs="Times New Roman"/>
          <w:color w:val="FF0000"/>
          <w:sz w:val="24"/>
          <w:szCs w:val="24"/>
          <w:lang w:eastAsia="pt-BR"/>
        </w:rPr>
        <w:t>, de 20</w:t>
      </w:r>
      <w:r w:rsidRPr="00271BE3">
        <w:rPr>
          <w:rFonts w:ascii="Times New Roman" w:eastAsia="Times New Roman" w:hAnsi="Times New Roman" w:cs="Times New Roman"/>
          <w:color w:val="FF0000"/>
          <w:sz w:val="24"/>
          <w:szCs w:val="24"/>
          <w:lang w:eastAsia="pt-BR"/>
        </w:rPr>
        <w:t>13-0, relator Ministro Valmir Campelo, 31.7.2013).</w:t>
      </w:r>
    </w:p>
    <w:p w14:paraId="0B8B347E"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76697487"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FF0000"/>
          <w:sz w:val="24"/>
          <w:szCs w:val="24"/>
          <w:lang w:eastAsia="pt-BR"/>
        </w:rPr>
        <w:t>Assim, na empreitada por preço unitário haverá a execução do contrato conforme a demanda, e esse regime de execução foi criado para resolver o problema da necessidade de fixar uma remuneração sem que se tivesse, desde logo, a </w:t>
      </w:r>
      <w:r w:rsidRPr="00271BE3">
        <w:rPr>
          <w:rFonts w:ascii="Times New Roman" w:eastAsia="Times New Roman" w:hAnsi="Times New Roman" w:cs="Times New Roman"/>
          <w:color w:val="FF0000"/>
          <w:sz w:val="24"/>
          <w:szCs w:val="24"/>
          <w:u w:val="single"/>
          <w:lang w:eastAsia="pt-BR"/>
        </w:rPr>
        <w:t>quantidade</w:t>
      </w:r>
      <w:r w:rsidRPr="00271BE3">
        <w:rPr>
          <w:rFonts w:ascii="Times New Roman" w:eastAsia="Times New Roman" w:hAnsi="Times New Roman" w:cs="Times New Roman"/>
          <w:color w:val="FF0000"/>
          <w:sz w:val="24"/>
          <w:szCs w:val="24"/>
          <w:lang w:eastAsia="pt-BR"/>
        </w:rPr>
        <w:t> exata do encargo a ser executado.</w:t>
      </w:r>
    </w:p>
    <w:p w14:paraId="46A84612"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4094F116"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FF0000"/>
          <w:sz w:val="24"/>
          <w:szCs w:val="24"/>
          <w:lang w:eastAsia="pt-BR"/>
        </w:rPr>
        <w:t>A opção da Administração por um ou outro regime não decorre de mera conveniência, mas sim da possibilidade, no caso concreto, de predefinir uma estimativa precisa dos itens e respectivos quantitativos que compõem o objeto a ser licitado. Se tal possibilidade existir, a regra é a adoção da empreitada por preço global – normalmente atrelada às obras e serviços de menor complexidade. Do contrário, deve ser adotada a empreitada por preço unitário.</w:t>
      </w:r>
    </w:p>
    <w:p w14:paraId="2CF1BCF3"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0EA7597"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FF0000"/>
          <w:sz w:val="24"/>
          <w:szCs w:val="24"/>
          <w:lang w:eastAsia="pt-BR"/>
        </w:rPr>
        <w:t>Como desdobramento direto disso, em contratações por empreitada por preço global, a tramitação de eventuais aditivos contratuais quantitativos e qualitativos exigirá a apresentação de robusta justificativa.</w:t>
      </w:r>
    </w:p>
    <w:p w14:paraId="4DAE0E5A"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29696D23" w14:textId="77777777"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FF0000"/>
          <w:sz w:val="24"/>
          <w:szCs w:val="24"/>
          <w:lang w:eastAsia="pt-BR"/>
        </w:rPr>
        <w:t>Ocorre que a análise sobre a suficiência da descrição quantitativa e qualitativa não tem como ser feita por este órgão jurídico, motivo pelo qual tal incumbência recai sobre os órgãos e autoridades técnicas responsáveis pela descrição do objeto, cabendo-lhes a observância ao tanto quanto exposto até aqui.</w:t>
      </w:r>
    </w:p>
    <w:p w14:paraId="4C8C9468"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48263891" w14:textId="5A4A786B" w:rsidR="004423CE" w:rsidRDefault="004423CE" w:rsidP="00952A35">
      <w:pPr>
        <w:spacing w:after="0" w:line="240" w:lineRule="auto"/>
        <w:jc w:val="both"/>
        <w:rPr>
          <w:rFonts w:ascii="Times New Roman" w:eastAsia="Times New Roman" w:hAnsi="Times New Roman" w:cs="Times New Roman"/>
          <w:color w:val="FF0000"/>
          <w:sz w:val="24"/>
          <w:szCs w:val="24"/>
          <w:lang w:eastAsia="pt-BR"/>
        </w:rPr>
      </w:pPr>
      <w:r w:rsidRPr="00271BE3">
        <w:rPr>
          <w:rFonts w:ascii="Times New Roman" w:eastAsia="Times New Roman" w:hAnsi="Times New Roman" w:cs="Times New Roman"/>
          <w:color w:val="FF0000"/>
          <w:sz w:val="24"/>
          <w:szCs w:val="24"/>
          <w:lang w:eastAsia="pt-BR"/>
        </w:rPr>
        <w:t xml:space="preserve">No caso concreto, </w:t>
      </w:r>
      <w:r w:rsidRPr="0019672F">
        <w:rPr>
          <w:rFonts w:ascii="Times New Roman" w:eastAsia="Times New Roman" w:hAnsi="Times New Roman" w:cs="Times New Roman"/>
          <w:color w:val="FF0000"/>
          <w:sz w:val="24"/>
          <w:szCs w:val="24"/>
          <w:u w:val="single"/>
          <w:lang w:eastAsia="pt-BR"/>
        </w:rPr>
        <w:t>não houve maiores justificativas</w:t>
      </w:r>
      <w:r w:rsidRPr="00271BE3">
        <w:rPr>
          <w:rFonts w:ascii="Times New Roman" w:eastAsia="Times New Roman" w:hAnsi="Times New Roman" w:cs="Times New Roman"/>
          <w:color w:val="FF0000"/>
          <w:sz w:val="24"/>
          <w:szCs w:val="24"/>
          <w:lang w:eastAsia="pt-BR"/>
        </w:rPr>
        <w:t xml:space="preserve"> a respeito da escolha pela empreitada por preço </w:t>
      </w:r>
      <w:r w:rsidRPr="00271BE3">
        <w:rPr>
          <w:rFonts w:ascii="Times New Roman" w:eastAsia="Times New Roman" w:hAnsi="Times New Roman" w:cs="Times New Roman"/>
          <w:color w:val="FF0000"/>
          <w:sz w:val="24"/>
          <w:szCs w:val="24"/>
          <w:shd w:val="clear" w:color="auto" w:fill="00FFFF"/>
          <w:lang w:eastAsia="pt-BR"/>
        </w:rPr>
        <w:t>global/unitário</w:t>
      </w:r>
      <w:r w:rsidRPr="00271BE3">
        <w:rPr>
          <w:rFonts w:ascii="Times New Roman" w:eastAsia="Times New Roman" w:hAnsi="Times New Roman" w:cs="Times New Roman"/>
          <w:color w:val="FF0000"/>
          <w:sz w:val="24"/>
          <w:szCs w:val="24"/>
          <w:lang w:eastAsia="pt-BR"/>
        </w:rPr>
        <w:t>. Assim sendo, </w:t>
      </w:r>
      <w:r w:rsidRPr="00271BE3">
        <w:rPr>
          <w:rFonts w:ascii="Times New Roman" w:eastAsia="Times New Roman" w:hAnsi="Times New Roman" w:cs="Times New Roman"/>
          <w:color w:val="FF0000"/>
          <w:sz w:val="24"/>
          <w:szCs w:val="24"/>
          <w:u w:val="single"/>
          <w:lang w:eastAsia="pt-BR"/>
        </w:rPr>
        <w:t>recomenda-se</w:t>
      </w:r>
      <w:r w:rsidRPr="0019672F">
        <w:rPr>
          <w:rFonts w:ascii="Times New Roman" w:eastAsia="Times New Roman" w:hAnsi="Times New Roman" w:cs="Times New Roman"/>
          <w:color w:val="FF0000"/>
          <w:sz w:val="24"/>
          <w:szCs w:val="24"/>
          <w:lang w:eastAsia="pt-BR"/>
        </w:rPr>
        <w:t xml:space="preserve"> que sejam trazidas ao processo maiores justificativas para o regime de execução escolhido para a presente contratação</w:t>
      </w:r>
      <w:r w:rsidR="00C01A4B">
        <w:rPr>
          <w:rFonts w:ascii="Times New Roman" w:eastAsia="Times New Roman" w:hAnsi="Times New Roman" w:cs="Times New Roman"/>
          <w:color w:val="FF0000"/>
          <w:sz w:val="24"/>
          <w:szCs w:val="24"/>
          <w:lang w:eastAsia="pt-BR"/>
        </w:rPr>
        <w:t>.</w:t>
      </w:r>
    </w:p>
    <w:p w14:paraId="10718906" w14:textId="77777777" w:rsidR="00C01A4B" w:rsidRDefault="00C01A4B" w:rsidP="00C01A4B">
      <w:pPr>
        <w:spacing w:after="0" w:line="240" w:lineRule="auto"/>
        <w:jc w:val="both"/>
        <w:rPr>
          <w:rFonts w:ascii="Times New Roman" w:eastAsia="Times New Roman" w:hAnsi="Times New Roman" w:cs="Times New Roman"/>
          <w:b/>
          <w:bCs/>
          <w:color w:val="000000" w:themeColor="text1"/>
          <w:sz w:val="24"/>
          <w:szCs w:val="24"/>
          <w:lang w:eastAsia="pt-BR"/>
        </w:rPr>
      </w:pPr>
    </w:p>
    <w:p w14:paraId="3CB7C47F" w14:textId="77303BC2" w:rsidR="004423CE" w:rsidRPr="00271BE3" w:rsidRDefault="79B9EDE3" w:rsidP="00C01A4B">
      <w:pPr>
        <w:spacing w:after="0" w:line="240" w:lineRule="auto"/>
        <w:jc w:val="both"/>
        <w:rPr>
          <w:rFonts w:ascii="Times New Roman" w:eastAsia="Times New Roman" w:hAnsi="Times New Roman" w:cs="Times New Roman"/>
          <w:b/>
          <w:bCs/>
          <w:color w:val="000000"/>
          <w:sz w:val="24"/>
          <w:szCs w:val="24"/>
          <w:lang w:eastAsia="pt-BR"/>
        </w:rPr>
      </w:pPr>
      <w:r w:rsidRPr="00271BE3">
        <w:rPr>
          <w:rFonts w:ascii="Times New Roman" w:eastAsia="Times New Roman" w:hAnsi="Times New Roman" w:cs="Times New Roman"/>
          <w:b/>
          <w:bCs/>
          <w:color w:val="000000" w:themeColor="text1"/>
          <w:sz w:val="24"/>
          <w:szCs w:val="24"/>
          <w:lang w:eastAsia="pt-BR"/>
        </w:rPr>
        <w:t>DAS MINUTAS PADRONIZADAS DA AGU – EDITAL, CONTRATO</w:t>
      </w:r>
      <w:r w:rsidRPr="00271BE3">
        <w:rPr>
          <w:rFonts w:ascii="Times New Roman" w:eastAsia="Times New Roman" w:hAnsi="Times New Roman" w:cs="Times New Roman"/>
          <w:b/>
          <w:bCs/>
          <w:color w:val="FF0000"/>
          <w:sz w:val="24"/>
          <w:szCs w:val="24"/>
          <w:lang w:eastAsia="pt-BR"/>
        </w:rPr>
        <w:t> </w:t>
      </w:r>
      <w:r w:rsidR="007E300C" w:rsidRPr="00271BE3">
        <w:rPr>
          <w:rFonts w:ascii="Times New Roman" w:eastAsia="Times New Roman" w:hAnsi="Times New Roman" w:cs="Times New Roman"/>
          <w:b/>
          <w:bCs/>
          <w:color w:val="000000"/>
          <w:sz w:val="24"/>
          <w:szCs w:val="24"/>
          <w:lang w:eastAsia="pt-BR"/>
        </w:rPr>
        <w:t xml:space="preserve"> </w:t>
      </w:r>
    </w:p>
    <w:p w14:paraId="5DF67631" w14:textId="205C7E69" w:rsidR="79B9EDE3" w:rsidRPr="00271BE3" w:rsidRDefault="79B9EDE3" w:rsidP="00952A35">
      <w:pPr>
        <w:spacing w:after="0" w:line="240" w:lineRule="auto"/>
        <w:jc w:val="both"/>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4CC92BDE" w14:textId="3769C14F" w:rsidR="19A60FF2" w:rsidRPr="00271BE3" w:rsidRDefault="3483053E" w:rsidP="00952A35">
      <w:pPr>
        <w:spacing w:after="0" w:line="240" w:lineRule="auto"/>
        <w:jc w:val="both"/>
        <w:rPr>
          <w:rFonts w:ascii="Times New Roman" w:eastAsia="Times New Roman" w:hAnsi="Times New Roman" w:cs="Times New Roman"/>
          <w:color w:val="000000" w:themeColor="text1"/>
          <w:sz w:val="24"/>
          <w:szCs w:val="24"/>
          <w:lang w:eastAsia="pt-BR"/>
        </w:rPr>
      </w:pPr>
      <w:r w:rsidRPr="00271BE3">
        <w:rPr>
          <w:rFonts w:ascii="Times New Roman" w:eastAsia="Calibri" w:hAnsi="Times New Roman" w:cs="Times New Roman"/>
          <w:color w:val="000000" w:themeColor="text1"/>
          <w:sz w:val="24"/>
          <w:szCs w:val="24"/>
          <w:u w:val="single"/>
        </w:rPr>
        <w:t>Recomenda-se</w:t>
      </w:r>
      <w:r w:rsidRPr="00271BE3">
        <w:rPr>
          <w:rFonts w:ascii="Times New Roman" w:eastAsia="Calibri" w:hAnsi="Times New Roman" w:cs="Times New Roman"/>
          <w:color w:val="000000" w:themeColor="text1"/>
          <w:sz w:val="24"/>
          <w:szCs w:val="24"/>
        </w:rPr>
        <w:t xml:space="preserve"> a utilização das minutas disponibilizadas pela AGU, conforme art. 19, IV, c/c art. 25, § 1º, da Lei nº 14.133</w:t>
      </w:r>
      <w:r w:rsidR="007E300C" w:rsidRPr="00271BE3">
        <w:rPr>
          <w:rFonts w:ascii="Times New Roman" w:eastAsia="Calibri" w:hAnsi="Times New Roman" w:cs="Times New Roman"/>
          <w:color w:val="000000" w:themeColor="text1"/>
          <w:sz w:val="24"/>
          <w:szCs w:val="24"/>
        </w:rPr>
        <w:t xml:space="preserve">, de </w:t>
      </w:r>
      <w:r w:rsidRPr="00271BE3">
        <w:rPr>
          <w:rFonts w:ascii="Times New Roman" w:eastAsia="Calibri" w:hAnsi="Times New Roman" w:cs="Times New Roman"/>
          <w:color w:val="000000" w:themeColor="text1"/>
          <w:sz w:val="24"/>
          <w:szCs w:val="24"/>
        </w:rPr>
        <w:t xml:space="preserve">2021, bem como que as alterações realizadas nos modelos sejam destacadas visualmente e justificadas por escrito no processo (art. 19, § 2º, da </w:t>
      </w:r>
      <w:r w:rsidRPr="00271BE3">
        <w:rPr>
          <w:rFonts w:ascii="Times New Roman" w:eastAsia="Calibri" w:hAnsi="Times New Roman" w:cs="Times New Roman"/>
          <w:sz w:val="24"/>
          <w:szCs w:val="24"/>
        </w:rPr>
        <w:t>Lei nº 14.133</w:t>
      </w:r>
      <w:r w:rsidR="007E300C" w:rsidRPr="00271BE3">
        <w:rPr>
          <w:rFonts w:ascii="Times New Roman" w:eastAsia="Calibri" w:hAnsi="Times New Roman" w:cs="Times New Roman"/>
          <w:sz w:val="24"/>
          <w:szCs w:val="24"/>
        </w:rPr>
        <w:t xml:space="preserve">, de </w:t>
      </w:r>
      <w:r w:rsidRPr="00271BE3">
        <w:rPr>
          <w:rFonts w:ascii="Times New Roman" w:eastAsia="Calibri" w:hAnsi="Times New Roman" w:cs="Times New Roman"/>
          <w:sz w:val="24"/>
          <w:szCs w:val="24"/>
        </w:rPr>
        <w:t>2021).</w:t>
      </w:r>
      <w:r w:rsidRPr="00271BE3">
        <w:rPr>
          <w:rFonts w:ascii="Times New Roman" w:eastAsia="Calibri" w:hAnsi="Times New Roman" w:cs="Times New Roman"/>
          <w:color w:val="000000" w:themeColor="text1"/>
          <w:sz w:val="24"/>
          <w:szCs w:val="24"/>
        </w:rPr>
        <w:t xml:space="preserve"> </w:t>
      </w:r>
    </w:p>
    <w:p w14:paraId="697A3DA5" w14:textId="77777777" w:rsidR="00C01A4B" w:rsidRDefault="00C01A4B" w:rsidP="00952A35">
      <w:pPr>
        <w:spacing w:after="0" w:line="240" w:lineRule="auto"/>
        <w:jc w:val="both"/>
        <w:rPr>
          <w:rFonts w:ascii="Times New Roman" w:eastAsia="Calibri" w:hAnsi="Times New Roman" w:cs="Times New Roman"/>
          <w:color w:val="000000" w:themeColor="text1"/>
          <w:sz w:val="24"/>
          <w:szCs w:val="24"/>
        </w:rPr>
      </w:pPr>
    </w:p>
    <w:p w14:paraId="71A3E2CA" w14:textId="6EA27548" w:rsidR="19A60FF2" w:rsidRDefault="4A263EF5" w:rsidP="00952A35">
      <w:pPr>
        <w:spacing w:after="0" w:line="240" w:lineRule="auto"/>
        <w:jc w:val="both"/>
        <w:rPr>
          <w:rFonts w:ascii="Times New Roman" w:eastAsia="Calibri" w:hAnsi="Times New Roman" w:cs="Times New Roman"/>
          <w:sz w:val="24"/>
          <w:szCs w:val="24"/>
        </w:rPr>
      </w:pPr>
      <w:r w:rsidRPr="00271BE3">
        <w:rPr>
          <w:rFonts w:ascii="Times New Roman" w:eastAsia="Calibri" w:hAnsi="Times New Roman" w:cs="Times New Roman"/>
          <w:color w:val="000000" w:themeColor="text1"/>
          <w:sz w:val="24"/>
          <w:szCs w:val="24"/>
        </w:rPr>
        <w:t>A padronização de modelos de editais e contratos é medida de eficiência e celeridade administrativa e há muito tempo vem sendo recomendada pela AGU. Tal postulado foi registrado na quarta edição do seu Manual de Boas Práticas Consultivas, vazado no enunciado do BPC nº 0</w:t>
      </w:r>
      <w:r w:rsidRPr="005B568B">
        <w:rPr>
          <w:rFonts w:ascii="Times New Roman" w:eastAsia="Calibri" w:hAnsi="Times New Roman" w:cs="Times New Roman"/>
          <w:sz w:val="24"/>
          <w:szCs w:val="24"/>
        </w:rPr>
        <w:t xml:space="preserve">6: </w:t>
      </w:r>
    </w:p>
    <w:p w14:paraId="09A1DA10" w14:textId="77777777" w:rsidR="005B568B" w:rsidRPr="00271BE3" w:rsidRDefault="005B568B" w:rsidP="00952A35">
      <w:pPr>
        <w:spacing w:after="0" w:line="240" w:lineRule="auto"/>
        <w:jc w:val="both"/>
        <w:rPr>
          <w:rFonts w:ascii="Times New Roman" w:hAnsi="Times New Roman" w:cs="Times New Roman"/>
          <w:sz w:val="24"/>
          <w:szCs w:val="24"/>
        </w:rPr>
      </w:pPr>
    </w:p>
    <w:p w14:paraId="42938E60" w14:textId="0B8EEA9E" w:rsidR="19A60FF2" w:rsidRPr="005B568B" w:rsidRDefault="4A263EF5" w:rsidP="00952A35">
      <w:pPr>
        <w:spacing w:after="0" w:line="240" w:lineRule="auto"/>
        <w:ind w:left="2268"/>
        <w:jc w:val="both"/>
        <w:rPr>
          <w:rFonts w:ascii="Times New Roman" w:eastAsia="Calibri" w:hAnsi="Times New Roman" w:cs="Times New Roman"/>
          <w:color w:val="FF0000"/>
          <w:sz w:val="20"/>
          <w:szCs w:val="20"/>
        </w:rPr>
      </w:pPr>
      <w:r w:rsidRPr="005B568B">
        <w:rPr>
          <w:rFonts w:ascii="Times New Roman" w:eastAsia="Calibri" w:hAnsi="Times New Roman" w:cs="Times New Roman"/>
          <w:color w:val="FF0000"/>
          <w:sz w:val="20"/>
          <w:szCs w:val="20"/>
        </w:rPr>
        <w:t>A atuação consultiva na análise de processos de contratação pública deve fomentar a utilização das listas de verificação documental (</w:t>
      </w:r>
      <w:proofErr w:type="spellStart"/>
      <w:r w:rsidRPr="005B568B">
        <w:rPr>
          <w:rFonts w:ascii="Times New Roman" w:eastAsia="Calibri" w:hAnsi="Times New Roman" w:cs="Times New Roman"/>
          <w:color w:val="FF0000"/>
          <w:sz w:val="20"/>
          <w:szCs w:val="20"/>
        </w:rPr>
        <w:t>check</w:t>
      </w:r>
      <w:proofErr w:type="spellEnd"/>
      <w:r w:rsidRPr="005B568B">
        <w:rPr>
          <w:rFonts w:ascii="Times New Roman" w:eastAsia="Calibri" w:hAnsi="Times New Roman" w:cs="Times New Roman"/>
          <w:color w:val="FF0000"/>
          <w:sz w:val="20"/>
          <w:szCs w:val="20"/>
        </w:rPr>
        <w:t xml:space="preserve"> </w:t>
      </w:r>
      <w:proofErr w:type="spellStart"/>
      <w:r w:rsidRPr="005B568B">
        <w:rPr>
          <w:rFonts w:ascii="Times New Roman" w:eastAsia="Calibri" w:hAnsi="Times New Roman" w:cs="Times New Roman"/>
          <w:color w:val="FF0000"/>
          <w:sz w:val="20"/>
          <w:szCs w:val="20"/>
        </w:rPr>
        <w:t>lists</w:t>
      </w:r>
      <w:proofErr w:type="spellEnd"/>
      <w:r w:rsidRPr="005B568B">
        <w:rPr>
          <w:rFonts w:ascii="Times New Roman" w:eastAsia="Calibri" w:hAnsi="Times New Roman" w:cs="Times New Roman"/>
          <w:color w:val="FF0000"/>
          <w:sz w:val="20"/>
          <w:szCs w:val="20"/>
        </w:rPr>
        <w:t xml:space="preserve">), do Guia Nacional de Licitações Sustentáveis e das minutas de editais, contratos, convênios e congêneres, </w:t>
      </w:r>
      <w:r w:rsidRPr="005B568B">
        <w:rPr>
          <w:rFonts w:ascii="Times New Roman" w:eastAsia="Calibri" w:hAnsi="Times New Roman" w:cs="Times New Roman"/>
          <w:color w:val="FF0000"/>
          <w:sz w:val="20"/>
          <w:szCs w:val="20"/>
        </w:rPr>
        <w:lastRenderedPageBreak/>
        <w:t>disponibilizadas nos sítios eletrônicos da Advocacia-Geral da União e da Procuradoria-Geral da Fazenda Nacional.</w:t>
      </w:r>
    </w:p>
    <w:p w14:paraId="34C609B9" w14:textId="78EBD1B5" w:rsidR="19A60FF2" w:rsidRPr="005B568B" w:rsidRDefault="4A263EF5" w:rsidP="00952A35">
      <w:pPr>
        <w:spacing w:after="0" w:line="240" w:lineRule="auto"/>
        <w:ind w:left="2268"/>
        <w:jc w:val="both"/>
        <w:rPr>
          <w:rFonts w:ascii="Times New Roman" w:eastAsia="Calibri" w:hAnsi="Times New Roman" w:cs="Times New Roman"/>
          <w:color w:val="FF0000"/>
          <w:sz w:val="20"/>
          <w:szCs w:val="20"/>
        </w:rPr>
      </w:pPr>
      <w:r w:rsidRPr="005B568B">
        <w:rPr>
          <w:rFonts w:ascii="Times New Roman" w:eastAsia="Calibri" w:hAnsi="Times New Roman" w:cs="Times New Roman"/>
          <w:color w:val="FF0000"/>
          <w:sz w:val="20"/>
          <w:szCs w:val="20"/>
        </w:rPr>
        <w:t>No intuito de padronização nacional, incumbe aos Órgãos Consultivos recomendar a utilização das minutas disponibilizadas pelos Órgãos de Direção Superior da AGU, cujas atualizações devem ser informadas aos assessorados.</w:t>
      </w:r>
    </w:p>
    <w:p w14:paraId="56426B00" w14:textId="2555FA08" w:rsidR="19A60FF2" w:rsidRPr="005B568B" w:rsidRDefault="4A263EF5" w:rsidP="00952A35">
      <w:pPr>
        <w:spacing w:after="0" w:line="240" w:lineRule="auto"/>
        <w:ind w:left="2268"/>
        <w:jc w:val="both"/>
        <w:rPr>
          <w:rFonts w:ascii="Times New Roman" w:eastAsia="Calibri" w:hAnsi="Times New Roman" w:cs="Times New Roman"/>
          <w:color w:val="FF0000"/>
          <w:sz w:val="20"/>
          <w:szCs w:val="20"/>
        </w:rPr>
      </w:pPr>
      <w:r w:rsidRPr="005B568B">
        <w:rPr>
          <w:rFonts w:ascii="Times New Roman" w:eastAsia="Calibri" w:hAnsi="Times New Roman" w:cs="Times New Roman"/>
          <w:color w:val="FF0000"/>
          <w:sz w:val="20"/>
          <w:szCs w:val="20"/>
        </w:rPr>
        <w:t>Convém ainda que os Órgãos Consultivos articulem-se com os assessorados, de modo a que edições de texto por estes produzidas em concreto a partir das minutas-padrão sejam destacadas, visando a agilizar o exame jurídico posterior pela instância consultiva da AGU</w:t>
      </w:r>
      <w:r w:rsidR="006E26A1" w:rsidRPr="005B568B">
        <w:rPr>
          <w:rFonts w:ascii="Times New Roman" w:eastAsia="Calibri" w:hAnsi="Times New Roman" w:cs="Times New Roman"/>
          <w:color w:val="FF0000"/>
          <w:sz w:val="20"/>
          <w:szCs w:val="20"/>
        </w:rPr>
        <w:t>.</w:t>
      </w:r>
    </w:p>
    <w:p w14:paraId="65E94FA8" w14:textId="0A779129" w:rsidR="19A60FF2" w:rsidRPr="005B568B" w:rsidRDefault="19A60FF2" w:rsidP="00952A35">
      <w:pPr>
        <w:spacing w:after="0" w:line="240" w:lineRule="auto"/>
        <w:ind w:left="1701"/>
        <w:jc w:val="both"/>
        <w:rPr>
          <w:rFonts w:ascii="Times New Roman" w:eastAsia="Calibri" w:hAnsi="Times New Roman" w:cs="Times New Roman"/>
          <w:color w:val="FF0000"/>
          <w:sz w:val="20"/>
          <w:szCs w:val="20"/>
        </w:rPr>
      </w:pPr>
    </w:p>
    <w:p w14:paraId="594823A4" w14:textId="77777777" w:rsidR="001D2227" w:rsidRDefault="461E27AD"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Dito isso, consta dos autos que foram utilizadas as minutas padronizadas de edital</w:t>
      </w:r>
      <w:r w:rsidR="00535104" w:rsidRPr="00271BE3">
        <w:rPr>
          <w:rFonts w:ascii="Times New Roman" w:eastAsia="Calibri" w:hAnsi="Times New Roman" w:cs="Times New Roman"/>
          <w:color w:val="000000" w:themeColor="text1"/>
          <w:sz w:val="24"/>
          <w:szCs w:val="24"/>
        </w:rPr>
        <w:t xml:space="preserve"> e</w:t>
      </w:r>
      <w:r w:rsidRPr="00271BE3">
        <w:rPr>
          <w:rFonts w:ascii="Times New Roman" w:eastAsia="Calibri" w:hAnsi="Times New Roman" w:cs="Times New Roman"/>
          <w:color w:val="000000" w:themeColor="text1"/>
          <w:sz w:val="24"/>
          <w:szCs w:val="24"/>
        </w:rPr>
        <w:t xml:space="preserve"> contrato disponibilizadas pela Advocacia-Geral da União</w:t>
      </w:r>
      <w:r w:rsidRPr="00271BE3">
        <w:rPr>
          <w:rFonts w:ascii="Times New Roman" w:eastAsia="Calibri" w:hAnsi="Times New Roman" w:cs="Times New Roman"/>
          <w:color w:val="FF0000"/>
          <w:sz w:val="24"/>
          <w:szCs w:val="24"/>
        </w:rPr>
        <w:t xml:space="preserve"> (fls. XXX/doc. SEI XXX)</w:t>
      </w:r>
      <w:r w:rsidRPr="00271BE3">
        <w:rPr>
          <w:rFonts w:ascii="Times New Roman" w:eastAsia="Calibri" w:hAnsi="Times New Roman" w:cs="Times New Roman"/>
          <w:color w:val="000000" w:themeColor="text1"/>
          <w:sz w:val="24"/>
          <w:szCs w:val="24"/>
        </w:rPr>
        <w:t>.</w:t>
      </w:r>
    </w:p>
    <w:p w14:paraId="1734DC87" w14:textId="77777777" w:rsidR="003C2A13" w:rsidRDefault="003C2A13" w:rsidP="00952A35">
      <w:pPr>
        <w:spacing w:after="0" w:line="240" w:lineRule="auto"/>
        <w:jc w:val="both"/>
        <w:rPr>
          <w:rFonts w:ascii="Times New Roman" w:eastAsia="Calibri" w:hAnsi="Times New Roman" w:cs="Times New Roman"/>
          <w:color w:val="000000" w:themeColor="text1"/>
          <w:sz w:val="24"/>
          <w:szCs w:val="24"/>
        </w:rPr>
      </w:pPr>
    </w:p>
    <w:p w14:paraId="73C662D4" w14:textId="54B25A89" w:rsidR="19A60FF2" w:rsidRPr="00271BE3" w:rsidRDefault="3483053E"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Assim, a utilização da minuta-padrão disponibilizada pela AGU, no presente caso, ao tempo em que revela ser medida de eficiência, acaba por restringir a análise jurídica a ser elaborada, tornando-se desarrazoada a revisão e a análise minuciosa de cada cláusula da minuta trazida, pois tal medida iria, na verdade, de encontro à finalidade pretendida com a padronização.</w:t>
      </w:r>
    </w:p>
    <w:p w14:paraId="3434FEFD" w14:textId="77777777" w:rsidR="006E26A1" w:rsidRPr="00271BE3" w:rsidRDefault="006E26A1" w:rsidP="00952A35">
      <w:pPr>
        <w:spacing w:after="0" w:line="240" w:lineRule="auto"/>
        <w:jc w:val="both"/>
        <w:rPr>
          <w:rFonts w:ascii="Times New Roman" w:eastAsia="Calibri" w:hAnsi="Times New Roman" w:cs="Times New Roman"/>
          <w:color w:val="000000" w:themeColor="text1"/>
          <w:sz w:val="24"/>
          <w:szCs w:val="24"/>
        </w:rPr>
      </w:pPr>
    </w:p>
    <w:p w14:paraId="0FD7CBA0" w14:textId="352FBE2F" w:rsidR="3AE99BA2" w:rsidRPr="00271BE3" w:rsidRDefault="3AE99BA2" w:rsidP="00952A35">
      <w:pPr>
        <w:spacing w:after="0" w:line="240" w:lineRule="auto"/>
        <w:jc w:val="both"/>
        <w:rPr>
          <w:rFonts w:ascii="Times New Roman" w:eastAsia="Calibri" w:hAnsi="Times New Roman" w:cs="Times New Roman"/>
          <w:sz w:val="24"/>
          <w:szCs w:val="24"/>
          <w:highlight w:val="green"/>
        </w:rPr>
      </w:pPr>
      <w:r w:rsidRPr="00271BE3">
        <w:rPr>
          <w:rFonts w:ascii="Times New Roman" w:eastAsia="Calibri" w:hAnsi="Times New Roman" w:cs="Times New Roman"/>
          <w:color w:val="000000" w:themeColor="text1"/>
          <w:sz w:val="24"/>
          <w:szCs w:val="24"/>
        </w:rPr>
        <w:t>Os requisitos e elementos a serem contemplados na minuta de edital são aqueles previstos no art. 25,</w:t>
      </w:r>
      <w:r w:rsidRPr="00271BE3">
        <w:rPr>
          <w:rFonts w:ascii="Times New Roman" w:eastAsia="Calibri" w:hAnsi="Times New Roman" w:cs="Times New Roman"/>
          <w:i/>
          <w:iCs/>
          <w:color w:val="000000" w:themeColor="text1"/>
          <w:sz w:val="24"/>
          <w:szCs w:val="24"/>
        </w:rPr>
        <w:t xml:space="preserve"> caput,</w:t>
      </w:r>
      <w:r w:rsidRPr="00271BE3">
        <w:rPr>
          <w:rFonts w:ascii="Times New Roman" w:eastAsia="Calibri" w:hAnsi="Times New Roman" w:cs="Times New Roman"/>
          <w:color w:val="000000" w:themeColor="text1"/>
          <w:sz w:val="24"/>
          <w:szCs w:val="24"/>
        </w:rPr>
        <w:t xml:space="preserve"> da Lei nº 14.133</w:t>
      </w:r>
      <w:r w:rsidR="008A21F9" w:rsidRPr="00271BE3">
        <w:rPr>
          <w:rFonts w:ascii="Times New Roman" w:eastAsia="Calibri" w:hAnsi="Times New Roman" w:cs="Times New Roman"/>
          <w:color w:val="000000" w:themeColor="text1"/>
          <w:sz w:val="24"/>
          <w:szCs w:val="24"/>
        </w:rPr>
        <w:t>, de 20</w:t>
      </w:r>
      <w:r w:rsidRPr="00271BE3">
        <w:rPr>
          <w:rFonts w:ascii="Times New Roman" w:eastAsia="Calibri" w:hAnsi="Times New Roman" w:cs="Times New Roman"/>
          <w:color w:val="000000" w:themeColor="text1"/>
          <w:sz w:val="24"/>
          <w:szCs w:val="24"/>
        </w:rPr>
        <w:t>21, com as devidas adaptações às especificidades de cada contratação.</w:t>
      </w:r>
    </w:p>
    <w:p w14:paraId="5372CA54" w14:textId="77777777" w:rsidR="006E26A1" w:rsidRPr="00271BE3" w:rsidRDefault="006E26A1" w:rsidP="00952A35">
      <w:pPr>
        <w:spacing w:after="0" w:line="240" w:lineRule="auto"/>
        <w:jc w:val="both"/>
        <w:rPr>
          <w:rFonts w:ascii="Times New Roman" w:eastAsia="Calibri" w:hAnsi="Times New Roman" w:cs="Times New Roman"/>
          <w:color w:val="000000" w:themeColor="text1"/>
          <w:sz w:val="24"/>
          <w:szCs w:val="24"/>
        </w:rPr>
      </w:pPr>
    </w:p>
    <w:p w14:paraId="6C2DAFD7" w14:textId="1CDFD7B4" w:rsidR="005B568B" w:rsidRDefault="19A60FF2" w:rsidP="000F224A">
      <w:pPr>
        <w:spacing w:after="0" w:line="240" w:lineRule="auto"/>
        <w:jc w:val="both"/>
        <w:rPr>
          <w:rFonts w:ascii="Times New Roman" w:eastAsia="Calibri" w:hAnsi="Times New Roman" w:cs="Times New Roman"/>
          <w:color w:val="FF0000"/>
          <w:sz w:val="24"/>
          <w:szCs w:val="24"/>
        </w:rPr>
      </w:pPr>
      <w:r w:rsidRPr="00271BE3">
        <w:rPr>
          <w:rFonts w:ascii="Times New Roman" w:eastAsia="Calibri" w:hAnsi="Times New Roman" w:cs="Times New Roman"/>
          <w:color w:val="000000" w:themeColor="text1"/>
          <w:sz w:val="24"/>
          <w:szCs w:val="24"/>
        </w:rPr>
        <w:t xml:space="preserve">Quanto ao uso propriamente dito dos modelos, não há ressalvas a fazer, pois foram adotadas as minutas </w:t>
      </w:r>
      <w:r w:rsidRPr="00271BE3">
        <w:rPr>
          <w:rFonts w:ascii="Times New Roman" w:eastAsia="Calibri" w:hAnsi="Times New Roman" w:cs="Times New Roman"/>
          <w:color w:val="FF0000"/>
          <w:sz w:val="24"/>
          <w:szCs w:val="24"/>
        </w:rPr>
        <w:t>[INDICAR O</w:t>
      </w:r>
      <w:r w:rsidR="00535104" w:rsidRPr="00271BE3">
        <w:rPr>
          <w:rFonts w:ascii="Times New Roman" w:eastAsia="Calibri" w:hAnsi="Times New Roman" w:cs="Times New Roman"/>
          <w:color w:val="FF0000"/>
          <w:sz w:val="24"/>
          <w:szCs w:val="24"/>
        </w:rPr>
        <w:t>S</w:t>
      </w:r>
      <w:r w:rsidRPr="00271BE3">
        <w:rPr>
          <w:rFonts w:ascii="Times New Roman" w:eastAsia="Calibri" w:hAnsi="Times New Roman" w:cs="Times New Roman"/>
          <w:color w:val="FF0000"/>
          <w:sz w:val="24"/>
          <w:szCs w:val="24"/>
        </w:rPr>
        <w:t xml:space="preserve"> MODELO</w:t>
      </w:r>
      <w:r w:rsidR="00535104" w:rsidRPr="00271BE3">
        <w:rPr>
          <w:rFonts w:ascii="Times New Roman" w:eastAsia="Calibri" w:hAnsi="Times New Roman" w:cs="Times New Roman"/>
          <w:color w:val="FF0000"/>
          <w:sz w:val="24"/>
          <w:szCs w:val="24"/>
        </w:rPr>
        <w:t>S</w:t>
      </w:r>
      <w:r w:rsidRPr="00271BE3">
        <w:rPr>
          <w:rFonts w:ascii="Times New Roman" w:eastAsia="Calibri" w:hAnsi="Times New Roman" w:cs="Times New Roman"/>
          <w:color w:val="FF0000"/>
          <w:sz w:val="24"/>
          <w:szCs w:val="24"/>
        </w:rPr>
        <w:t xml:space="preserve"> DA AGU].</w:t>
      </w:r>
    </w:p>
    <w:p w14:paraId="5262DFD8" w14:textId="77777777" w:rsidR="008A6DA8" w:rsidRPr="00271BE3" w:rsidRDefault="008A6DA8" w:rsidP="000F224A">
      <w:pPr>
        <w:spacing w:after="0" w:line="240" w:lineRule="auto"/>
        <w:jc w:val="both"/>
        <w:rPr>
          <w:rFonts w:ascii="Times New Roman" w:eastAsia="Calibri" w:hAnsi="Times New Roman" w:cs="Times New Roman"/>
          <w:color w:val="FF0000"/>
          <w:sz w:val="24"/>
          <w:szCs w:val="24"/>
        </w:rPr>
      </w:pPr>
    </w:p>
    <w:tbl>
      <w:tblPr>
        <w:tblW w:w="9062" w:type="dxa"/>
        <w:tblLayout w:type="fixed"/>
        <w:tblLook w:val="04A0" w:firstRow="1" w:lastRow="0" w:firstColumn="1" w:lastColumn="0" w:noHBand="0" w:noVBand="1"/>
      </w:tblPr>
      <w:tblGrid>
        <w:gridCol w:w="9062"/>
      </w:tblGrid>
      <w:tr w:rsidR="66EBB3D6" w:rsidRPr="00271BE3" w14:paraId="48D19EEE" w14:textId="77777777" w:rsidTr="000F224A">
        <w:trPr>
          <w:trHeight w:val="300"/>
        </w:trPr>
        <w:tc>
          <w:tcPr>
            <w:tcW w:w="9062" w:type="dxa"/>
            <w:tcBorders>
              <w:top w:val="inset" w:sz="8" w:space="0" w:color="000000" w:themeColor="text1"/>
              <w:left w:val="inset" w:sz="8" w:space="0" w:color="000000" w:themeColor="text1"/>
              <w:bottom w:val="inset" w:sz="8" w:space="0" w:color="000000" w:themeColor="text1"/>
              <w:right w:val="inset" w:sz="8" w:space="0" w:color="000000" w:themeColor="text1"/>
            </w:tcBorders>
            <w:shd w:val="clear" w:color="auto" w:fill="FFFF00"/>
            <w:tcMar>
              <w:top w:w="30" w:type="dxa"/>
              <w:left w:w="30" w:type="dxa"/>
              <w:bottom w:w="30" w:type="dxa"/>
              <w:right w:w="30" w:type="dxa"/>
            </w:tcMar>
            <w:vAlign w:val="center"/>
          </w:tcPr>
          <w:p w14:paraId="344967D0" w14:textId="75BAB181" w:rsidR="66EBB3D6" w:rsidRPr="00271BE3" w:rsidRDefault="66EBB3D6"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b/>
                <w:bCs/>
                <w:i/>
                <w:iCs/>
                <w:color w:val="000000" w:themeColor="text1"/>
                <w:sz w:val="24"/>
                <w:szCs w:val="24"/>
              </w:rPr>
              <w:t xml:space="preserve">Nota Explicativa: </w:t>
            </w:r>
            <w:r w:rsidRPr="00271BE3">
              <w:rPr>
                <w:rFonts w:ascii="Times New Roman" w:eastAsia="Calibri" w:hAnsi="Times New Roman" w:cs="Times New Roman"/>
                <w:color w:val="000000" w:themeColor="text1"/>
                <w:sz w:val="24"/>
                <w:szCs w:val="24"/>
              </w:rPr>
              <w:t>O apontamento de eventuais falhas, retificações e esclarecimentos relativos ao conteúdo da minuta de Edital, se for o caso, deverá ser feito de acordo com a situação concreta a ser analisada, tomando-se por base, inclusive, as orientações constantes no modelo de minuta de Edital elaborado pela Câmara Nacional de Modelos de Licitações e Contratos da AGU.</w:t>
            </w:r>
          </w:p>
          <w:p w14:paraId="140928E8" w14:textId="1E8839AB" w:rsidR="66EBB3D6" w:rsidRPr="00271BE3" w:rsidRDefault="66EBB3D6"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t>A seguir, foram elencadas questões controversas identificadas de forma recorrente em pareceres elaborados pelos órgãos de execução da PGF. Evidentemente não há exaustividade nos temas tratados abaixo, incumbindo ao Procurador examinar o caso concreto e incluir em sua manifestação apenas aquelas que forem pertinentes, sem prejuízo de recomendações adicionais, fundadas em peculiaridades de cada situação submetida ao seu exame.</w:t>
            </w:r>
          </w:p>
          <w:p w14:paraId="392DAEA3" w14:textId="1BC7B33F" w:rsidR="66EBB3D6" w:rsidRPr="00271BE3" w:rsidRDefault="66EBB3D6"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t>Nas hipóteses sob comento, deverá ser utilizado o texto abaixo colacionado, com indicação das recomendações consideradas necessárias pelo órgão consultivo.</w:t>
            </w:r>
          </w:p>
        </w:tc>
      </w:tr>
    </w:tbl>
    <w:p w14:paraId="21CAF21E" w14:textId="77777777" w:rsidR="00C01A4B" w:rsidRDefault="00C01A4B" w:rsidP="00952A35">
      <w:pPr>
        <w:spacing w:after="0" w:line="240" w:lineRule="auto"/>
        <w:jc w:val="both"/>
        <w:rPr>
          <w:rFonts w:ascii="Times New Roman" w:eastAsia="Calibri" w:hAnsi="Times New Roman" w:cs="Times New Roman"/>
          <w:sz w:val="24"/>
          <w:szCs w:val="24"/>
        </w:rPr>
      </w:pPr>
    </w:p>
    <w:p w14:paraId="3929640D" w14:textId="119BD1C3" w:rsidR="7327EA6F" w:rsidRDefault="7327EA6F" w:rsidP="00952A35">
      <w:pPr>
        <w:spacing w:after="0" w:line="240" w:lineRule="auto"/>
        <w:jc w:val="both"/>
        <w:rPr>
          <w:rFonts w:ascii="Times New Roman" w:eastAsia="Calibri" w:hAnsi="Times New Roman" w:cs="Times New Roman"/>
          <w:color w:val="FF0000"/>
          <w:sz w:val="24"/>
          <w:szCs w:val="24"/>
          <w:u w:val="single"/>
        </w:rPr>
      </w:pPr>
      <w:r w:rsidRPr="00271BE3">
        <w:rPr>
          <w:rFonts w:ascii="Times New Roman" w:eastAsia="Calibri" w:hAnsi="Times New Roman" w:cs="Times New Roman"/>
          <w:sz w:val="24"/>
          <w:szCs w:val="24"/>
        </w:rPr>
        <w:t xml:space="preserve">Sem embargo disso, quanto ao conteúdo das alterações destacadas ou das partes editáveis das minutas, </w:t>
      </w:r>
      <w:r w:rsidRPr="00271BE3">
        <w:rPr>
          <w:rFonts w:ascii="Times New Roman" w:eastAsia="Calibri" w:hAnsi="Times New Roman" w:cs="Times New Roman"/>
          <w:b/>
          <w:bCs/>
          <w:color w:val="FF0000"/>
          <w:sz w:val="24"/>
          <w:szCs w:val="24"/>
          <w:u w:val="single"/>
        </w:rPr>
        <w:t>constata-se a necessidade de atendimento adicional às recomendações abaixo, a saber</w:t>
      </w:r>
      <w:r w:rsidRPr="00271BE3">
        <w:rPr>
          <w:rFonts w:ascii="Times New Roman" w:eastAsia="Calibri" w:hAnsi="Times New Roman" w:cs="Times New Roman"/>
          <w:color w:val="FF0000"/>
          <w:sz w:val="24"/>
          <w:szCs w:val="24"/>
          <w:u w:val="single"/>
        </w:rPr>
        <w:t>:</w:t>
      </w:r>
    </w:p>
    <w:p w14:paraId="7A84D390" w14:textId="77777777" w:rsidR="00345AFB" w:rsidRPr="00271BE3" w:rsidRDefault="00345AFB" w:rsidP="00952A35">
      <w:pPr>
        <w:spacing w:after="0" w:line="240" w:lineRule="auto"/>
        <w:jc w:val="both"/>
        <w:rPr>
          <w:rFonts w:ascii="Times New Roman" w:eastAsia="Calibri" w:hAnsi="Times New Roman" w:cs="Times New Roman"/>
          <w:sz w:val="24"/>
          <w:szCs w:val="24"/>
        </w:rPr>
      </w:pPr>
    </w:p>
    <w:p w14:paraId="276D10A1" w14:textId="0C4B7FC9" w:rsidR="00345AFB" w:rsidRPr="00345AFB" w:rsidRDefault="00345AFB" w:rsidP="00345AFB">
      <w:pPr>
        <w:pStyle w:val="PargrafodaLista"/>
        <w:numPr>
          <w:ilvl w:val="0"/>
          <w:numId w:val="28"/>
        </w:numPr>
        <w:tabs>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345AFB">
        <w:rPr>
          <w:rFonts w:ascii="Times New Roman" w:eastAsiaTheme="minorEastAsia" w:hAnsi="Times New Roman" w:cs="Times New Roman"/>
          <w:color w:val="FF0000"/>
          <w:sz w:val="20"/>
          <w:szCs w:val="20"/>
          <w:lang w:eastAsia="pt-BR"/>
        </w:rPr>
        <w:t xml:space="preserve">o edital de licitação para </w:t>
      </w:r>
      <w:r w:rsidRPr="00FF4E61">
        <w:rPr>
          <w:rFonts w:ascii="Times New Roman" w:eastAsiaTheme="minorEastAsia" w:hAnsi="Times New Roman" w:cs="Times New Roman"/>
          <w:b/>
          <w:bCs/>
          <w:color w:val="FF0000"/>
          <w:sz w:val="20"/>
          <w:szCs w:val="20"/>
          <w:lang w:eastAsia="pt-BR"/>
        </w:rPr>
        <w:t>registro de preços</w:t>
      </w:r>
      <w:r w:rsidRPr="00345AFB">
        <w:rPr>
          <w:rFonts w:ascii="Times New Roman" w:eastAsiaTheme="minorEastAsia" w:hAnsi="Times New Roman" w:cs="Times New Roman"/>
          <w:color w:val="FF0000"/>
          <w:sz w:val="20"/>
          <w:szCs w:val="20"/>
          <w:lang w:eastAsia="pt-BR"/>
        </w:rPr>
        <w:t xml:space="preserve"> deverá dispor sobre a quantidade mínima a ser cotada de unidades de bens ou, no caso de serviços, de unidades de medida, desde que justificada (art. 15, II, do Decreto nº 11.462, de 2023), bem como sobre a possibilidade de o licitante oferecer ou não proposta em quantitativo inferior ao máximo previsto no edital e obrigar-se nos limites dela (art. 15, IV, do Decreto nº 11.462, de 2023).</w:t>
      </w:r>
    </w:p>
    <w:p w14:paraId="5ED0F73F" w14:textId="1E23B25A" w:rsidR="3BB4FC71" w:rsidRPr="00271BE3" w:rsidRDefault="3BB4FC71" w:rsidP="009617AB">
      <w:pPr>
        <w:spacing w:after="0" w:line="240" w:lineRule="auto"/>
        <w:ind w:firstLine="1418"/>
        <w:jc w:val="both"/>
        <w:rPr>
          <w:rFonts w:ascii="Times New Roman" w:eastAsia="Times New Roman" w:hAnsi="Times New Roman" w:cs="Times New Roman"/>
          <w:color w:val="000000" w:themeColor="text1"/>
          <w:sz w:val="24"/>
          <w:szCs w:val="24"/>
          <w:lang w:eastAsia="pt-BR"/>
        </w:rPr>
      </w:pPr>
    </w:p>
    <w:p w14:paraId="4A439326" w14:textId="3696B8FD" w:rsidR="40DA03B6" w:rsidRPr="00180B8E" w:rsidRDefault="40DA03B6" w:rsidP="009617AB">
      <w:pPr>
        <w:pStyle w:val="PargrafodaLista"/>
        <w:numPr>
          <w:ilvl w:val="0"/>
          <w:numId w:val="25"/>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180B8E">
        <w:rPr>
          <w:rFonts w:ascii="Times New Roman" w:eastAsiaTheme="minorEastAsia" w:hAnsi="Times New Roman" w:cs="Times New Roman"/>
          <w:color w:val="FF0000"/>
          <w:sz w:val="20"/>
          <w:szCs w:val="20"/>
          <w:lang w:eastAsia="pt-BR"/>
        </w:rPr>
        <w:t xml:space="preserve">nas contratações de obras e serviços de engenharia, sempre que a responsabilidade pelo licenciamento ambiental for da Administração, a manifestação prévia ou licença prévia, quando cabíveis, deverão ser obtidas antes da divulgação do edital (art. 115, </w:t>
      </w:r>
      <w:r w:rsidRPr="00180B8E">
        <w:rPr>
          <w:rFonts w:ascii="Times New Roman" w:eastAsiaTheme="minorEastAsia" w:hAnsi="Times New Roman" w:cs="Times New Roman"/>
          <w:color w:val="FF0000"/>
          <w:sz w:val="20"/>
          <w:szCs w:val="20"/>
          <w:lang w:eastAsia="pt-BR"/>
        </w:rPr>
        <w:lastRenderedPageBreak/>
        <w:t>§ 4º, da Lei nº 14.133</w:t>
      </w:r>
      <w:r w:rsidR="000B5A76" w:rsidRPr="00180B8E">
        <w:rPr>
          <w:rFonts w:ascii="Times New Roman" w:eastAsiaTheme="minorEastAsia" w:hAnsi="Times New Roman" w:cs="Times New Roman"/>
          <w:color w:val="FF0000"/>
          <w:sz w:val="20"/>
          <w:szCs w:val="20"/>
          <w:lang w:eastAsia="pt-BR"/>
        </w:rPr>
        <w:t xml:space="preserve">, de </w:t>
      </w:r>
      <w:r w:rsidRPr="00180B8E">
        <w:rPr>
          <w:rFonts w:ascii="Times New Roman" w:eastAsiaTheme="minorEastAsia" w:hAnsi="Times New Roman" w:cs="Times New Roman"/>
          <w:color w:val="FF0000"/>
          <w:sz w:val="20"/>
          <w:szCs w:val="20"/>
          <w:lang w:eastAsia="pt-BR"/>
        </w:rPr>
        <w:t>2021)</w:t>
      </w:r>
      <w:r w:rsidR="4E325761" w:rsidRPr="00180B8E">
        <w:rPr>
          <w:rFonts w:ascii="Times New Roman" w:eastAsiaTheme="minorEastAsia" w:hAnsi="Times New Roman" w:cs="Times New Roman"/>
          <w:color w:val="FF0000"/>
          <w:sz w:val="20"/>
          <w:szCs w:val="20"/>
          <w:lang w:eastAsia="pt-BR"/>
        </w:rPr>
        <w:t>, aspecto a ser enfrentado pela Administração nos autos</w:t>
      </w:r>
      <w:r w:rsidRPr="00180B8E">
        <w:rPr>
          <w:rFonts w:ascii="Times New Roman" w:eastAsiaTheme="minorEastAsia" w:hAnsi="Times New Roman" w:cs="Times New Roman"/>
          <w:color w:val="FF0000"/>
          <w:sz w:val="20"/>
          <w:szCs w:val="20"/>
          <w:lang w:eastAsia="pt-BR"/>
        </w:rPr>
        <w:t>.</w:t>
      </w:r>
      <w:r w:rsidRPr="00180B8E">
        <w:rPr>
          <w:rFonts w:ascii="Times New Roman" w:eastAsiaTheme="minorEastAsia" w:hAnsi="Times New Roman" w:cs="Times New Roman"/>
          <w:color w:val="FF0000"/>
          <w:sz w:val="20"/>
          <w:szCs w:val="20"/>
        </w:rPr>
        <w:t xml:space="preserve"> </w:t>
      </w:r>
    </w:p>
    <w:p w14:paraId="2280C38E" w14:textId="3AFE074D" w:rsidR="66EBB3D6" w:rsidRPr="00180B8E" w:rsidRDefault="66EBB3D6" w:rsidP="009617AB">
      <w:pPr>
        <w:pStyle w:val="PargrafodaLista"/>
        <w:tabs>
          <w:tab w:val="left" w:pos="2552"/>
        </w:tabs>
        <w:spacing w:after="0" w:line="240" w:lineRule="auto"/>
        <w:ind w:left="2268"/>
        <w:jc w:val="both"/>
        <w:rPr>
          <w:rFonts w:ascii="Times New Roman" w:eastAsia="Times New Roman" w:hAnsi="Times New Roman" w:cs="Times New Roman"/>
          <w:color w:val="000000" w:themeColor="text1"/>
          <w:sz w:val="20"/>
          <w:szCs w:val="20"/>
          <w:lang w:eastAsia="pt-BR"/>
        </w:rPr>
      </w:pPr>
    </w:p>
    <w:p w14:paraId="180BD998" w14:textId="78CE73C4" w:rsidR="6BDBBB3D" w:rsidRPr="00180B8E" w:rsidRDefault="6BDBBB3D" w:rsidP="009617AB">
      <w:pPr>
        <w:pStyle w:val="PargrafodaLista"/>
        <w:numPr>
          <w:ilvl w:val="0"/>
          <w:numId w:val="25"/>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180B8E">
        <w:rPr>
          <w:rFonts w:ascii="Times New Roman" w:eastAsia="Calibri" w:hAnsi="Times New Roman" w:cs="Times New Roman"/>
          <w:color w:val="FF0000"/>
          <w:sz w:val="20"/>
          <w:szCs w:val="20"/>
        </w:rPr>
        <w:t>observar o disposto no art. 92, § 2º, da Lei nº 14.133</w:t>
      </w:r>
      <w:r w:rsidR="000B5A76" w:rsidRPr="00180B8E">
        <w:rPr>
          <w:rFonts w:ascii="Times New Roman" w:eastAsia="Calibri" w:hAnsi="Times New Roman" w:cs="Times New Roman"/>
          <w:color w:val="FF0000"/>
          <w:sz w:val="20"/>
          <w:szCs w:val="20"/>
        </w:rPr>
        <w:t xml:space="preserve">, de </w:t>
      </w:r>
      <w:r w:rsidRPr="00180B8E">
        <w:rPr>
          <w:rFonts w:ascii="Times New Roman" w:eastAsia="Calibri" w:hAnsi="Times New Roman" w:cs="Times New Roman"/>
          <w:color w:val="FF0000"/>
          <w:sz w:val="20"/>
          <w:szCs w:val="20"/>
        </w:rPr>
        <w:t>2021, ao estabelecer que, de acordo com as peculiaridades de seu objeto e de seu regime de execução, o contrato conterá cláusula que preveja período antecedente à expedição da ordem de serviço para verificação de pendências, liberação de áreas ou adoção de outras providências cabíveis para a regularidade do início de sua execução.</w:t>
      </w:r>
    </w:p>
    <w:p w14:paraId="233C1519" w14:textId="77777777" w:rsidR="00180B8E" w:rsidRPr="00180B8E" w:rsidRDefault="00180B8E" w:rsidP="009617AB">
      <w:pPr>
        <w:tabs>
          <w:tab w:val="left" w:pos="2552"/>
        </w:tabs>
        <w:spacing w:after="0" w:line="240" w:lineRule="auto"/>
        <w:ind w:left="2268"/>
        <w:jc w:val="both"/>
        <w:rPr>
          <w:rFonts w:ascii="Times New Roman" w:eastAsia="Calibri" w:hAnsi="Times New Roman" w:cs="Times New Roman"/>
          <w:color w:val="FF0000"/>
          <w:sz w:val="20"/>
          <w:szCs w:val="20"/>
        </w:rPr>
      </w:pPr>
    </w:p>
    <w:p w14:paraId="7304E176" w14:textId="0E5BF4E3" w:rsidR="6BDBBB3D" w:rsidRPr="00180B8E" w:rsidRDefault="001771E5" w:rsidP="009617AB">
      <w:pPr>
        <w:pStyle w:val="PargrafodaLista"/>
        <w:numPr>
          <w:ilvl w:val="0"/>
          <w:numId w:val="25"/>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180B8E">
        <w:rPr>
          <w:rFonts w:ascii="Times New Roman" w:eastAsia="Calibri" w:hAnsi="Times New Roman" w:cs="Times New Roman"/>
          <w:color w:val="FF0000"/>
          <w:sz w:val="20"/>
          <w:szCs w:val="20"/>
        </w:rPr>
        <w:t>n</w:t>
      </w:r>
      <w:r w:rsidR="6BDBBB3D" w:rsidRPr="00180B8E">
        <w:rPr>
          <w:rFonts w:ascii="Times New Roman" w:eastAsia="Calibri" w:hAnsi="Times New Roman" w:cs="Times New Roman"/>
          <w:color w:val="FF0000"/>
          <w:sz w:val="20"/>
          <w:szCs w:val="20"/>
        </w:rPr>
        <w:t xml:space="preserve">a cláusula contratual do reajuste, indicar o índice adequado para o reajustamento dos custos decorrentes do mercado, preenchendo o subitem XXX. Para tanto, devem ser adotadas as orientações abaixo: </w:t>
      </w:r>
    </w:p>
    <w:p w14:paraId="0FFFF38C" w14:textId="77777777" w:rsidR="007325B1" w:rsidRPr="00271BE3" w:rsidRDefault="007325B1" w:rsidP="009617AB">
      <w:pPr>
        <w:tabs>
          <w:tab w:val="left" w:pos="2552"/>
        </w:tabs>
        <w:spacing w:after="0" w:line="240" w:lineRule="auto"/>
        <w:jc w:val="both"/>
        <w:rPr>
          <w:rFonts w:ascii="Times New Roman" w:eastAsia="Calibri" w:hAnsi="Times New Roman" w:cs="Times New Roman"/>
          <w:color w:val="FF0000"/>
          <w:sz w:val="24"/>
          <w:szCs w:val="24"/>
        </w:rPr>
      </w:pPr>
    </w:p>
    <w:p w14:paraId="278B1AE8" w14:textId="06EE7BBA" w:rsidR="6BDBBB3D" w:rsidRPr="00171769" w:rsidRDefault="6BDBBB3D" w:rsidP="009617AB">
      <w:pPr>
        <w:tabs>
          <w:tab w:val="left" w:pos="2552"/>
        </w:tabs>
        <w:spacing w:after="0" w:line="240" w:lineRule="auto"/>
        <w:ind w:left="2268"/>
        <w:jc w:val="both"/>
        <w:rPr>
          <w:rFonts w:ascii="Times New Roman" w:eastAsia="Calibri" w:hAnsi="Times New Roman" w:cs="Times New Roman"/>
          <w:color w:val="FF0000"/>
          <w:sz w:val="20"/>
          <w:szCs w:val="20"/>
        </w:rPr>
      </w:pPr>
      <w:r w:rsidRPr="00171769">
        <w:rPr>
          <w:rFonts w:ascii="Times New Roman" w:eastAsia="Calibri" w:hAnsi="Times New Roman" w:cs="Times New Roman"/>
          <w:color w:val="FF0000"/>
          <w:sz w:val="20"/>
          <w:szCs w:val="20"/>
        </w:rPr>
        <w:t xml:space="preserve"> 1) adotar o índice específico ou setorial que guarde a maior correlação possível com o segmento econômico em que estejam inseridos tais insumos diversos; </w:t>
      </w:r>
    </w:p>
    <w:p w14:paraId="0B936A81" w14:textId="25F86E1E" w:rsidR="6BDBBB3D" w:rsidRPr="00171769" w:rsidRDefault="6BDBBB3D" w:rsidP="009617AB">
      <w:pPr>
        <w:tabs>
          <w:tab w:val="left" w:pos="2552"/>
        </w:tabs>
        <w:spacing w:after="0" w:line="240" w:lineRule="auto"/>
        <w:ind w:left="2268"/>
        <w:jc w:val="both"/>
        <w:rPr>
          <w:rFonts w:ascii="Times New Roman" w:eastAsia="Calibri" w:hAnsi="Times New Roman" w:cs="Times New Roman"/>
          <w:color w:val="FF0000"/>
          <w:sz w:val="20"/>
          <w:szCs w:val="20"/>
        </w:rPr>
      </w:pPr>
      <w:r w:rsidRPr="00171769">
        <w:rPr>
          <w:rFonts w:ascii="Times New Roman" w:eastAsia="Calibri" w:hAnsi="Times New Roman" w:cs="Times New Roman"/>
          <w:color w:val="FF0000"/>
          <w:sz w:val="20"/>
          <w:szCs w:val="20"/>
        </w:rPr>
        <w:t xml:space="preserve">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 </w:t>
      </w:r>
    </w:p>
    <w:p w14:paraId="44418119" w14:textId="77777777" w:rsidR="000970E6" w:rsidRPr="00171769" w:rsidRDefault="6BDBBB3D" w:rsidP="009617AB">
      <w:pPr>
        <w:tabs>
          <w:tab w:val="left" w:pos="2552"/>
        </w:tabs>
        <w:spacing w:after="0" w:line="240" w:lineRule="auto"/>
        <w:ind w:left="2268"/>
        <w:jc w:val="both"/>
        <w:rPr>
          <w:rFonts w:ascii="Times New Roman" w:eastAsia="Calibri" w:hAnsi="Times New Roman" w:cs="Times New Roman"/>
          <w:color w:val="FF0000"/>
          <w:sz w:val="20"/>
          <w:szCs w:val="20"/>
        </w:rPr>
      </w:pPr>
      <w:r w:rsidRPr="00171769">
        <w:rPr>
          <w:rFonts w:ascii="Times New Roman" w:eastAsia="Calibri" w:hAnsi="Times New Roman" w:cs="Times New Roman"/>
          <w:color w:val="FF0000"/>
          <w:sz w:val="20"/>
          <w:szCs w:val="20"/>
        </w:rPr>
        <w:t xml:space="preserve">3) na falta de qualquer índice geral com a característica do item anterior, adotar o Índice Nacional de Preços ao Consumidor Amplo - IPCA/IBGE. </w:t>
      </w:r>
    </w:p>
    <w:p w14:paraId="30D421EF" w14:textId="1B4527A2" w:rsidR="6BDBBB3D" w:rsidRPr="00171769" w:rsidRDefault="0F6C8589" w:rsidP="009617AB">
      <w:pPr>
        <w:tabs>
          <w:tab w:val="left" w:pos="2552"/>
        </w:tabs>
        <w:spacing w:after="0" w:line="240" w:lineRule="auto"/>
        <w:ind w:left="2268"/>
        <w:jc w:val="both"/>
        <w:rPr>
          <w:rFonts w:ascii="Times New Roman" w:eastAsia="Calibri" w:hAnsi="Times New Roman" w:cs="Times New Roman"/>
          <w:color w:val="FF0000"/>
          <w:sz w:val="20"/>
          <w:szCs w:val="20"/>
        </w:rPr>
      </w:pPr>
      <w:r w:rsidRPr="00171769">
        <w:rPr>
          <w:rFonts w:ascii="Times New Roman" w:eastAsia="Calibri" w:hAnsi="Times New Roman" w:cs="Times New Roman"/>
          <w:b/>
          <w:bCs/>
          <w:color w:val="FF0000"/>
          <w:sz w:val="20"/>
          <w:szCs w:val="20"/>
        </w:rPr>
        <w:t>Qualquer que seja o índice utilizado, deverá haver a justificativa técnica de sua escolha</w:t>
      </w:r>
      <w:r w:rsidRPr="00171769">
        <w:rPr>
          <w:rFonts w:ascii="Times New Roman" w:eastAsia="Calibri" w:hAnsi="Times New Roman" w:cs="Times New Roman"/>
          <w:color w:val="FF0000"/>
          <w:sz w:val="20"/>
          <w:szCs w:val="20"/>
        </w:rPr>
        <w:t xml:space="preserve"> (item 7, b, do anexo IX da IN SEGES/MP nº 05</w:t>
      </w:r>
      <w:r w:rsidR="008A21F9" w:rsidRPr="00171769">
        <w:rPr>
          <w:rFonts w:ascii="Times New Roman" w:eastAsia="Calibri" w:hAnsi="Times New Roman" w:cs="Times New Roman"/>
          <w:color w:val="FF0000"/>
          <w:sz w:val="20"/>
          <w:szCs w:val="20"/>
        </w:rPr>
        <w:t>, de 20</w:t>
      </w:r>
      <w:r w:rsidRPr="00171769">
        <w:rPr>
          <w:rFonts w:ascii="Times New Roman" w:eastAsia="Calibri" w:hAnsi="Times New Roman" w:cs="Times New Roman"/>
          <w:color w:val="FF0000"/>
          <w:sz w:val="20"/>
          <w:szCs w:val="20"/>
        </w:rPr>
        <w:t>17</w:t>
      </w:r>
      <w:r w:rsidR="000970E6" w:rsidRPr="00171769">
        <w:rPr>
          <w:rFonts w:ascii="Times New Roman" w:eastAsia="Calibri" w:hAnsi="Times New Roman" w:cs="Times New Roman"/>
          <w:color w:val="FF0000"/>
          <w:sz w:val="20"/>
          <w:szCs w:val="20"/>
        </w:rPr>
        <w:t>,</w:t>
      </w:r>
      <w:r w:rsidRPr="00171769">
        <w:rPr>
          <w:rFonts w:ascii="Times New Roman" w:eastAsia="Calibri" w:hAnsi="Times New Roman" w:cs="Times New Roman"/>
          <w:color w:val="FF0000"/>
          <w:sz w:val="20"/>
          <w:szCs w:val="20"/>
        </w:rPr>
        <w:t xml:space="preserve"> c/c item III da Conclusão DEPCONSU/PGF/AGU </w:t>
      </w:r>
      <w:r w:rsidR="00197CAC" w:rsidRPr="00171769">
        <w:rPr>
          <w:rFonts w:ascii="Times New Roman" w:eastAsia="Calibri" w:hAnsi="Times New Roman" w:cs="Times New Roman"/>
          <w:color w:val="FF0000"/>
          <w:sz w:val="20"/>
          <w:szCs w:val="20"/>
        </w:rPr>
        <w:t>nº</w:t>
      </w:r>
      <w:r w:rsidRPr="00171769">
        <w:rPr>
          <w:rFonts w:ascii="Times New Roman" w:eastAsia="Calibri" w:hAnsi="Times New Roman" w:cs="Times New Roman"/>
          <w:color w:val="FF0000"/>
          <w:sz w:val="20"/>
          <w:szCs w:val="20"/>
        </w:rPr>
        <w:t xml:space="preserve"> 38</w:t>
      </w:r>
      <w:r w:rsidR="008A21F9" w:rsidRPr="00171769">
        <w:rPr>
          <w:rFonts w:ascii="Times New Roman" w:eastAsia="Calibri" w:hAnsi="Times New Roman" w:cs="Times New Roman"/>
          <w:color w:val="FF0000"/>
          <w:sz w:val="20"/>
          <w:szCs w:val="20"/>
        </w:rPr>
        <w:t>, de 20</w:t>
      </w:r>
      <w:r w:rsidRPr="00171769">
        <w:rPr>
          <w:rFonts w:ascii="Times New Roman" w:eastAsia="Calibri" w:hAnsi="Times New Roman" w:cs="Times New Roman"/>
          <w:color w:val="FF0000"/>
          <w:sz w:val="20"/>
          <w:szCs w:val="20"/>
        </w:rPr>
        <w:t>13)</w:t>
      </w:r>
      <w:r w:rsidR="001771E5" w:rsidRPr="00171769">
        <w:rPr>
          <w:rFonts w:ascii="Times New Roman" w:eastAsia="Calibri" w:hAnsi="Times New Roman" w:cs="Times New Roman"/>
          <w:color w:val="FF0000"/>
          <w:sz w:val="20"/>
          <w:szCs w:val="20"/>
        </w:rPr>
        <w:t>.</w:t>
      </w:r>
    </w:p>
    <w:p w14:paraId="0886485B" w14:textId="458B5046" w:rsidR="004423CE" w:rsidRPr="00271BE3" w:rsidRDefault="004423CE" w:rsidP="009617AB">
      <w:pPr>
        <w:tabs>
          <w:tab w:val="left" w:pos="2552"/>
        </w:tabs>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1F8C6548" w14:textId="231C7A37" w:rsidR="004423CE" w:rsidRPr="00180B8E" w:rsidRDefault="29D741F9" w:rsidP="009617AB">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000000" w:themeColor="text1"/>
          <w:sz w:val="20"/>
          <w:szCs w:val="20"/>
          <w:lang w:eastAsia="pt-BR"/>
        </w:rPr>
      </w:pPr>
      <w:r w:rsidRPr="00180B8E">
        <w:rPr>
          <w:rFonts w:ascii="Times New Roman" w:eastAsia="Times New Roman" w:hAnsi="Times New Roman" w:cs="Times New Roman"/>
          <w:color w:val="FF0000"/>
          <w:sz w:val="20"/>
          <w:szCs w:val="20"/>
          <w:lang w:eastAsia="pt-BR"/>
        </w:rPr>
        <w:t>a minuta de contrato deverá prever, entre as obrigações da contratada, a juntada ulterior do RRT (arts. 45 e 46 da Lei 12.378</w:t>
      </w:r>
      <w:r w:rsidR="00870236" w:rsidRPr="00180B8E">
        <w:rPr>
          <w:rFonts w:ascii="Times New Roman" w:eastAsia="Times New Roman" w:hAnsi="Times New Roman" w:cs="Times New Roman"/>
          <w:color w:val="FF0000"/>
          <w:sz w:val="20"/>
          <w:szCs w:val="20"/>
          <w:lang w:eastAsia="pt-BR"/>
        </w:rPr>
        <w:t xml:space="preserve">, de </w:t>
      </w:r>
      <w:r w:rsidRPr="00180B8E">
        <w:rPr>
          <w:rFonts w:ascii="Times New Roman" w:eastAsia="Times New Roman" w:hAnsi="Times New Roman" w:cs="Times New Roman"/>
          <w:color w:val="FF0000"/>
          <w:sz w:val="20"/>
          <w:szCs w:val="20"/>
          <w:lang w:eastAsia="pt-BR"/>
        </w:rPr>
        <w:t xml:space="preserve">2010) </w:t>
      </w:r>
      <w:r w:rsidR="1BA44145" w:rsidRPr="00180B8E">
        <w:rPr>
          <w:rFonts w:ascii="Times New Roman" w:eastAsia="Times New Roman" w:hAnsi="Times New Roman" w:cs="Times New Roman"/>
          <w:color w:val="FF0000"/>
          <w:sz w:val="20"/>
          <w:szCs w:val="20"/>
          <w:lang w:eastAsia="pt-BR"/>
        </w:rPr>
        <w:t>e/</w:t>
      </w:r>
      <w:r w:rsidRPr="00180B8E">
        <w:rPr>
          <w:rFonts w:ascii="Times New Roman" w:eastAsia="Times New Roman" w:hAnsi="Times New Roman" w:cs="Times New Roman"/>
          <w:color w:val="FF0000"/>
          <w:sz w:val="20"/>
          <w:szCs w:val="20"/>
          <w:lang w:eastAsia="pt-BR"/>
        </w:rPr>
        <w:t>ou da ART (arts. 1º e 2º da Lei 6.496</w:t>
      </w:r>
      <w:r w:rsidR="00870236" w:rsidRPr="00180B8E">
        <w:rPr>
          <w:rFonts w:ascii="Times New Roman" w:eastAsia="Times New Roman" w:hAnsi="Times New Roman" w:cs="Times New Roman"/>
          <w:color w:val="FF0000"/>
          <w:sz w:val="20"/>
          <w:szCs w:val="20"/>
          <w:lang w:eastAsia="pt-BR"/>
        </w:rPr>
        <w:t xml:space="preserve">, de </w:t>
      </w:r>
      <w:r w:rsidRPr="00180B8E">
        <w:rPr>
          <w:rFonts w:ascii="Times New Roman" w:eastAsia="Times New Roman" w:hAnsi="Times New Roman" w:cs="Times New Roman"/>
          <w:color w:val="FF0000"/>
          <w:sz w:val="20"/>
          <w:szCs w:val="20"/>
          <w:lang w:eastAsia="pt-BR"/>
        </w:rPr>
        <w:t xml:space="preserve">1977) </w:t>
      </w:r>
      <w:r w:rsidR="4B03455D" w:rsidRPr="00180B8E">
        <w:rPr>
          <w:rFonts w:ascii="Times New Roman" w:eastAsia="Times New Roman" w:hAnsi="Times New Roman" w:cs="Times New Roman"/>
          <w:color w:val="FF0000"/>
          <w:sz w:val="20"/>
          <w:szCs w:val="20"/>
          <w:lang w:eastAsia="pt-BR"/>
        </w:rPr>
        <w:t>e/</w:t>
      </w:r>
      <w:r w:rsidR="37A6A07B" w:rsidRPr="00180B8E">
        <w:rPr>
          <w:rFonts w:ascii="Times New Roman" w:eastAsia="Times New Roman" w:hAnsi="Times New Roman" w:cs="Times New Roman"/>
          <w:color w:val="FF0000"/>
          <w:sz w:val="20"/>
          <w:szCs w:val="20"/>
          <w:lang w:eastAsia="pt-BR"/>
        </w:rPr>
        <w:t>o</w:t>
      </w:r>
      <w:r w:rsidR="37A6A07B" w:rsidRPr="00180B8E">
        <w:rPr>
          <w:rFonts w:ascii="Times New Roman" w:eastAsia="Calibri" w:hAnsi="Times New Roman" w:cs="Times New Roman"/>
          <w:color w:val="FF0000"/>
          <w:sz w:val="20"/>
          <w:szCs w:val="20"/>
        </w:rPr>
        <w:t>u do TRT (arts. 16 e 19 da Lei nº 13.639</w:t>
      </w:r>
      <w:r w:rsidR="00870236" w:rsidRPr="00180B8E">
        <w:rPr>
          <w:rFonts w:ascii="Times New Roman" w:eastAsia="Calibri" w:hAnsi="Times New Roman" w:cs="Times New Roman"/>
          <w:color w:val="FF0000"/>
          <w:sz w:val="20"/>
          <w:szCs w:val="20"/>
        </w:rPr>
        <w:t xml:space="preserve">, de </w:t>
      </w:r>
      <w:r w:rsidR="37A6A07B" w:rsidRPr="00180B8E">
        <w:rPr>
          <w:rFonts w:ascii="Times New Roman" w:eastAsia="Calibri" w:hAnsi="Times New Roman" w:cs="Times New Roman"/>
          <w:color w:val="FF0000"/>
          <w:sz w:val="20"/>
          <w:szCs w:val="20"/>
        </w:rPr>
        <w:t>2018),</w:t>
      </w:r>
      <w:r w:rsidR="37A6A07B" w:rsidRPr="00180B8E">
        <w:rPr>
          <w:rFonts w:ascii="Times New Roman" w:eastAsia="Times New Roman" w:hAnsi="Times New Roman" w:cs="Times New Roman"/>
          <w:color w:val="FF0000"/>
          <w:sz w:val="20"/>
          <w:szCs w:val="20"/>
          <w:lang w:eastAsia="pt-BR"/>
        </w:rPr>
        <w:t xml:space="preserve"> </w:t>
      </w:r>
      <w:r w:rsidRPr="00180B8E">
        <w:rPr>
          <w:rFonts w:ascii="Times New Roman" w:eastAsia="Times New Roman" w:hAnsi="Times New Roman" w:cs="Times New Roman"/>
          <w:color w:val="FF0000"/>
          <w:sz w:val="20"/>
          <w:szCs w:val="20"/>
          <w:lang w:eastAsia="pt-BR"/>
        </w:rPr>
        <w:t>relativos aos serviços de arquitetura</w:t>
      </w:r>
      <w:r w:rsidR="4F42CA68" w:rsidRPr="00180B8E">
        <w:rPr>
          <w:rFonts w:ascii="Times New Roman" w:eastAsia="Times New Roman" w:hAnsi="Times New Roman" w:cs="Times New Roman"/>
          <w:color w:val="FF0000"/>
          <w:sz w:val="20"/>
          <w:szCs w:val="20"/>
          <w:lang w:eastAsia="pt-BR"/>
        </w:rPr>
        <w:t>,</w:t>
      </w:r>
      <w:r w:rsidRPr="00180B8E">
        <w:rPr>
          <w:rFonts w:ascii="Times New Roman" w:eastAsia="Times New Roman" w:hAnsi="Times New Roman" w:cs="Times New Roman"/>
          <w:color w:val="FF0000"/>
          <w:sz w:val="20"/>
          <w:szCs w:val="20"/>
          <w:lang w:eastAsia="pt-BR"/>
        </w:rPr>
        <w:t xml:space="preserve"> engenharia </w:t>
      </w:r>
      <w:r w:rsidR="2777E45D" w:rsidRPr="00180B8E">
        <w:rPr>
          <w:rFonts w:ascii="Times New Roman" w:eastAsia="Times New Roman" w:hAnsi="Times New Roman" w:cs="Times New Roman"/>
          <w:color w:val="FF0000"/>
          <w:sz w:val="20"/>
          <w:szCs w:val="20"/>
          <w:lang w:eastAsia="pt-BR"/>
        </w:rPr>
        <w:t xml:space="preserve">ou técnica industrial, </w:t>
      </w:r>
      <w:r w:rsidRPr="00180B8E">
        <w:rPr>
          <w:rFonts w:ascii="Times New Roman" w:eastAsia="Times New Roman" w:hAnsi="Times New Roman" w:cs="Times New Roman"/>
          <w:color w:val="FF0000"/>
          <w:sz w:val="20"/>
          <w:szCs w:val="20"/>
          <w:lang w:eastAsia="pt-BR"/>
        </w:rPr>
        <w:t>respectivamente, para fins de identificação da responsabilidade técnica pela execução contratual (Súmula TCU nº 260).</w:t>
      </w:r>
    </w:p>
    <w:p w14:paraId="3E2AF64B" w14:textId="5C9AB1BB"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p>
    <w:tbl>
      <w:tblPr>
        <w:tblW w:w="9064" w:type="dxa"/>
        <w:tblBorders>
          <w:top w:val="outset" w:sz="6" w:space="0" w:color="000000" w:themeColor="text1"/>
          <w:left w:val="outset" w:sz="6" w:space="0" w:color="000000" w:themeColor="text1"/>
          <w:bottom w:val="outset" w:sz="6" w:space="0" w:color="000000" w:themeColor="text1"/>
          <w:right w:val="outset" w:sz="6" w:space="0" w:color="000000" w:themeColor="text1"/>
        </w:tblBorders>
        <w:tblCellMar>
          <w:top w:w="15" w:type="dxa"/>
          <w:left w:w="15" w:type="dxa"/>
          <w:bottom w:w="15" w:type="dxa"/>
          <w:right w:w="15" w:type="dxa"/>
        </w:tblCellMar>
        <w:tblLook w:val="04A0" w:firstRow="1" w:lastRow="0" w:firstColumn="1" w:lastColumn="0" w:noHBand="0" w:noVBand="1"/>
      </w:tblPr>
      <w:tblGrid>
        <w:gridCol w:w="9064"/>
      </w:tblGrid>
      <w:tr w:rsidR="004423CE" w:rsidRPr="00271BE3" w14:paraId="197C48AE" w14:textId="77777777" w:rsidTr="000F224A">
        <w:trPr>
          <w:trHeight w:val="300"/>
        </w:trPr>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00"/>
            <w:tcMar>
              <w:top w:w="30" w:type="dxa"/>
              <w:left w:w="30" w:type="dxa"/>
              <w:bottom w:w="30" w:type="dxa"/>
              <w:right w:w="30" w:type="dxa"/>
            </w:tcMar>
            <w:vAlign w:val="center"/>
            <w:hideMark/>
          </w:tcPr>
          <w:p w14:paraId="113781D3" w14:textId="0BF5B1C7" w:rsidR="004423CE" w:rsidRPr="00271BE3" w:rsidRDefault="6B97850B" w:rsidP="00952A35">
            <w:pPr>
              <w:spacing w:after="0" w:line="240" w:lineRule="auto"/>
              <w:jc w:val="both"/>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b/>
                <w:bCs/>
                <w:i/>
                <w:iCs/>
                <w:color w:val="000000" w:themeColor="text1"/>
                <w:sz w:val="24"/>
                <w:szCs w:val="24"/>
                <w:highlight w:val="yellow"/>
                <w:shd w:val="clear" w:color="auto" w:fill="FFFF99"/>
                <w:lang w:eastAsia="pt-BR"/>
              </w:rPr>
              <w:t>Nota Explicativa: </w:t>
            </w:r>
            <w:r w:rsidR="18CD1783" w:rsidRPr="00271BE3">
              <w:rPr>
                <w:rFonts w:ascii="Times New Roman" w:eastAsia="Times New Roman" w:hAnsi="Times New Roman" w:cs="Times New Roman"/>
                <w:color w:val="000000" w:themeColor="text1"/>
                <w:sz w:val="24"/>
                <w:szCs w:val="24"/>
                <w:highlight w:val="yellow"/>
                <w:shd w:val="clear" w:color="auto" w:fill="FFFF99"/>
                <w:lang w:eastAsia="pt-BR"/>
              </w:rPr>
              <w:t>O</w:t>
            </w:r>
            <w:r w:rsidRPr="00271BE3">
              <w:rPr>
                <w:rFonts w:ascii="Times New Roman" w:eastAsia="Times New Roman" w:hAnsi="Times New Roman" w:cs="Times New Roman"/>
                <w:color w:val="000000" w:themeColor="text1"/>
                <w:sz w:val="24"/>
                <w:szCs w:val="24"/>
                <w:highlight w:val="yellow"/>
                <w:shd w:val="clear" w:color="auto" w:fill="FFFF99"/>
                <w:lang w:eastAsia="pt-BR"/>
              </w:rPr>
              <w:t xml:space="preserve">s itens abaixo se aplicam na hipótese de licitação para </w:t>
            </w:r>
            <w:r w:rsidRPr="00271BE3">
              <w:rPr>
                <w:rFonts w:ascii="Times New Roman" w:eastAsia="Times New Roman" w:hAnsi="Times New Roman" w:cs="Times New Roman"/>
                <w:b/>
                <w:bCs/>
                <w:color w:val="000000" w:themeColor="text1"/>
                <w:sz w:val="24"/>
                <w:szCs w:val="24"/>
                <w:highlight w:val="yellow"/>
                <w:shd w:val="clear" w:color="auto" w:fill="FFFF99"/>
                <w:lang w:eastAsia="pt-BR"/>
              </w:rPr>
              <w:t>serviços</w:t>
            </w:r>
            <w:r w:rsidRPr="00271BE3">
              <w:rPr>
                <w:rFonts w:ascii="Times New Roman" w:eastAsia="Times New Roman" w:hAnsi="Times New Roman" w:cs="Times New Roman"/>
                <w:color w:val="000000" w:themeColor="text1"/>
                <w:sz w:val="24"/>
                <w:szCs w:val="24"/>
                <w:highlight w:val="yellow"/>
                <w:shd w:val="clear" w:color="auto" w:fill="FFFF99"/>
                <w:lang w:eastAsia="pt-BR"/>
              </w:rPr>
              <w:t xml:space="preserve"> </w:t>
            </w:r>
            <w:r w:rsidRPr="00271BE3">
              <w:rPr>
                <w:rFonts w:ascii="Times New Roman" w:eastAsia="Times New Roman" w:hAnsi="Times New Roman" w:cs="Times New Roman"/>
                <w:b/>
                <w:bCs/>
                <w:color w:val="000000" w:themeColor="text1"/>
                <w:sz w:val="24"/>
                <w:szCs w:val="24"/>
                <w:highlight w:val="yellow"/>
                <w:shd w:val="clear" w:color="auto" w:fill="FFFF99"/>
                <w:lang w:eastAsia="pt-BR"/>
              </w:rPr>
              <w:t>por escopo (não continuados):</w:t>
            </w:r>
          </w:p>
        </w:tc>
      </w:tr>
    </w:tbl>
    <w:p w14:paraId="4FFD0A8F" w14:textId="77777777" w:rsidR="004423CE" w:rsidRPr="00271BE3" w:rsidRDefault="004423CE" w:rsidP="00952A35">
      <w:pPr>
        <w:spacing w:after="0" w:line="240" w:lineRule="auto"/>
        <w:ind w:left="1134"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398AF780" w14:textId="5D72FA26" w:rsidR="004423CE" w:rsidRPr="00180B8E" w:rsidRDefault="004423CE" w:rsidP="009617AB">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180B8E">
        <w:rPr>
          <w:rFonts w:ascii="Times New Roman" w:eastAsia="Times New Roman" w:hAnsi="Times New Roman" w:cs="Times New Roman"/>
          <w:color w:val="FF0000"/>
          <w:sz w:val="20"/>
          <w:szCs w:val="20"/>
          <w:lang w:eastAsia="pt-BR"/>
        </w:rPr>
        <w:t>incluir, no contrato ou em anexo do edital, cronograma físico-financeiro com a especificação completa das etapas necessária à medição, ao monitoramento e ao controle d</w:t>
      </w:r>
      <w:r w:rsidR="7CE22CDF" w:rsidRPr="00180B8E">
        <w:rPr>
          <w:rFonts w:ascii="Times New Roman" w:eastAsia="Times New Roman" w:hAnsi="Times New Roman" w:cs="Times New Roman"/>
          <w:color w:val="FF0000"/>
          <w:sz w:val="20"/>
          <w:szCs w:val="20"/>
          <w:lang w:eastAsia="pt-BR"/>
        </w:rPr>
        <w:t>os serviços</w:t>
      </w:r>
      <w:r w:rsidRPr="00180B8E">
        <w:rPr>
          <w:rFonts w:ascii="Times New Roman" w:eastAsia="Times New Roman" w:hAnsi="Times New Roman" w:cs="Times New Roman"/>
          <w:color w:val="FF0000"/>
          <w:sz w:val="20"/>
          <w:szCs w:val="20"/>
          <w:lang w:eastAsia="pt-BR"/>
        </w:rPr>
        <w:t xml:space="preserve"> (art. 12 do Decreto nº 7.983</w:t>
      </w:r>
      <w:r w:rsidR="00DE6AE8" w:rsidRPr="00180B8E">
        <w:rPr>
          <w:rFonts w:ascii="Times New Roman" w:eastAsia="Times New Roman" w:hAnsi="Times New Roman" w:cs="Times New Roman"/>
          <w:color w:val="FF0000"/>
          <w:sz w:val="20"/>
          <w:szCs w:val="20"/>
          <w:lang w:eastAsia="pt-BR"/>
        </w:rPr>
        <w:t xml:space="preserve">, de </w:t>
      </w:r>
      <w:r w:rsidRPr="00180B8E">
        <w:rPr>
          <w:rFonts w:ascii="Times New Roman" w:eastAsia="Times New Roman" w:hAnsi="Times New Roman" w:cs="Times New Roman"/>
          <w:color w:val="FF0000"/>
          <w:sz w:val="20"/>
          <w:szCs w:val="20"/>
          <w:lang w:eastAsia="pt-BR"/>
        </w:rPr>
        <w:t>2013)</w:t>
      </w:r>
      <w:r w:rsidR="439B6428" w:rsidRPr="00180B8E">
        <w:rPr>
          <w:rFonts w:ascii="Times New Roman" w:eastAsia="Times New Roman" w:hAnsi="Times New Roman" w:cs="Times New Roman"/>
          <w:color w:val="FF0000"/>
          <w:sz w:val="20"/>
          <w:szCs w:val="20"/>
          <w:lang w:eastAsia="pt-BR"/>
        </w:rPr>
        <w:t>.</w:t>
      </w:r>
    </w:p>
    <w:p w14:paraId="2345C464" w14:textId="77777777" w:rsidR="004423CE" w:rsidRPr="00180B8E" w:rsidRDefault="79B9EDE3" w:rsidP="009617AB">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r w:rsidRPr="00180B8E">
        <w:rPr>
          <w:rFonts w:ascii="Times New Roman" w:eastAsia="Times New Roman" w:hAnsi="Times New Roman" w:cs="Times New Roman"/>
          <w:color w:val="000000" w:themeColor="text1"/>
          <w:sz w:val="20"/>
          <w:szCs w:val="20"/>
          <w:lang w:eastAsia="pt-BR"/>
        </w:rPr>
        <w:t> </w:t>
      </w:r>
    </w:p>
    <w:p w14:paraId="01B90217" w14:textId="5CC8FAD0" w:rsidR="79B9EDE3" w:rsidRPr="00180B8E" w:rsidRDefault="4A861287" w:rsidP="009617AB">
      <w:pPr>
        <w:pStyle w:val="PargrafodaLista"/>
        <w:numPr>
          <w:ilvl w:val="0"/>
          <w:numId w:val="25"/>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180B8E">
        <w:rPr>
          <w:rFonts w:ascii="Times New Roman" w:eastAsia="Calibri" w:hAnsi="Times New Roman" w:cs="Times New Roman"/>
          <w:color w:val="FF0000"/>
          <w:sz w:val="20"/>
          <w:szCs w:val="20"/>
        </w:rPr>
        <w:t>da análise da vigência contratual que consta da minuta de contrato, percebemos que haverá extrapolação do exercício financeiro. Desse modo, somente será possível essa contratação se o presente objeto contiver produto previsto nas metas do Plano Plurianual (art. 105 da Lei nº 14.133</w:t>
      </w:r>
      <w:r w:rsidR="00DE6AE8" w:rsidRPr="00180B8E">
        <w:rPr>
          <w:rFonts w:ascii="Times New Roman" w:eastAsia="Calibri" w:hAnsi="Times New Roman" w:cs="Times New Roman"/>
          <w:color w:val="FF0000"/>
          <w:sz w:val="20"/>
          <w:szCs w:val="20"/>
        </w:rPr>
        <w:t>,</w:t>
      </w:r>
      <w:r w:rsidR="007A3982" w:rsidRPr="00180B8E">
        <w:rPr>
          <w:rFonts w:ascii="Times New Roman" w:eastAsia="Calibri" w:hAnsi="Times New Roman" w:cs="Times New Roman"/>
          <w:color w:val="FF0000"/>
          <w:sz w:val="20"/>
          <w:szCs w:val="20"/>
        </w:rPr>
        <w:t xml:space="preserve"> </w:t>
      </w:r>
      <w:r w:rsidR="00DE6AE8" w:rsidRPr="00180B8E">
        <w:rPr>
          <w:rFonts w:ascii="Times New Roman" w:eastAsia="Calibri" w:hAnsi="Times New Roman" w:cs="Times New Roman"/>
          <w:color w:val="FF0000"/>
          <w:sz w:val="20"/>
          <w:szCs w:val="20"/>
        </w:rPr>
        <w:t xml:space="preserve">de </w:t>
      </w:r>
      <w:r w:rsidRPr="00180B8E">
        <w:rPr>
          <w:rFonts w:ascii="Times New Roman" w:eastAsia="Calibri" w:hAnsi="Times New Roman" w:cs="Times New Roman"/>
          <w:color w:val="FF0000"/>
          <w:sz w:val="20"/>
          <w:szCs w:val="20"/>
        </w:rPr>
        <w:t>2021) - devendo haver a comprovação nos autos desse fato -, ou, se todo o empenho necessário à execução contratual for realizado até o dia 31 de dezembro do ano da conclusão da licitação</w:t>
      </w:r>
      <w:r w:rsidR="00092852" w:rsidRPr="00180B8E">
        <w:rPr>
          <w:rFonts w:ascii="Times New Roman" w:eastAsia="Calibri" w:hAnsi="Times New Roman" w:cs="Times New Roman"/>
          <w:color w:val="FF0000"/>
          <w:sz w:val="20"/>
          <w:szCs w:val="20"/>
        </w:rPr>
        <w:t>.</w:t>
      </w:r>
    </w:p>
    <w:p w14:paraId="30B8E2F1" w14:textId="1C462FF9" w:rsidR="7AE5CAC2" w:rsidRPr="00271BE3" w:rsidRDefault="7AE5CAC2" w:rsidP="009617AB">
      <w:pPr>
        <w:tabs>
          <w:tab w:val="left" w:pos="2552"/>
        </w:tabs>
        <w:spacing w:after="0" w:line="240" w:lineRule="auto"/>
        <w:ind w:left="1134"/>
        <w:jc w:val="both"/>
        <w:rPr>
          <w:rFonts w:ascii="Times New Roman" w:eastAsia="Calibri" w:hAnsi="Times New Roman" w:cs="Times New Roman"/>
          <w:color w:val="FF0000"/>
          <w:sz w:val="24"/>
          <w:szCs w:val="24"/>
        </w:rPr>
      </w:pPr>
    </w:p>
    <w:p w14:paraId="7C754880" w14:textId="3DA66C4A" w:rsidR="13F7FD52" w:rsidRPr="00774A17" w:rsidRDefault="13F7FD52" w:rsidP="00952A35">
      <w:pPr>
        <w:spacing w:after="0" w:line="240" w:lineRule="auto"/>
        <w:jc w:val="both"/>
        <w:rPr>
          <w:rFonts w:ascii="Times New Roman" w:eastAsiaTheme="minorEastAsia" w:hAnsi="Times New Roman" w:cs="Times New Roman"/>
          <w:color w:val="000000" w:themeColor="text1"/>
          <w:sz w:val="24"/>
          <w:szCs w:val="24"/>
          <w:u w:val="single"/>
        </w:rPr>
      </w:pPr>
      <w:r w:rsidRPr="00271BE3">
        <w:rPr>
          <w:rFonts w:ascii="Times New Roman" w:eastAsiaTheme="minorEastAsia" w:hAnsi="Times New Roman" w:cs="Times New Roman"/>
          <w:color w:val="000000" w:themeColor="text1"/>
          <w:sz w:val="24"/>
          <w:szCs w:val="24"/>
        </w:rPr>
        <w:t>O PARECER n.00004</w:t>
      </w:r>
      <w:r w:rsidR="008A21F9" w:rsidRPr="00271BE3">
        <w:rPr>
          <w:rFonts w:ascii="Times New Roman" w:eastAsiaTheme="minorEastAsia" w:hAnsi="Times New Roman" w:cs="Times New Roman"/>
          <w:color w:val="000000" w:themeColor="text1"/>
          <w:sz w:val="24"/>
          <w:szCs w:val="24"/>
        </w:rPr>
        <w:t>, de 20</w:t>
      </w:r>
      <w:r w:rsidRPr="00271BE3">
        <w:rPr>
          <w:rFonts w:ascii="Times New Roman" w:eastAsiaTheme="minorEastAsia" w:hAnsi="Times New Roman" w:cs="Times New Roman"/>
          <w:color w:val="000000" w:themeColor="text1"/>
          <w:sz w:val="24"/>
          <w:szCs w:val="24"/>
        </w:rPr>
        <w:t>22/CNMLC/CGU/AGU (NUP: 00688.000716</w:t>
      </w:r>
      <w:r w:rsidR="008A21F9" w:rsidRPr="00271BE3">
        <w:rPr>
          <w:rFonts w:ascii="Times New Roman" w:eastAsiaTheme="minorEastAsia" w:hAnsi="Times New Roman" w:cs="Times New Roman"/>
          <w:color w:val="000000" w:themeColor="text1"/>
          <w:sz w:val="24"/>
          <w:szCs w:val="24"/>
        </w:rPr>
        <w:t>, de 20</w:t>
      </w:r>
      <w:r w:rsidRPr="00271BE3">
        <w:rPr>
          <w:rFonts w:ascii="Times New Roman" w:eastAsiaTheme="minorEastAsia" w:hAnsi="Times New Roman" w:cs="Times New Roman"/>
          <w:color w:val="000000" w:themeColor="text1"/>
          <w:sz w:val="24"/>
          <w:szCs w:val="24"/>
        </w:rPr>
        <w:t>19-43), ao tratar sobre a aplicação da Lei Geral de Proteção de Dados nos modelos de licitação e contratos, fixou o entendimento de que, nos contratos administrativos, “</w:t>
      </w:r>
      <w:r w:rsidRPr="00271BE3">
        <w:rPr>
          <w:rFonts w:ascii="Times New Roman" w:eastAsiaTheme="minorEastAsia" w:hAnsi="Times New Roman" w:cs="Times New Roman"/>
          <w:i/>
          <w:iCs/>
          <w:color w:val="000000" w:themeColor="text1"/>
          <w:sz w:val="24"/>
          <w:szCs w:val="24"/>
        </w:rPr>
        <w:t xml:space="preserve">[...] </w:t>
      </w:r>
      <w:r w:rsidRPr="00271BE3">
        <w:rPr>
          <w:rFonts w:ascii="Times New Roman" w:eastAsiaTheme="minorEastAsia" w:hAnsi="Times New Roman" w:cs="Times New Roman"/>
          <w:b/>
          <w:bCs/>
          <w:i/>
          <w:iCs/>
          <w:color w:val="000000" w:themeColor="text1"/>
          <w:sz w:val="24"/>
          <w:szCs w:val="24"/>
        </w:rPr>
        <w:t>não constem os números de documentos pessoais das pessoas naturais que irão assiná-los, como ocorre normalmente com os representantes da Administração e da empresa contratada.</w:t>
      </w:r>
      <w:r w:rsidRPr="00271BE3">
        <w:rPr>
          <w:rFonts w:ascii="Times New Roman" w:eastAsiaTheme="minorEastAsia" w:hAnsi="Times New Roman" w:cs="Times New Roman"/>
          <w:i/>
          <w:iCs/>
          <w:color w:val="000000" w:themeColor="text1"/>
          <w:sz w:val="24"/>
          <w:szCs w:val="24"/>
        </w:rPr>
        <w:t xml:space="preserve">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w:t>
      </w:r>
      <w:r w:rsidRPr="00271BE3">
        <w:rPr>
          <w:rFonts w:ascii="Times New Roman" w:eastAsiaTheme="minorEastAsia" w:hAnsi="Times New Roman" w:cs="Times New Roman"/>
          <w:i/>
          <w:iCs/>
          <w:color w:val="000000" w:themeColor="text1"/>
          <w:sz w:val="24"/>
          <w:szCs w:val="24"/>
        </w:rPr>
        <w:lastRenderedPageBreak/>
        <w:t>61 da Lei nº 8.666, de 1993, e o §1º do art. 89 da Lei nº 14.133, de 1º de abril de 2021, exigem apenas esse dado</w:t>
      </w:r>
      <w:r w:rsidR="7F5310B7" w:rsidRPr="00271BE3">
        <w:rPr>
          <w:rFonts w:ascii="Times New Roman" w:eastAsiaTheme="minorEastAsia" w:hAnsi="Times New Roman" w:cs="Times New Roman"/>
          <w:i/>
          <w:iCs/>
          <w:color w:val="000000" w:themeColor="text1"/>
          <w:sz w:val="24"/>
          <w:szCs w:val="24"/>
        </w:rPr>
        <w:t>,</w:t>
      </w:r>
      <w:r w:rsidR="7F5310B7" w:rsidRPr="00271BE3">
        <w:rPr>
          <w:rFonts w:ascii="Times New Roman" w:eastAsiaTheme="minorEastAsia" w:hAnsi="Times New Roman" w:cs="Times New Roman"/>
          <w:color w:val="000000" w:themeColor="text1"/>
          <w:sz w:val="24"/>
          <w:szCs w:val="24"/>
        </w:rPr>
        <w:t xml:space="preserve"> ", </w:t>
      </w:r>
      <w:r w:rsidR="7F5310B7" w:rsidRPr="00774A17">
        <w:rPr>
          <w:rFonts w:ascii="Times New Roman" w:eastAsiaTheme="minorEastAsia" w:hAnsi="Times New Roman" w:cs="Times New Roman"/>
          <w:b/>
          <w:bCs/>
          <w:color w:val="000000" w:themeColor="text1"/>
          <w:sz w:val="24"/>
          <w:szCs w:val="24"/>
          <w:u w:val="single"/>
        </w:rPr>
        <w:t>o que deve ser observado pela Administração</w:t>
      </w:r>
      <w:r w:rsidR="7F5310B7" w:rsidRPr="00774A17">
        <w:rPr>
          <w:rFonts w:ascii="Times New Roman" w:eastAsiaTheme="minorEastAsia" w:hAnsi="Times New Roman" w:cs="Times New Roman"/>
          <w:color w:val="000000" w:themeColor="text1"/>
          <w:sz w:val="24"/>
          <w:szCs w:val="24"/>
          <w:u w:val="single"/>
        </w:rPr>
        <w:t>.</w:t>
      </w:r>
    </w:p>
    <w:p w14:paraId="670DF032" w14:textId="686082F5" w:rsidR="37D10FEF" w:rsidRPr="00271BE3" w:rsidRDefault="37D10FEF"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t xml:space="preserve"> </w:t>
      </w:r>
    </w:p>
    <w:tbl>
      <w:tblPr>
        <w:tblW w:w="9062" w:type="dxa"/>
        <w:tblLayout w:type="fixed"/>
        <w:tblLook w:val="04A0" w:firstRow="1" w:lastRow="0" w:firstColumn="1" w:lastColumn="0" w:noHBand="0" w:noVBand="1"/>
      </w:tblPr>
      <w:tblGrid>
        <w:gridCol w:w="9062"/>
      </w:tblGrid>
      <w:tr w:rsidR="66EBB3D6" w:rsidRPr="00271BE3" w14:paraId="330BDABA" w14:textId="77777777" w:rsidTr="000F224A">
        <w:trPr>
          <w:trHeight w:val="300"/>
        </w:trPr>
        <w:tc>
          <w:tcPr>
            <w:tcW w:w="9062" w:type="dxa"/>
            <w:tcBorders>
              <w:top w:val="inset" w:sz="8" w:space="0" w:color="000000" w:themeColor="text1"/>
              <w:left w:val="inset" w:sz="8" w:space="0" w:color="000000" w:themeColor="text1"/>
              <w:bottom w:val="inset" w:sz="8" w:space="0" w:color="000000" w:themeColor="text1"/>
              <w:right w:val="inset" w:sz="8" w:space="0" w:color="000000" w:themeColor="text1"/>
            </w:tcBorders>
            <w:shd w:val="clear" w:color="auto" w:fill="FFFF00"/>
            <w:tcMar>
              <w:top w:w="30" w:type="dxa"/>
              <w:left w:w="30" w:type="dxa"/>
              <w:bottom w:w="30" w:type="dxa"/>
              <w:right w:w="30" w:type="dxa"/>
            </w:tcMar>
            <w:vAlign w:val="center"/>
          </w:tcPr>
          <w:p w14:paraId="7503BF83" w14:textId="5A84ABCA" w:rsidR="66EBB3D6" w:rsidRPr="00271BE3" w:rsidRDefault="66EBB3D6"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b/>
                <w:bCs/>
                <w:i/>
                <w:iCs/>
                <w:color w:val="000000" w:themeColor="text1"/>
                <w:sz w:val="24"/>
                <w:szCs w:val="24"/>
              </w:rPr>
              <w:t xml:space="preserve">Nota Explicativa: </w:t>
            </w:r>
            <w:r w:rsidRPr="00271BE3">
              <w:rPr>
                <w:rFonts w:ascii="Times New Roman" w:eastAsia="Calibri" w:hAnsi="Times New Roman" w:cs="Times New Roman"/>
                <w:color w:val="000000" w:themeColor="text1"/>
                <w:sz w:val="24"/>
                <w:szCs w:val="24"/>
              </w:rPr>
              <w:t>Caso não tenha sido juntado termo de contrato, deverá ser utilizada a redação abaixo:</w:t>
            </w:r>
          </w:p>
        </w:tc>
      </w:tr>
    </w:tbl>
    <w:p w14:paraId="722EE9A8" w14:textId="15819486" w:rsidR="37D10FEF" w:rsidRPr="00271BE3" w:rsidRDefault="37D10FEF" w:rsidP="00952A35">
      <w:pPr>
        <w:spacing w:after="0" w:line="240" w:lineRule="auto"/>
        <w:ind w:firstLine="1418"/>
        <w:jc w:val="both"/>
        <w:rPr>
          <w:rFonts w:ascii="Times New Roman" w:hAnsi="Times New Roman" w:cs="Times New Roman"/>
          <w:sz w:val="24"/>
          <w:szCs w:val="24"/>
        </w:rPr>
      </w:pPr>
      <w:r w:rsidRPr="00271BE3">
        <w:rPr>
          <w:rFonts w:ascii="Times New Roman" w:eastAsia="Calibri" w:hAnsi="Times New Roman" w:cs="Times New Roman"/>
          <w:color w:val="000000" w:themeColor="text1"/>
          <w:sz w:val="24"/>
          <w:szCs w:val="24"/>
        </w:rPr>
        <w:t xml:space="preserve"> </w:t>
      </w:r>
    </w:p>
    <w:p w14:paraId="69690325" w14:textId="2753EA3E" w:rsidR="37D10FEF" w:rsidRPr="00271BE3" w:rsidRDefault="05CB8766" w:rsidP="00952A35">
      <w:pPr>
        <w:spacing w:after="0" w:line="240" w:lineRule="auto"/>
        <w:jc w:val="both"/>
        <w:rPr>
          <w:rFonts w:ascii="Times New Roman" w:eastAsia="Calibri" w:hAnsi="Times New Roman" w:cs="Times New Roman"/>
          <w:color w:val="FF0000"/>
          <w:sz w:val="24"/>
          <w:szCs w:val="24"/>
        </w:rPr>
      </w:pPr>
      <w:r w:rsidRPr="00271BE3">
        <w:rPr>
          <w:rFonts w:ascii="Times New Roman" w:eastAsia="Calibri" w:hAnsi="Times New Roman" w:cs="Times New Roman"/>
          <w:color w:val="FF0000"/>
          <w:sz w:val="24"/>
          <w:szCs w:val="24"/>
        </w:rPr>
        <w:t xml:space="preserve">No caso, verifica-se que </w:t>
      </w:r>
      <w:r w:rsidRPr="00774A17">
        <w:rPr>
          <w:rFonts w:ascii="Times New Roman" w:eastAsia="Calibri" w:hAnsi="Times New Roman" w:cs="Times New Roman"/>
          <w:color w:val="FF0000"/>
          <w:sz w:val="24"/>
          <w:szCs w:val="24"/>
          <w:u w:val="single"/>
        </w:rPr>
        <w:t>não foi anexado o termo de contrato</w:t>
      </w:r>
      <w:r w:rsidRPr="00271BE3">
        <w:rPr>
          <w:rFonts w:ascii="Times New Roman" w:eastAsia="Calibri" w:hAnsi="Times New Roman" w:cs="Times New Roman"/>
          <w:color w:val="FF0000"/>
          <w:sz w:val="24"/>
          <w:szCs w:val="24"/>
        </w:rPr>
        <w:t xml:space="preserve"> e, por outro lado, </w:t>
      </w:r>
      <w:r w:rsidRPr="00271BE3">
        <w:rPr>
          <w:rFonts w:ascii="Times New Roman" w:eastAsia="Calibri" w:hAnsi="Times New Roman" w:cs="Times New Roman"/>
          <w:b/>
          <w:bCs/>
          <w:color w:val="FF0000"/>
          <w:sz w:val="24"/>
          <w:szCs w:val="24"/>
          <w:u w:val="single"/>
        </w:rPr>
        <w:t>tratando-se de pregão para serviços</w:t>
      </w:r>
      <w:r w:rsidRPr="00271BE3">
        <w:rPr>
          <w:rFonts w:ascii="Times New Roman" w:eastAsia="Calibri" w:hAnsi="Times New Roman" w:cs="Times New Roman"/>
          <w:color w:val="FF0000"/>
          <w:sz w:val="24"/>
          <w:szCs w:val="24"/>
        </w:rPr>
        <w:t>, tal situação não encontra amparo no art. 95 da Lei nº 14.133</w:t>
      </w:r>
      <w:r w:rsidR="00092852" w:rsidRPr="00271BE3">
        <w:rPr>
          <w:rFonts w:ascii="Times New Roman" w:eastAsia="Calibri" w:hAnsi="Times New Roman" w:cs="Times New Roman"/>
          <w:color w:val="FF0000"/>
          <w:sz w:val="24"/>
          <w:szCs w:val="24"/>
        </w:rPr>
        <w:t xml:space="preserve">, de </w:t>
      </w:r>
      <w:r w:rsidRPr="00271BE3">
        <w:rPr>
          <w:rFonts w:ascii="Times New Roman" w:eastAsia="Calibri" w:hAnsi="Times New Roman" w:cs="Times New Roman"/>
          <w:color w:val="FF0000"/>
          <w:sz w:val="24"/>
          <w:szCs w:val="24"/>
        </w:rPr>
        <w:t xml:space="preserve">2021, que admite a sua substituição por outro instrumento hábil, nas hipóteses de dispensa de licitação em razão de valor e para </w:t>
      </w:r>
      <w:r w:rsidRPr="00271BE3">
        <w:rPr>
          <w:rFonts w:ascii="Times New Roman" w:eastAsia="Calibri" w:hAnsi="Times New Roman" w:cs="Times New Roman"/>
          <w:b/>
          <w:bCs/>
          <w:color w:val="FF0000"/>
          <w:sz w:val="24"/>
          <w:szCs w:val="24"/>
          <w:u w:val="single"/>
        </w:rPr>
        <w:t>compras</w:t>
      </w:r>
      <w:r w:rsidRPr="00271BE3">
        <w:rPr>
          <w:rFonts w:ascii="Times New Roman" w:eastAsia="Calibri" w:hAnsi="Times New Roman" w:cs="Times New Roman"/>
          <w:color w:val="FF0000"/>
          <w:sz w:val="24"/>
          <w:szCs w:val="24"/>
        </w:rPr>
        <w:t xml:space="preserve"> com entrega imediata e integral dos bens adquiridos e dos quais não resultem obrigações futuras, inclusive quanto a assistência técnica, independentemente de seu valor.</w:t>
      </w:r>
    </w:p>
    <w:p w14:paraId="114CC8F5" w14:textId="706BCA32" w:rsidR="37D10FEF" w:rsidRPr="00271BE3" w:rsidRDefault="37D10FEF" w:rsidP="00952A35">
      <w:pPr>
        <w:spacing w:after="0" w:line="240" w:lineRule="auto"/>
        <w:jc w:val="both"/>
        <w:rPr>
          <w:rFonts w:ascii="Times New Roman" w:hAnsi="Times New Roman" w:cs="Times New Roman"/>
          <w:sz w:val="24"/>
          <w:szCs w:val="24"/>
        </w:rPr>
      </w:pPr>
      <w:r w:rsidRPr="00271BE3">
        <w:rPr>
          <w:rFonts w:ascii="Times New Roman" w:eastAsia="Calibri" w:hAnsi="Times New Roman" w:cs="Times New Roman"/>
          <w:color w:val="FF0000"/>
          <w:sz w:val="24"/>
          <w:szCs w:val="24"/>
        </w:rPr>
        <w:t xml:space="preserve"> </w:t>
      </w:r>
    </w:p>
    <w:p w14:paraId="329E2951" w14:textId="16DA4AB1" w:rsidR="37D10FEF" w:rsidRPr="00271BE3" w:rsidRDefault="37D10FEF" w:rsidP="00952A35">
      <w:pPr>
        <w:spacing w:after="0" w:line="240" w:lineRule="auto"/>
        <w:jc w:val="both"/>
        <w:rPr>
          <w:rFonts w:ascii="Times New Roman" w:hAnsi="Times New Roman" w:cs="Times New Roman"/>
          <w:sz w:val="24"/>
          <w:szCs w:val="24"/>
        </w:rPr>
      </w:pPr>
      <w:r w:rsidRPr="00067D9E">
        <w:rPr>
          <w:rFonts w:ascii="Times New Roman" w:eastAsia="Calibri" w:hAnsi="Times New Roman" w:cs="Times New Roman"/>
          <w:color w:val="FF0000"/>
          <w:sz w:val="24"/>
          <w:szCs w:val="24"/>
          <w:u w:val="single"/>
        </w:rPr>
        <w:t xml:space="preserve">Necessário, pois, que </w:t>
      </w:r>
      <w:r w:rsidRPr="00271BE3">
        <w:rPr>
          <w:rFonts w:ascii="Times New Roman" w:eastAsia="Calibri" w:hAnsi="Times New Roman" w:cs="Times New Roman"/>
          <w:color w:val="FF0000"/>
          <w:sz w:val="24"/>
          <w:szCs w:val="24"/>
          <w:u w:val="single"/>
        </w:rPr>
        <w:t>a Administração providencie a juntada da minuta contratual</w:t>
      </w:r>
      <w:r w:rsidRPr="00271BE3">
        <w:rPr>
          <w:rFonts w:ascii="Times New Roman" w:eastAsia="Calibri" w:hAnsi="Times New Roman" w:cs="Times New Roman"/>
          <w:color w:val="FF0000"/>
          <w:sz w:val="24"/>
          <w:szCs w:val="24"/>
        </w:rPr>
        <w:t xml:space="preserve">, elaborada em conformidade com o correspondente modelo padronizado pela AGU, </w:t>
      </w:r>
      <w:r w:rsidRPr="00271BE3">
        <w:rPr>
          <w:rFonts w:ascii="Times New Roman" w:eastAsia="Calibri" w:hAnsi="Times New Roman" w:cs="Times New Roman"/>
          <w:color w:val="FF0000"/>
          <w:sz w:val="24"/>
          <w:szCs w:val="24"/>
          <w:u w:val="single"/>
        </w:rPr>
        <w:t>reencaminhando os autos a este órgão consultivo para exame da regularidade jurídica da minuta a ser anexada</w:t>
      </w:r>
      <w:r w:rsidRPr="00271BE3">
        <w:rPr>
          <w:rFonts w:ascii="Times New Roman" w:eastAsia="Calibri" w:hAnsi="Times New Roman" w:cs="Times New Roman"/>
          <w:color w:val="FF0000"/>
          <w:sz w:val="24"/>
          <w:szCs w:val="24"/>
        </w:rPr>
        <w:t>.</w:t>
      </w:r>
    </w:p>
    <w:p w14:paraId="64DC44E3" w14:textId="4F59C7DD" w:rsidR="000F224A" w:rsidRPr="000F224A" w:rsidRDefault="004423CE" w:rsidP="000F224A">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5E4EAB4B" w14:textId="69D67F3D" w:rsidR="00603643" w:rsidRPr="000A51F1" w:rsidRDefault="00603643" w:rsidP="00603643">
      <w:pPr>
        <w:spacing w:after="0" w:line="240" w:lineRule="auto"/>
        <w:jc w:val="both"/>
      </w:pPr>
      <w:r w:rsidRPr="00603643">
        <w:rPr>
          <w:rFonts w:ascii="Times New Roman" w:eastAsia="Times New Roman" w:hAnsi="Times New Roman" w:cs="Times New Roman"/>
          <w:b/>
          <w:bCs/>
          <w:color w:val="FF0000"/>
          <w:sz w:val="24"/>
          <w:szCs w:val="24"/>
        </w:rPr>
        <w:t xml:space="preserve">DA ADESÃO À ATA DE REGISTRO DE PREÇOS   </w:t>
      </w:r>
      <w:r w:rsidRPr="17806A35">
        <w:rPr>
          <w:rFonts w:ascii="Times New Roman" w:eastAsia="Times New Roman" w:hAnsi="Times New Roman" w:cs="Times New Roman"/>
          <w:color w:val="FF0000"/>
          <w:sz w:val="24"/>
          <w:szCs w:val="24"/>
        </w:rPr>
        <w:t xml:space="preserve"> </w:t>
      </w:r>
    </w:p>
    <w:p w14:paraId="0B0E4D04" w14:textId="77777777" w:rsidR="00603643" w:rsidRPr="000A51F1" w:rsidRDefault="00603643" w:rsidP="00603643">
      <w:pPr>
        <w:spacing w:after="0" w:line="240" w:lineRule="auto"/>
        <w:ind w:firstLine="1410"/>
        <w:jc w:val="both"/>
      </w:pPr>
      <w:r w:rsidRPr="17806A35">
        <w:rPr>
          <w:rFonts w:ascii="Times New Roman" w:eastAsia="Times New Roman" w:hAnsi="Times New Roman" w:cs="Times New Roman"/>
          <w:color w:val="FF0000"/>
          <w:sz w:val="24"/>
          <w:szCs w:val="24"/>
        </w:rPr>
        <w:t xml:space="preserve"> </w:t>
      </w:r>
    </w:p>
    <w:p w14:paraId="3EAD5417" w14:textId="77777777" w:rsidR="00603643" w:rsidRPr="00E429B3" w:rsidRDefault="00603643" w:rsidP="00603643">
      <w:pPr>
        <w:spacing w:after="0" w:line="240" w:lineRule="auto"/>
        <w:jc w:val="both"/>
        <w:rPr>
          <w:rFonts w:ascii="Times New Roman" w:eastAsia="Calibri" w:hAnsi="Times New Roman" w:cs="Times New Roman"/>
          <w:color w:val="FF0000"/>
          <w:sz w:val="24"/>
          <w:szCs w:val="24"/>
          <w:highlight w:val="cyan"/>
        </w:rPr>
      </w:pPr>
      <w:r w:rsidRPr="00E429B3">
        <w:rPr>
          <w:rFonts w:ascii="Times New Roman" w:eastAsia="Calibri" w:hAnsi="Times New Roman" w:cs="Times New Roman"/>
          <w:color w:val="FF0000"/>
          <w:sz w:val="24"/>
          <w:szCs w:val="24"/>
          <w:highlight w:val="cyan"/>
        </w:rPr>
        <w:t xml:space="preserve">No presente caso, foi vedada a adesão à ata de registro de preços, conforme consta na minuta em exame. </w:t>
      </w:r>
    </w:p>
    <w:p w14:paraId="05DA8ACB" w14:textId="77777777" w:rsidR="00285DAA" w:rsidRPr="00B570F9" w:rsidRDefault="00603643" w:rsidP="00285DAA">
      <w:pPr>
        <w:spacing w:after="0" w:line="240" w:lineRule="auto"/>
        <w:ind w:firstLine="709"/>
        <w:jc w:val="both"/>
        <w:rPr>
          <w:rFonts w:ascii="Times New Roman" w:eastAsia="Calibri" w:hAnsi="Times New Roman" w:cs="Times New Roman"/>
          <w:b/>
          <w:bCs/>
          <w:color w:val="FF0000"/>
          <w:sz w:val="24"/>
          <w:szCs w:val="24"/>
          <w:highlight w:val="cyan"/>
          <w:u w:val="single"/>
        </w:rPr>
      </w:pPr>
      <w:r w:rsidRPr="00B570F9">
        <w:rPr>
          <w:rFonts w:ascii="Times New Roman" w:eastAsia="Calibri" w:hAnsi="Times New Roman" w:cs="Times New Roman"/>
          <w:b/>
          <w:bCs/>
          <w:color w:val="FF0000"/>
          <w:sz w:val="24"/>
          <w:szCs w:val="24"/>
          <w:highlight w:val="cyan"/>
          <w:u w:val="single"/>
        </w:rPr>
        <w:t xml:space="preserve">OU </w:t>
      </w:r>
    </w:p>
    <w:p w14:paraId="28B2BF93" w14:textId="4DC7D245" w:rsidR="00603643" w:rsidRPr="00E429B3" w:rsidRDefault="00603643" w:rsidP="00C01A4B">
      <w:pPr>
        <w:spacing w:after="0" w:line="240" w:lineRule="auto"/>
        <w:ind w:firstLine="708"/>
        <w:jc w:val="both"/>
        <w:rPr>
          <w:rFonts w:ascii="Times New Roman" w:eastAsia="Calibri" w:hAnsi="Times New Roman" w:cs="Times New Roman"/>
          <w:color w:val="FF0000"/>
          <w:sz w:val="24"/>
          <w:szCs w:val="24"/>
          <w:highlight w:val="cyan"/>
        </w:rPr>
      </w:pPr>
      <w:r w:rsidRPr="594C5555">
        <w:rPr>
          <w:rFonts w:ascii="Times New Roman" w:eastAsia="Calibri" w:hAnsi="Times New Roman" w:cs="Times New Roman"/>
          <w:color w:val="FF0000"/>
          <w:sz w:val="24"/>
          <w:szCs w:val="24"/>
          <w:highlight w:val="cyan"/>
        </w:rPr>
        <w:t xml:space="preserve">Verifica-se que a Administração optou por admitir a adesão de entidades não participantes, conforme informações e justificativas apresentadas às fls. XXXX/no doc. SEI n. XXXX. </w:t>
      </w:r>
    </w:p>
    <w:p w14:paraId="6C6C28BE" w14:textId="77777777" w:rsidR="00603643" w:rsidRPr="00B570F9" w:rsidRDefault="00603643" w:rsidP="00603643">
      <w:pPr>
        <w:spacing w:after="0" w:line="240" w:lineRule="auto"/>
        <w:ind w:firstLine="709"/>
        <w:jc w:val="both"/>
        <w:rPr>
          <w:rFonts w:ascii="Times New Roman" w:eastAsia="Calibri" w:hAnsi="Times New Roman" w:cs="Times New Roman"/>
          <w:b/>
          <w:bCs/>
          <w:color w:val="FF0000"/>
          <w:sz w:val="24"/>
          <w:szCs w:val="24"/>
          <w:highlight w:val="cyan"/>
          <w:u w:val="single"/>
        </w:rPr>
      </w:pPr>
      <w:r w:rsidRPr="00B570F9">
        <w:rPr>
          <w:rFonts w:ascii="Times New Roman" w:eastAsia="Calibri" w:hAnsi="Times New Roman" w:cs="Times New Roman"/>
          <w:b/>
          <w:bCs/>
          <w:color w:val="FF0000"/>
          <w:sz w:val="24"/>
          <w:szCs w:val="24"/>
          <w:highlight w:val="cyan"/>
          <w:u w:val="single"/>
        </w:rPr>
        <w:t xml:space="preserve">OU </w:t>
      </w:r>
    </w:p>
    <w:p w14:paraId="6E8819C1" w14:textId="7F3AC948" w:rsidR="00603643" w:rsidRPr="00E429B3" w:rsidRDefault="00603643" w:rsidP="00C01A4B">
      <w:pPr>
        <w:spacing w:after="0" w:line="240" w:lineRule="auto"/>
        <w:ind w:firstLine="708"/>
        <w:jc w:val="both"/>
        <w:rPr>
          <w:rFonts w:ascii="Times New Roman" w:eastAsia="Calibri" w:hAnsi="Times New Roman" w:cs="Times New Roman"/>
          <w:color w:val="FF0000"/>
          <w:sz w:val="24"/>
          <w:szCs w:val="24"/>
          <w:highlight w:val="cyan"/>
        </w:rPr>
      </w:pPr>
      <w:r w:rsidRPr="594C5555">
        <w:rPr>
          <w:rFonts w:ascii="Times New Roman" w:eastAsia="Calibri" w:hAnsi="Times New Roman" w:cs="Times New Roman"/>
          <w:color w:val="FF0000"/>
          <w:sz w:val="24"/>
          <w:szCs w:val="24"/>
          <w:highlight w:val="cyan"/>
        </w:rPr>
        <w:t xml:space="preserve">Verifica-se que a Administração optou por admitir a adesão de entidades não participantes, porém não apresentou as devidas justificativas, o que demanda a complementação da instrução. </w:t>
      </w:r>
    </w:p>
    <w:p w14:paraId="7650E643" w14:textId="77777777" w:rsidR="00603643" w:rsidRPr="00B570F9" w:rsidRDefault="00603643" w:rsidP="00603643">
      <w:pPr>
        <w:spacing w:after="0" w:line="240" w:lineRule="auto"/>
        <w:ind w:firstLine="709"/>
        <w:jc w:val="both"/>
        <w:rPr>
          <w:rFonts w:ascii="Times New Roman" w:eastAsia="Calibri" w:hAnsi="Times New Roman" w:cs="Times New Roman"/>
          <w:b/>
          <w:bCs/>
          <w:color w:val="FF0000"/>
          <w:sz w:val="24"/>
          <w:szCs w:val="24"/>
          <w:highlight w:val="cyan"/>
          <w:u w:val="single"/>
        </w:rPr>
      </w:pPr>
      <w:r w:rsidRPr="594C5555">
        <w:rPr>
          <w:rFonts w:ascii="Times New Roman" w:eastAsia="Calibri" w:hAnsi="Times New Roman" w:cs="Times New Roman"/>
          <w:b/>
          <w:bCs/>
          <w:color w:val="FF0000"/>
          <w:sz w:val="24"/>
          <w:szCs w:val="24"/>
          <w:highlight w:val="cyan"/>
          <w:u w:val="single"/>
        </w:rPr>
        <w:t>OU</w:t>
      </w:r>
    </w:p>
    <w:p w14:paraId="1890CFC3" w14:textId="28046646" w:rsidR="00603643" w:rsidRPr="00E429B3" w:rsidRDefault="00603643" w:rsidP="00C01A4B">
      <w:pPr>
        <w:spacing w:after="0" w:line="240" w:lineRule="auto"/>
        <w:ind w:firstLine="708"/>
        <w:jc w:val="both"/>
        <w:rPr>
          <w:rFonts w:ascii="Times New Roman" w:eastAsia="Calibri" w:hAnsi="Times New Roman" w:cs="Times New Roman"/>
          <w:color w:val="FF0000"/>
          <w:sz w:val="24"/>
          <w:szCs w:val="24"/>
          <w:highlight w:val="cyan"/>
        </w:rPr>
      </w:pPr>
      <w:r w:rsidRPr="594C5555">
        <w:rPr>
          <w:rFonts w:ascii="Times New Roman" w:eastAsia="Calibri" w:hAnsi="Times New Roman" w:cs="Times New Roman"/>
          <w:color w:val="FF0000"/>
          <w:sz w:val="24"/>
          <w:szCs w:val="24"/>
          <w:highlight w:val="cyan"/>
        </w:rPr>
        <w:t>Verifica-se que a Administração optou por admitir a adesão de entidades não participantes, conforme informações e justificativas apresentadas às fls. XXXX/no doc. SEI n. XXXX.</w:t>
      </w:r>
    </w:p>
    <w:p w14:paraId="0320CE25" w14:textId="77777777" w:rsidR="00285DAA" w:rsidRPr="00E429B3" w:rsidRDefault="00285DAA" w:rsidP="00285DAA">
      <w:pPr>
        <w:spacing w:after="0" w:line="240" w:lineRule="auto"/>
        <w:jc w:val="both"/>
        <w:rPr>
          <w:rFonts w:ascii="Times New Roman" w:eastAsia="Times New Roman" w:hAnsi="Times New Roman" w:cs="Times New Roman"/>
          <w:color w:val="FF0000"/>
          <w:sz w:val="24"/>
          <w:szCs w:val="24"/>
        </w:rPr>
      </w:pPr>
    </w:p>
    <w:p w14:paraId="067F24A4" w14:textId="4358DA8A" w:rsidR="00603643" w:rsidRPr="000A51F1" w:rsidRDefault="00603643" w:rsidP="00285DAA">
      <w:pPr>
        <w:spacing w:after="0" w:line="240" w:lineRule="auto"/>
        <w:jc w:val="both"/>
      </w:pPr>
      <w:r w:rsidRPr="006A790A">
        <w:rPr>
          <w:rFonts w:ascii="Times New Roman" w:eastAsia="Times New Roman" w:hAnsi="Times New Roman" w:cs="Times New Roman"/>
          <w:b/>
          <w:bCs/>
          <w:color w:val="FF0000"/>
          <w:sz w:val="24"/>
          <w:szCs w:val="24"/>
          <w:u w:val="single"/>
        </w:rPr>
        <w:t>Contudo</w:t>
      </w:r>
      <w:r w:rsidRPr="00E429B3">
        <w:rPr>
          <w:rFonts w:ascii="Times New Roman" w:eastAsia="Times New Roman" w:hAnsi="Times New Roman" w:cs="Times New Roman"/>
          <w:color w:val="FF0000"/>
          <w:sz w:val="24"/>
          <w:szCs w:val="24"/>
        </w:rPr>
        <w:t xml:space="preserve">, em se tratando de registro de preços com indicação limitada a unidades de contratação, sem indicação do total a ser adquirido, nas hipóteses do art. 4º, do Decreto nº 11.462, de 2023 (item XX do termo de referência), a participação de outro órgão ou entidade na ata é vedada (art. 82, § 4º, da Lei nº 14.133/2021 e artigo 4º, parágrafo único, do Decreto nº 11.462, de 2023). </w:t>
      </w:r>
      <w:r w:rsidRPr="00E429B3">
        <w:rPr>
          <w:rFonts w:ascii="Times New Roman" w:eastAsia="Times New Roman" w:hAnsi="Times New Roman" w:cs="Times New Roman"/>
          <w:b/>
          <w:bCs/>
          <w:color w:val="FF0000"/>
          <w:sz w:val="24"/>
          <w:szCs w:val="24"/>
          <w:u w:val="single"/>
        </w:rPr>
        <w:t>Logo, a ata deve vedar a adesão por órgãos ou entidades não participantes</w:t>
      </w:r>
      <w:r w:rsidRPr="00E429B3">
        <w:rPr>
          <w:rFonts w:ascii="Times New Roman" w:eastAsia="Times New Roman" w:hAnsi="Times New Roman" w:cs="Times New Roman"/>
          <w:color w:val="FF0000"/>
          <w:sz w:val="24"/>
          <w:szCs w:val="24"/>
        </w:rPr>
        <w:t>.</w:t>
      </w:r>
      <w:r w:rsidRPr="17806A35">
        <w:rPr>
          <w:rFonts w:ascii="Times New Roman" w:eastAsia="Times New Roman" w:hAnsi="Times New Roman" w:cs="Times New Roman"/>
          <w:color w:val="FF0000"/>
          <w:sz w:val="24"/>
          <w:szCs w:val="24"/>
        </w:rPr>
        <w:t xml:space="preserve"> </w:t>
      </w:r>
    </w:p>
    <w:p w14:paraId="63C02B6C" w14:textId="77777777" w:rsidR="00603643" w:rsidRPr="00271BE3" w:rsidRDefault="00603643" w:rsidP="00952A35">
      <w:pPr>
        <w:spacing w:after="0" w:line="240" w:lineRule="auto"/>
        <w:jc w:val="both"/>
        <w:rPr>
          <w:rFonts w:ascii="Times New Roman" w:eastAsia="Times New Roman" w:hAnsi="Times New Roman" w:cs="Times New Roman"/>
          <w:color w:val="000000"/>
          <w:sz w:val="24"/>
          <w:szCs w:val="24"/>
          <w:lang w:eastAsia="pt-BR"/>
        </w:rPr>
      </w:pPr>
    </w:p>
    <w:p w14:paraId="5DCBA3A1" w14:textId="411FB221" w:rsidR="004423CE" w:rsidRPr="00271BE3" w:rsidRDefault="008B040E" w:rsidP="00952A35">
      <w:pPr>
        <w:spacing w:after="0" w:line="240" w:lineRule="auto"/>
        <w:jc w:val="both"/>
        <w:outlineLvl w:val="1"/>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themeColor="text1"/>
          <w:sz w:val="24"/>
          <w:szCs w:val="24"/>
          <w:lang w:eastAsia="pt-BR"/>
        </w:rPr>
        <w:t xml:space="preserve">DA </w:t>
      </w:r>
      <w:r w:rsidR="005B5071">
        <w:rPr>
          <w:rFonts w:ascii="Times New Roman" w:eastAsia="Times New Roman" w:hAnsi="Times New Roman" w:cs="Times New Roman"/>
          <w:b/>
          <w:bCs/>
          <w:color w:val="000000" w:themeColor="text1"/>
          <w:sz w:val="24"/>
          <w:szCs w:val="24"/>
          <w:lang w:eastAsia="pt-BR"/>
        </w:rPr>
        <w:t>DISPONIBILIDADE</w:t>
      </w:r>
      <w:r w:rsidR="79B9EDE3" w:rsidRPr="00271BE3">
        <w:rPr>
          <w:rFonts w:ascii="Times New Roman" w:eastAsia="Times New Roman" w:hAnsi="Times New Roman" w:cs="Times New Roman"/>
          <w:b/>
          <w:bCs/>
          <w:color w:val="000000" w:themeColor="text1"/>
          <w:sz w:val="24"/>
          <w:szCs w:val="24"/>
          <w:lang w:eastAsia="pt-BR"/>
        </w:rPr>
        <w:t xml:space="preserve"> ORÇAMENTÁRIA </w:t>
      </w:r>
    </w:p>
    <w:p w14:paraId="78F402A9" w14:textId="20811BB0" w:rsidR="004423CE" w:rsidRPr="00271BE3" w:rsidRDefault="79B9EDE3" w:rsidP="00952A35">
      <w:pPr>
        <w:spacing w:after="0" w:line="240" w:lineRule="auto"/>
        <w:jc w:val="both"/>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5EE4139E" w14:textId="2B4960EB" w:rsidR="004423CE" w:rsidRPr="00271BE3" w:rsidRDefault="61F69B1F" w:rsidP="00952A35">
      <w:pPr>
        <w:spacing w:after="0" w:line="240" w:lineRule="auto"/>
        <w:jc w:val="both"/>
        <w:rPr>
          <w:rFonts w:ascii="Times New Roman" w:eastAsia="Times New Roman" w:hAnsi="Times New Roman" w:cs="Times New Roman"/>
          <w:color w:val="000000" w:themeColor="text1"/>
          <w:sz w:val="24"/>
          <w:szCs w:val="24"/>
          <w:highlight w:val="cyan"/>
          <w:lang w:eastAsia="pt-BR"/>
        </w:rPr>
      </w:pPr>
      <w:r w:rsidRPr="594C5555">
        <w:rPr>
          <w:rFonts w:ascii="Times New Roman" w:eastAsia="Calibri" w:hAnsi="Times New Roman" w:cs="Times New Roman"/>
          <w:color w:val="000000" w:themeColor="text1"/>
          <w:sz w:val="24"/>
          <w:szCs w:val="24"/>
          <w:highlight w:val="cyan"/>
        </w:rPr>
        <w:t>No presente caso, em atenção ao</w:t>
      </w:r>
      <w:r w:rsidRPr="594C5555">
        <w:rPr>
          <w:rFonts w:ascii="Times New Roman" w:eastAsia="Calibri" w:hAnsi="Times New Roman" w:cs="Times New Roman"/>
          <w:b/>
          <w:bCs/>
          <w:color w:val="000000" w:themeColor="text1"/>
          <w:sz w:val="24"/>
          <w:szCs w:val="24"/>
          <w:highlight w:val="cyan"/>
        </w:rPr>
        <w:t xml:space="preserve"> </w:t>
      </w:r>
      <w:r w:rsidRPr="594C5555">
        <w:rPr>
          <w:rFonts w:ascii="Times New Roman" w:eastAsia="Calibri" w:hAnsi="Times New Roman" w:cs="Times New Roman"/>
          <w:color w:val="000000" w:themeColor="text1"/>
          <w:sz w:val="24"/>
          <w:szCs w:val="24"/>
          <w:highlight w:val="cyan"/>
        </w:rPr>
        <w:t xml:space="preserve">art. 6º, XXIII, "j", c/c art. 18, </w:t>
      </w:r>
      <w:r w:rsidRPr="594C5555">
        <w:rPr>
          <w:rFonts w:ascii="Times New Roman" w:eastAsia="Calibri" w:hAnsi="Times New Roman" w:cs="Times New Roman"/>
          <w:i/>
          <w:iCs/>
          <w:color w:val="000000" w:themeColor="text1"/>
          <w:sz w:val="24"/>
          <w:szCs w:val="24"/>
          <w:highlight w:val="cyan"/>
        </w:rPr>
        <w:t>caput</w:t>
      </w:r>
      <w:r w:rsidRPr="594C5555">
        <w:rPr>
          <w:rFonts w:ascii="Times New Roman" w:eastAsia="Calibri" w:hAnsi="Times New Roman" w:cs="Times New Roman"/>
          <w:color w:val="000000" w:themeColor="text1"/>
          <w:sz w:val="24"/>
          <w:szCs w:val="24"/>
          <w:highlight w:val="cyan"/>
        </w:rPr>
        <w:t>, da Lei nº 14.133, de 2021, consta</w:t>
      </w:r>
      <w:r w:rsidRPr="594C5555">
        <w:rPr>
          <w:rFonts w:ascii="Times New Roman" w:eastAsia="Calibri" w:hAnsi="Times New Roman" w:cs="Times New Roman"/>
          <w:color w:val="FF0000"/>
          <w:sz w:val="24"/>
          <w:szCs w:val="24"/>
          <w:highlight w:val="cyan"/>
        </w:rPr>
        <w:t xml:space="preserve"> às fls. XXXX/do doc. SEI n. XXXX</w:t>
      </w:r>
      <w:r w:rsidRPr="594C5555">
        <w:rPr>
          <w:rFonts w:ascii="Times New Roman" w:eastAsia="Calibri" w:hAnsi="Times New Roman" w:cs="Times New Roman"/>
          <w:color w:val="000000" w:themeColor="text1"/>
          <w:sz w:val="24"/>
          <w:szCs w:val="24"/>
          <w:highlight w:val="cyan"/>
        </w:rPr>
        <w:t xml:space="preserve"> a declaração do setor competente acerca da previsão dos recursos orçamentários necessários para fazer face às despesas decorrentes da futura contratação, com a indicação da respectiva rubrica.</w:t>
      </w:r>
    </w:p>
    <w:p w14:paraId="69F0E314" w14:textId="6D0E5464" w:rsidR="004423CE" w:rsidRPr="00271BE3" w:rsidRDefault="61F69B1F" w:rsidP="594C5555">
      <w:pPr>
        <w:spacing w:after="0" w:line="240" w:lineRule="auto"/>
        <w:ind w:firstLine="708"/>
        <w:jc w:val="both"/>
        <w:rPr>
          <w:rFonts w:ascii="Times New Roman" w:eastAsia="Calibri" w:hAnsi="Times New Roman" w:cs="Times New Roman"/>
          <w:b/>
          <w:bCs/>
          <w:color w:val="000000" w:themeColor="text1"/>
          <w:sz w:val="24"/>
          <w:szCs w:val="24"/>
          <w:highlight w:val="cyan"/>
        </w:rPr>
      </w:pPr>
      <w:r w:rsidRPr="594C5555">
        <w:rPr>
          <w:rFonts w:ascii="Times New Roman" w:eastAsia="Calibri" w:hAnsi="Times New Roman" w:cs="Times New Roman"/>
          <w:b/>
          <w:bCs/>
          <w:color w:val="000000" w:themeColor="text1"/>
          <w:sz w:val="24"/>
          <w:szCs w:val="24"/>
          <w:highlight w:val="cyan"/>
          <w:u w:val="single"/>
        </w:rPr>
        <w:t>OU</w:t>
      </w:r>
    </w:p>
    <w:p w14:paraId="097D2502" w14:textId="6A62BF93" w:rsidR="004423CE" w:rsidRPr="00271BE3" w:rsidRDefault="61F69B1F" w:rsidP="00C01A4B">
      <w:pPr>
        <w:spacing w:after="0" w:line="240" w:lineRule="auto"/>
        <w:ind w:firstLine="708"/>
        <w:jc w:val="both"/>
        <w:rPr>
          <w:rFonts w:ascii="Times New Roman" w:hAnsi="Times New Roman" w:cs="Times New Roman"/>
          <w:sz w:val="24"/>
          <w:szCs w:val="24"/>
        </w:rPr>
      </w:pPr>
      <w:r w:rsidRPr="594C5555">
        <w:rPr>
          <w:rFonts w:ascii="Times New Roman" w:eastAsia="Calibri" w:hAnsi="Times New Roman" w:cs="Times New Roman"/>
          <w:color w:val="000000" w:themeColor="text1"/>
          <w:sz w:val="24"/>
          <w:szCs w:val="24"/>
          <w:highlight w:val="cyan"/>
        </w:rPr>
        <w:lastRenderedPageBreak/>
        <w:t xml:space="preserve">No presente caso, </w:t>
      </w:r>
      <w:r w:rsidRPr="594C5555">
        <w:rPr>
          <w:rFonts w:ascii="Times New Roman" w:eastAsia="Calibri" w:hAnsi="Times New Roman" w:cs="Times New Roman"/>
          <w:color w:val="000000" w:themeColor="text1"/>
          <w:sz w:val="24"/>
          <w:szCs w:val="24"/>
          <w:highlight w:val="cyan"/>
          <w:u w:val="single"/>
        </w:rPr>
        <w:t>não foi trazida aos autos</w:t>
      </w:r>
      <w:r w:rsidRPr="594C5555">
        <w:rPr>
          <w:rFonts w:ascii="Times New Roman" w:eastAsia="Calibri" w:hAnsi="Times New Roman" w:cs="Times New Roman"/>
          <w:color w:val="000000" w:themeColor="text1"/>
          <w:sz w:val="24"/>
          <w:szCs w:val="24"/>
          <w:highlight w:val="cyan"/>
        </w:rPr>
        <w:t xml:space="preserve"> a indispensável declaração do setor competente acerca da previsão dos recursos orçamentários necessários para fazer face às despesas decorrentes da futura contratação, indicando a respectiva rubrica, o que afronta o art. 6º, XXIII, "j", c/c art. 18, </w:t>
      </w:r>
      <w:r w:rsidRPr="594C5555">
        <w:rPr>
          <w:rFonts w:ascii="Times New Roman" w:eastAsia="Calibri" w:hAnsi="Times New Roman" w:cs="Times New Roman"/>
          <w:i/>
          <w:iCs/>
          <w:color w:val="000000" w:themeColor="text1"/>
          <w:sz w:val="24"/>
          <w:szCs w:val="24"/>
          <w:highlight w:val="cyan"/>
        </w:rPr>
        <w:t>caput</w:t>
      </w:r>
      <w:r w:rsidRPr="594C5555">
        <w:rPr>
          <w:rFonts w:ascii="Times New Roman" w:eastAsia="Calibri" w:hAnsi="Times New Roman" w:cs="Times New Roman"/>
          <w:color w:val="000000" w:themeColor="text1"/>
          <w:sz w:val="24"/>
          <w:szCs w:val="24"/>
          <w:highlight w:val="cyan"/>
        </w:rPr>
        <w:t xml:space="preserve">, da Lei nº 14.133, de 2021. Sendo assim, </w:t>
      </w:r>
      <w:r w:rsidRPr="594C5555">
        <w:rPr>
          <w:rFonts w:ascii="Times New Roman" w:eastAsia="Calibri" w:hAnsi="Times New Roman" w:cs="Times New Roman"/>
          <w:color w:val="000000" w:themeColor="text1"/>
          <w:sz w:val="24"/>
          <w:szCs w:val="24"/>
          <w:highlight w:val="cyan"/>
          <w:u w:val="single"/>
        </w:rPr>
        <w:t>a falha deverá ser corrigida antes da deflagração do certame</w:t>
      </w:r>
      <w:r w:rsidRPr="594C5555">
        <w:rPr>
          <w:rFonts w:ascii="Times New Roman" w:eastAsia="Calibri" w:hAnsi="Times New Roman" w:cs="Times New Roman"/>
          <w:color w:val="000000" w:themeColor="text1"/>
          <w:sz w:val="24"/>
          <w:szCs w:val="24"/>
          <w:highlight w:val="cyan"/>
        </w:rPr>
        <w:t>, com a juntada aos autos da declaração de disponibilidade orçamentária, nos termos exigidos pelos dispositivos citados.</w:t>
      </w:r>
      <w:r w:rsidRPr="594C5555">
        <w:rPr>
          <w:rFonts w:ascii="Times New Roman" w:eastAsia="Calibri" w:hAnsi="Times New Roman" w:cs="Times New Roman"/>
          <w:color w:val="000000" w:themeColor="text1"/>
          <w:sz w:val="24"/>
          <w:szCs w:val="24"/>
        </w:rPr>
        <w:t xml:space="preserve">  </w:t>
      </w:r>
    </w:p>
    <w:p w14:paraId="5C4E72AA" w14:textId="77777777" w:rsidR="004704E2" w:rsidRDefault="004704E2" w:rsidP="00952A35">
      <w:pPr>
        <w:spacing w:after="0" w:line="240" w:lineRule="auto"/>
        <w:jc w:val="both"/>
        <w:rPr>
          <w:rFonts w:ascii="Times New Roman" w:eastAsia="Times New Roman" w:hAnsi="Times New Roman" w:cs="Times New Roman"/>
          <w:color w:val="000000" w:themeColor="text1"/>
          <w:sz w:val="24"/>
          <w:szCs w:val="24"/>
          <w:u w:val="single"/>
          <w:lang w:eastAsia="pt-BR"/>
        </w:rPr>
      </w:pPr>
    </w:p>
    <w:tbl>
      <w:tblPr>
        <w:tblStyle w:val="Tabelacomgrade"/>
        <w:tblW w:w="9067" w:type="dxa"/>
        <w:tblLook w:val="04A0" w:firstRow="1" w:lastRow="0" w:firstColumn="1" w:lastColumn="0" w:noHBand="0" w:noVBand="1"/>
      </w:tblPr>
      <w:tblGrid>
        <w:gridCol w:w="9067"/>
      </w:tblGrid>
      <w:tr w:rsidR="00167415" w14:paraId="3E84DF0D" w14:textId="77777777" w:rsidTr="000F224A">
        <w:tc>
          <w:tcPr>
            <w:tcW w:w="9067" w:type="dxa"/>
          </w:tcPr>
          <w:p w14:paraId="12616C4F" w14:textId="77777777" w:rsidR="00167415" w:rsidRDefault="00167415" w:rsidP="00F50FDC">
            <w:pPr>
              <w:jc w:val="both"/>
              <w:rPr>
                <w:rFonts w:ascii="Times New Roman" w:eastAsiaTheme="minorEastAsia" w:hAnsi="Times New Roman" w:cs="Times New Roman"/>
                <w:color w:val="000000" w:themeColor="text1"/>
                <w:sz w:val="24"/>
                <w:szCs w:val="24"/>
                <w:highlight w:val="green"/>
              </w:rPr>
            </w:pPr>
            <w:r w:rsidRPr="004B522D">
              <w:rPr>
                <w:rFonts w:ascii="Times New Roman" w:eastAsiaTheme="minorEastAsia" w:hAnsi="Times New Roman" w:cs="Times New Roman"/>
                <w:b/>
                <w:bCs/>
                <w:i/>
                <w:iCs/>
                <w:color w:val="000000" w:themeColor="text1"/>
                <w:sz w:val="24"/>
                <w:szCs w:val="24"/>
                <w:highlight w:val="yellow"/>
              </w:rPr>
              <w:t xml:space="preserve">Nota Explicativa: </w:t>
            </w:r>
            <w:r w:rsidRPr="004B522D">
              <w:rPr>
                <w:rFonts w:ascii="Times New Roman" w:eastAsiaTheme="minorEastAsia" w:hAnsi="Times New Roman" w:cs="Times New Roman"/>
                <w:color w:val="000000" w:themeColor="text1"/>
                <w:sz w:val="24"/>
                <w:szCs w:val="24"/>
                <w:highlight w:val="yellow"/>
              </w:rPr>
              <w:t>Caso seja licitação processada sob o Sistema de Registro de Preços, deverá ser utilizada a redação abaixo:</w:t>
            </w:r>
          </w:p>
        </w:tc>
      </w:tr>
    </w:tbl>
    <w:p w14:paraId="0A6DD316" w14:textId="77777777" w:rsidR="00167415" w:rsidRPr="004B522D" w:rsidRDefault="00167415" w:rsidP="00167415">
      <w:pPr>
        <w:spacing w:after="0" w:line="240" w:lineRule="auto"/>
        <w:jc w:val="both"/>
        <w:rPr>
          <w:rFonts w:ascii="Times New Roman" w:eastAsiaTheme="minorEastAsia" w:hAnsi="Times New Roman" w:cs="Times New Roman"/>
          <w:color w:val="000000" w:themeColor="text1"/>
          <w:sz w:val="24"/>
          <w:szCs w:val="24"/>
          <w:highlight w:val="green"/>
        </w:rPr>
      </w:pPr>
    </w:p>
    <w:p w14:paraId="3247B2E8" w14:textId="77777777" w:rsidR="00167415" w:rsidRPr="004B522D" w:rsidRDefault="00167415" w:rsidP="00167415">
      <w:pPr>
        <w:pStyle w:val="NormalWeb"/>
        <w:spacing w:before="0" w:beforeAutospacing="0" w:after="0" w:afterAutospacing="0"/>
        <w:jc w:val="both"/>
        <w:rPr>
          <w:color w:val="000000"/>
        </w:rPr>
      </w:pPr>
      <w:r w:rsidRPr="004B522D">
        <w:rPr>
          <w:rFonts w:eastAsiaTheme="minorEastAsia"/>
          <w:color w:val="FF0000"/>
        </w:rPr>
        <w:t>No presente caso, trata-se de licitação destinada ao registro de preços pela Administração, incidindo, pois, o art. 17 do Decreto nº 11.462, de 2023, de forma que a indicação da disponibilidade de créditos orçamentários somente será exigida para a formalização do contrato ou de outro instrumento hábil.</w:t>
      </w:r>
    </w:p>
    <w:p w14:paraId="760E01A1" w14:textId="77777777" w:rsidR="00167415" w:rsidRPr="00271BE3" w:rsidRDefault="00167415" w:rsidP="00952A35">
      <w:pPr>
        <w:spacing w:after="0" w:line="240" w:lineRule="auto"/>
        <w:jc w:val="both"/>
        <w:rPr>
          <w:rFonts w:ascii="Times New Roman" w:eastAsia="Times New Roman" w:hAnsi="Times New Roman" w:cs="Times New Roman"/>
          <w:color w:val="000000" w:themeColor="text1"/>
          <w:sz w:val="24"/>
          <w:szCs w:val="24"/>
          <w:u w:val="single"/>
          <w:lang w:eastAsia="pt-BR"/>
        </w:rPr>
      </w:pPr>
    </w:p>
    <w:p w14:paraId="280D4E9F" w14:textId="77777777" w:rsidR="008A6DA8" w:rsidRDefault="79B9EDE3"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u w:val="single"/>
          <w:lang w:eastAsia="pt-BR"/>
        </w:rPr>
        <w:t>Alerta-se</w:t>
      </w:r>
      <w:r w:rsidRPr="00271BE3">
        <w:rPr>
          <w:rFonts w:ascii="Times New Roman" w:eastAsia="Times New Roman" w:hAnsi="Times New Roman" w:cs="Times New Roman"/>
          <w:color w:val="000000" w:themeColor="text1"/>
          <w:sz w:val="24"/>
          <w:szCs w:val="24"/>
          <w:lang w:eastAsia="pt-BR"/>
        </w:rPr>
        <w:t>, ainda, para a necessidade de juntar ao feito, antes da celebração do contrato administrativo, a nota de empenho suficiente para o suporte financeiro da respectiva despesa, em atenção ao disposto no art. 60 da Lei nº 4.320</w:t>
      </w:r>
      <w:r w:rsidR="004704E2" w:rsidRPr="00271BE3">
        <w:rPr>
          <w:rFonts w:ascii="Times New Roman" w:eastAsia="Times New Roman" w:hAnsi="Times New Roman" w:cs="Times New Roman"/>
          <w:color w:val="000000" w:themeColor="text1"/>
          <w:sz w:val="24"/>
          <w:szCs w:val="24"/>
          <w:lang w:eastAsia="pt-BR"/>
        </w:rPr>
        <w:t xml:space="preserve">, de </w:t>
      </w:r>
      <w:r w:rsidR="00B27009" w:rsidRPr="00271BE3">
        <w:rPr>
          <w:rFonts w:ascii="Times New Roman" w:eastAsia="Times New Roman" w:hAnsi="Times New Roman" w:cs="Times New Roman"/>
          <w:color w:val="000000" w:themeColor="text1"/>
          <w:sz w:val="24"/>
          <w:szCs w:val="24"/>
          <w:lang w:eastAsia="pt-BR"/>
        </w:rPr>
        <w:t xml:space="preserve">17 de março de </w:t>
      </w:r>
      <w:r w:rsidR="004704E2" w:rsidRPr="00271BE3">
        <w:rPr>
          <w:rFonts w:ascii="Times New Roman" w:eastAsia="Times New Roman" w:hAnsi="Times New Roman" w:cs="Times New Roman"/>
          <w:color w:val="000000" w:themeColor="text1"/>
          <w:sz w:val="24"/>
          <w:szCs w:val="24"/>
          <w:lang w:eastAsia="pt-BR"/>
        </w:rPr>
        <w:t>19</w:t>
      </w:r>
      <w:r w:rsidRPr="00271BE3">
        <w:rPr>
          <w:rFonts w:ascii="Times New Roman" w:eastAsia="Times New Roman" w:hAnsi="Times New Roman" w:cs="Times New Roman"/>
          <w:color w:val="000000" w:themeColor="text1"/>
          <w:sz w:val="24"/>
          <w:szCs w:val="24"/>
          <w:lang w:eastAsia="pt-BR"/>
        </w:rPr>
        <w:t>64.</w:t>
      </w:r>
    </w:p>
    <w:p w14:paraId="5F6C6548" w14:textId="77777777" w:rsidR="008A6DA8" w:rsidRDefault="008A6DA8" w:rsidP="00952A35">
      <w:pPr>
        <w:spacing w:after="0" w:line="240" w:lineRule="auto"/>
        <w:jc w:val="both"/>
        <w:rPr>
          <w:rFonts w:ascii="Times New Roman" w:eastAsia="Times New Roman" w:hAnsi="Times New Roman" w:cs="Times New Roman"/>
          <w:color w:val="000000"/>
          <w:sz w:val="24"/>
          <w:szCs w:val="24"/>
          <w:lang w:eastAsia="pt-BR"/>
        </w:rPr>
      </w:pPr>
    </w:p>
    <w:p w14:paraId="41848BF9" w14:textId="218DFE95"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Necessário destacar, outrossim, que o atendimento ao art. 16, I e II, da Lei Complementar nº 101</w:t>
      </w:r>
      <w:r w:rsidR="004704E2" w:rsidRPr="00271BE3">
        <w:rPr>
          <w:rFonts w:ascii="Times New Roman" w:eastAsia="Times New Roman" w:hAnsi="Times New Roman" w:cs="Times New Roman"/>
          <w:color w:val="000000"/>
          <w:sz w:val="24"/>
          <w:szCs w:val="24"/>
          <w:lang w:eastAsia="pt-BR"/>
        </w:rPr>
        <w:t xml:space="preserve">, de </w:t>
      </w:r>
      <w:r w:rsidRPr="00271BE3">
        <w:rPr>
          <w:rFonts w:ascii="Times New Roman" w:eastAsia="Times New Roman" w:hAnsi="Times New Roman" w:cs="Times New Roman"/>
          <w:color w:val="000000"/>
          <w:sz w:val="24"/>
          <w:szCs w:val="24"/>
          <w:lang w:eastAsia="pt-BR"/>
        </w:rPr>
        <w:t>2000, somente será necessário se as despesas que amparam a ação orçamentária em apreço não forem qualificáveis como atividades, mas, sim, como projetos, isto é, se não constituírem despesas rotineiras, como estabelece a Orientação Normativa AGU nº 52</w:t>
      </w:r>
      <w:r w:rsidR="008A21F9" w:rsidRPr="00271BE3">
        <w:rPr>
          <w:rFonts w:ascii="Times New Roman" w:eastAsia="Times New Roman" w:hAnsi="Times New Roman" w:cs="Times New Roman"/>
          <w:color w:val="000000"/>
          <w:sz w:val="24"/>
          <w:szCs w:val="24"/>
          <w:lang w:eastAsia="pt-BR"/>
        </w:rPr>
        <w:t>, de 20</w:t>
      </w:r>
      <w:r w:rsidRPr="00271BE3">
        <w:rPr>
          <w:rFonts w:ascii="Times New Roman" w:eastAsia="Times New Roman" w:hAnsi="Times New Roman" w:cs="Times New Roman"/>
          <w:color w:val="000000"/>
          <w:sz w:val="24"/>
          <w:szCs w:val="24"/>
          <w:lang w:eastAsia="pt-BR"/>
        </w:rPr>
        <w:t>14 ("</w:t>
      </w:r>
      <w:r w:rsidRPr="00271BE3">
        <w:rPr>
          <w:rFonts w:ascii="Times New Roman" w:eastAsia="Times New Roman" w:hAnsi="Times New Roman" w:cs="Times New Roman"/>
          <w:i/>
          <w:iCs/>
          <w:color w:val="000000"/>
          <w:sz w:val="24"/>
          <w:szCs w:val="24"/>
          <w:lang w:eastAsia="pt-BR"/>
        </w:rPr>
        <w:t>As despesas ordinárias e rotineiras da administração, já previstas no orçamento e destinadas à manutenção das ações governamentais preexistentes, dispensam as exigências previstas nos incisos I e II do art. 16 da Lei Complementar nº 101, de 2000</w:t>
      </w:r>
      <w:r w:rsidRPr="00271BE3">
        <w:rPr>
          <w:rFonts w:ascii="Times New Roman" w:eastAsia="Times New Roman" w:hAnsi="Times New Roman" w:cs="Times New Roman"/>
          <w:color w:val="000000"/>
          <w:sz w:val="24"/>
          <w:szCs w:val="24"/>
          <w:lang w:eastAsia="pt-BR"/>
        </w:rPr>
        <w:t>"). </w:t>
      </w:r>
    </w:p>
    <w:p w14:paraId="14FA984A" w14:textId="77777777" w:rsidR="004423CE" w:rsidRPr="00271BE3" w:rsidRDefault="004423CE"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lang w:eastAsia="pt-BR"/>
        </w:rPr>
        <w:t> </w:t>
      </w:r>
    </w:p>
    <w:p w14:paraId="6CB117A3" w14:textId="2FAB30BB"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u w:val="single"/>
          <w:shd w:val="clear" w:color="auto" w:fill="00FFFF"/>
          <w:lang w:eastAsia="pt-BR"/>
        </w:rPr>
        <w:t>Recomenda-se</w:t>
      </w:r>
      <w:r w:rsidRPr="00271BE3">
        <w:rPr>
          <w:rFonts w:ascii="Times New Roman" w:eastAsia="Times New Roman" w:hAnsi="Times New Roman" w:cs="Times New Roman"/>
          <w:color w:val="000000"/>
          <w:sz w:val="24"/>
          <w:szCs w:val="24"/>
          <w:shd w:val="clear" w:color="auto" w:fill="00FFFF"/>
          <w:lang w:eastAsia="pt-BR"/>
        </w:rPr>
        <w:t>, pois, que a Administração informe nos autos a natureza da ação que suporta a despesa decorrente da futura contratação, adotando, a depender do caso, as providências previstas no art. 16, I e II, da Lei de Responsabilidade Fiscal, com as premissas da estimativa de impacto orçamentário-financeiro e a metodologia de cálculo utilizadas (art. 16, §2º, da Lei Complementar n.º 101</w:t>
      </w:r>
      <w:r w:rsidR="004704E2" w:rsidRPr="00271BE3">
        <w:rPr>
          <w:rFonts w:ascii="Times New Roman" w:eastAsia="Times New Roman" w:hAnsi="Times New Roman" w:cs="Times New Roman"/>
          <w:color w:val="000000"/>
          <w:sz w:val="24"/>
          <w:szCs w:val="24"/>
          <w:shd w:val="clear" w:color="auto" w:fill="00FFFF"/>
          <w:lang w:eastAsia="pt-BR"/>
        </w:rPr>
        <w:t xml:space="preserve">, de </w:t>
      </w:r>
      <w:r w:rsidRPr="00271BE3">
        <w:rPr>
          <w:rFonts w:ascii="Times New Roman" w:eastAsia="Times New Roman" w:hAnsi="Times New Roman" w:cs="Times New Roman"/>
          <w:color w:val="000000"/>
          <w:sz w:val="24"/>
          <w:szCs w:val="24"/>
          <w:shd w:val="clear" w:color="auto" w:fill="00FFFF"/>
          <w:lang w:eastAsia="pt-BR"/>
        </w:rPr>
        <w:t>2000).</w:t>
      </w:r>
    </w:p>
    <w:p w14:paraId="60E4B05D" w14:textId="77777777" w:rsidR="004423CE" w:rsidRPr="00271BE3" w:rsidRDefault="004423CE" w:rsidP="009617AB">
      <w:pPr>
        <w:spacing w:after="0" w:line="240" w:lineRule="auto"/>
        <w:ind w:firstLine="70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b/>
          <w:bCs/>
          <w:color w:val="000000"/>
          <w:sz w:val="24"/>
          <w:szCs w:val="24"/>
          <w:u w:val="single"/>
          <w:shd w:val="clear" w:color="auto" w:fill="00FFFF"/>
          <w:lang w:eastAsia="pt-BR"/>
        </w:rPr>
        <w:t>OU</w:t>
      </w:r>
    </w:p>
    <w:p w14:paraId="404ECC35" w14:textId="5C765C1D" w:rsidR="004423CE" w:rsidRPr="00271BE3" w:rsidRDefault="004423CE" w:rsidP="00C01A4B">
      <w:pPr>
        <w:spacing w:after="0" w:line="240" w:lineRule="auto"/>
        <w:ind w:firstLine="70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sz w:val="24"/>
          <w:szCs w:val="24"/>
          <w:shd w:val="clear" w:color="auto" w:fill="00FFFF"/>
          <w:lang w:eastAsia="pt-BR"/>
        </w:rPr>
        <w:t>No caso, consta nos autos declaração do setor competente no sentido de que se trata de despesa administrativa considerada ordinária, já prevista no orçamento e destinada à manutenção de ação preexistente, pelo que </w:t>
      </w:r>
      <w:r w:rsidRPr="00E430BE">
        <w:rPr>
          <w:rFonts w:ascii="Times New Roman" w:eastAsia="Times New Roman" w:hAnsi="Times New Roman" w:cs="Times New Roman"/>
          <w:color w:val="000000"/>
          <w:sz w:val="24"/>
          <w:szCs w:val="24"/>
          <w:shd w:val="clear" w:color="auto" w:fill="00FFFF"/>
          <w:lang w:eastAsia="pt-BR"/>
        </w:rPr>
        <w:t>resta dispensada</w:t>
      </w:r>
      <w:r w:rsidRPr="00271BE3">
        <w:rPr>
          <w:rFonts w:ascii="Times New Roman" w:eastAsia="Times New Roman" w:hAnsi="Times New Roman" w:cs="Times New Roman"/>
          <w:color w:val="000000"/>
          <w:sz w:val="24"/>
          <w:szCs w:val="24"/>
          <w:shd w:val="clear" w:color="auto" w:fill="00FFFF"/>
          <w:lang w:eastAsia="pt-BR"/>
        </w:rPr>
        <w:t>, com base na autorização constante da Orientação Normativa AGU nº 52</w:t>
      </w:r>
      <w:r w:rsidR="008A21F9" w:rsidRPr="00271BE3">
        <w:rPr>
          <w:rFonts w:ascii="Times New Roman" w:eastAsia="Times New Roman" w:hAnsi="Times New Roman" w:cs="Times New Roman"/>
          <w:color w:val="000000"/>
          <w:sz w:val="24"/>
          <w:szCs w:val="24"/>
          <w:shd w:val="clear" w:color="auto" w:fill="00FFFF"/>
          <w:lang w:eastAsia="pt-BR"/>
        </w:rPr>
        <w:t>, de 20</w:t>
      </w:r>
      <w:r w:rsidRPr="00271BE3">
        <w:rPr>
          <w:rFonts w:ascii="Times New Roman" w:eastAsia="Times New Roman" w:hAnsi="Times New Roman" w:cs="Times New Roman"/>
          <w:color w:val="000000"/>
          <w:sz w:val="24"/>
          <w:szCs w:val="24"/>
          <w:shd w:val="clear" w:color="auto" w:fill="00FFFF"/>
          <w:lang w:eastAsia="pt-BR"/>
        </w:rPr>
        <w:t>14</w:t>
      </w:r>
      <w:r w:rsidRPr="00E430BE">
        <w:rPr>
          <w:rFonts w:ascii="Times New Roman" w:eastAsia="Times New Roman" w:hAnsi="Times New Roman" w:cs="Times New Roman"/>
          <w:color w:val="000000"/>
          <w:sz w:val="24"/>
          <w:szCs w:val="24"/>
          <w:shd w:val="clear" w:color="auto" w:fill="00FFFF"/>
          <w:lang w:eastAsia="pt-BR"/>
        </w:rPr>
        <w:t>, a juntada aos autos dos documentos </w:t>
      </w:r>
      <w:r w:rsidRPr="00271BE3">
        <w:rPr>
          <w:rFonts w:ascii="Times New Roman" w:eastAsia="Times New Roman" w:hAnsi="Times New Roman" w:cs="Times New Roman"/>
          <w:color w:val="000000"/>
          <w:sz w:val="24"/>
          <w:szCs w:val="24"/>
          <w:shd w:val="clear" w:color="auto" w:fill="00FFFF"/>
          <w:lang w:eastAsia="pt-BR"/>
        </w:rPr>
        <w:t>indicados no art. 16, I e II, da Lei de Responsabilidade Fiscal.</w:t>
      </w:r>
      <w:r w:rsidRPr="00271BE3">
        <w:rPr>
          <w:rFonts w:ascii="Times New Roman" w:eastAsia="Times New Roman" w:hAnsi="Times New Roman" w:cs="Times New Roman"/>
          <w:color w:val="000000"/>
          <w:sz w:val="24"/>
          <w:szCs w:val="24"/>
          <w:lang w:eastAsia="pt-BR"/>
        </w:rPr>
        <w:t> </w:t>
      </w:r>
    </w:p>
    <w:p w14:paraId="29FCE0BA" w14:textId="77777777" w:rsidR="004423CE" w:rsidRPr="00271BE3" w:rsidRDefault="79B9EDE3" w:rsidP="00952A35">
      <w:pPr>
        <w:spacing w:after="0" w:line="240" w:lineRule="auto"/>
        <w:ind w:firstLine="1418"/>
        <w:jc w:val="both"/>
        <w:rPr>
          <w:rFonts w:ascii="Times New Roman" w:eastAsia="Times New Roman" w:hAnsi="Times New Roman" w:cs="Times New Roman"/>
          <w:color w:val="000000"/>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1EAB91B9" w14:textId="5C4ECEDD" w:rsidR="3C3E72A5" w:rsidRPr="00271BE3" w:rsidRDefault="3C3E72A5" w:rsidP="00952A35">
      <w:pPr>
        <w:spacing w:after="0" w:line="240" w:lineRule="auto"/>
        <w:jc w:val="both"/>
        <w:rPr>
          <w:rFonts w:ascii="Times New Roman" w:eastAsia="Calibri" w:hAnsi="Times New Roman" w:cs="Times New Roman"/>
          <w:b/>
          <w:bCs/>
          <w:color w:val="000000" w:themeColor="text1"/>
          <w:sz w:val="24"/>
          <w:szCs w:val="24"/>
        </w:rPr>
      </w:pPr>
      <w:r w:rsidRPr="00271BE3">
        <w:rPr>
          <w:rFonts w:ascii="Times New Roman" w:eastAsia="Calibri" w:hAnsi="Times New Roman" w:cs="Times New Roman"/>
          <w:b/>
          <w:bCs/>
          <w:color w:val="000000" w:themeColor="text1"/>
          <w:sz w:val="24"/>
          <w:szCs w:val="24"/>
        </w:rPr>
        <w:t>DA PUBLICAÇÃO DO EDITAL E DA LEI DE ACESSO À INFORMAÇÃO</w:t>
      </w:r>
    </w:p>
    <w:p w14:paraId="379C0C4B" w14:textId="4AD7E180" w:rsidR="66EBB3D6" w:rsidRPr="00271BE3" w:rsidRDefault="66EBB3D6" w:rsidP="00952A35">
      <w:pPr>
        <w:spacing w:after="0" w:line="240" w:lineRule="auto"/>
        <w:jc w:val="both"/>
        <w:rPr>
          <w:rFonts w:ascii="Times New Roman" w:hAnsi="Times New Roman" w:cs="Times New Roman"/>
          <w:sz w:val="24"/>
          <w:szCs w:val="24"/>
          <w:highlight w:val="green"/>
        </w:rPr>
      </w:pPr>
    </w:p>
    <w:p w14:paraId="1B5933B7" w14:textId="67A04129" w:rsidR="66EBB3D6" w:rsidRPr="00271BE3" w:rsidRDefault="5A1096CD"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 xml:space="preserve">Conforme art. 54, </w:t>
      </w:r>
      <w:r w:rsidRPr="00271BE3">
        <w:rPr>
          <w:rFonts w:ascii="Times New Roman" w:eastAsia="Calibri" w:hAnsi="Times New Roman" w:cs="Times New Roman"/>
          <w:i/>
          <w:iCs/>
          <w:color w:val="000000" w:themeColor="text1"/>
          <w:sz w:val="24"/>
          <w:szCs w:val="24"/>
        </w:rPr>
        <w:t xml:space="preserve">caput </w:t>
      </w:r>
      <w:r w:rsidRPr="00271BE3">
        <w:rPr>
          <w:rFonts w:ascii="Times New Roman" w:eastAsia="Calibri" w:hAnsi="Times New Roman" w:cs="Times New Roman"/>
          <w:color w:val="000000" w:themeColor="text1"/>
          <w:sz w:val="24"/>
          <w:szCs w:val="24"/>
        </w:rPr>
        <w:t>e §1º, c/c art. 94 da Lei nº 14.133</w:t>
      </w:r>
      <w:r w:rsidR="00E854B9" w:rsidRPr="00271BE3">
        <w:rPr>
          <w:rFonts w:ascii="Times New Roman" w:eastAsia="Calibri" w:hAnsi="Times New Roman" w:cs="Times New Roman"/>
          <w:color w:val="000000" w:themeColor="text1"/>
          <w:sz w:val="24"/>
          <w:szCs w:val="24"/>
        </w:rPr>
        <w:t xml:space="preserve">, de </w:t>
      </w:r>
      <w:r w:rsidRPr="00271BE3">
        <w:rPr>
          <w:rFonts w:ascii="Times New Roman" w:eastAsia="Calibri" w:hAnsi="Times New Roman" w:cs="Times New Roman"/>
          <w:color w:val="000000" w:themeColor="text1"/>
          <w:sz w:val="24"/>
          <w:szCs w:val="24"/>
        </w:rPr>
        <w:t>2021, é obrigatória a divulgação e a manutenção do inteiro teor do edital de licitação e dos seus anexos e do termo de contrato no Portal Nacional de Contratações Públicas e a publicação de extrato do edital no Diário Oficial da União</w:t>
      </w:r>
      <w:r w:rsidR="00523018">
        <w:rPr>
          <w:rFonts w:ascii="Times New Roman" w:eastAsia="Calibri" w:hAnsi="Times New Roman" w:cs="Times New Roman"/>
          <w:color w:val="000000" w:themeColor="text1"/>
          <w:sz w:val="24"/>
          <w:szCs w:val="24"/>
        </w:rPr>
        <w:t xml:space="preserve">, </w:t>
      </w:r>
      <w:r w:rsidR="001D40C4" w:rsidRPr="001D40C4">
        <w:rPr>
          <w:rFonts w:ascii="Times New Roman" w:eastAsia="Calibri" w:hAnsi="Times New Roman" w:cs="Times New Roman"/>
          <w:color w:val="000000" w:themeColor="text1"/>
          <w:sz w:val="24"/>
          <w:szCs w:val="24"/>
        </w:rPr>
        <w:t>bem como em jornal de grande circulação. </w:t>
      </w:r>
    </w:p>
    <w:p w14:paraId="54C46ACE" w14:textId="1280FDA0" w:rsidR="05F1956B" w:rsidRPr="00271BE3" w:rsidRDefault="05F1956B" w:rsidP="00952A35">
      <w:pPr>
        <w:spacing w:after="0" w:line="240" w:lineRule="auto"/>
        <w:jc w:val="both"/>
        <w:rPr>
          <w:rFonts w:ascii="Times New Roman" w:eastAsia="Calibri" w:hAnsi="Times New Roman" w:cs="Times New Roman"/>
          <w:color w:val="000000" w:themeColor="text1"/>
          <w:sz w:val="24"/>
          <w:szCs w:val="24"/>
        </w:rPr>
      </w:pPr>
    </w:p>
    <w:p w14:paraId="43A9B6C5" w14:textId="450D6307" w:rsidR="05F1956B" w:rsidRDefault="5A1096CD"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bCs/>
          <w:color w:val="000000" w:themeColor="text1"/>
          <w:sz w:val="24"/>
          <w:szCs w:val="24"/>
          <w:u w:val="single"/>
        </w:rPr>
        <w:t>No caso</w:t>
      </w:r>
      <w:r w:rsidR="074BCCFA" w:rsidRPr="00271BE3">
        <w:rPr>
          <w:rFonts w:ascii="Times New Roman" w:eastAsia="Calibri" w:hAnsi="Times New Roman" w:cs="Times New Roman"/>
          <w:bCs/>
          <w:color w:val="000000" w:themeColor="text1"/>
          <w:sz w:val="24"/>
          <w:szCs w:val="24"/>
          <w:u w:val="single"/>
        </w:rPr>
        <w:t xml:space="preserve"> de serviços</w:t>
      </w:r>
      <w:r w:rsidRPr="00271BE3">
        <w:rPr>
          <w:rFonts w:ascii="Times New Roman" w:eastAsia="Calibri" w:hAnsi="Times New Roman" w:cs="Times New Roman"/>
          <w:bCs/>
          <w:color w:val="000000" w:themeColor="text1"/>
          <w:sz w:val="24"/>
          <w:szCs w:val="24"/>
        </w:rPr>
        <w:t>,</w:t>
      </w:r>
      <w:r w:rsidRPr="00271BE3">
        <w:rPr>
          <w:rFonts w:ascii="Times New Roman" w:eastAsia="Calibri" w:hAnsi="Times New Roman" w:cs="Times New Roman"/>
          <w:color w:val="000000" w:themeColor="text1"/>
          <w:sz w:val="24"/>
          <w:szCs w:val="24"/>
        </w:rPr>
        <w:t xml:space="preserve"> deve ser observado o prazo mínimo de </w:t>
      </w:r>
      <w:r w:rsidR="64B85C51" w:rsidRPr="00271BE3">
        <w:rPr>
          <w:rFonts w:ascii="Times New Roman" w:eastAsia="Calibri" w:hAnsi="Times New Roman" w:cs="Times New Roman"/>
          <w:b/>
          <w:bCs/>
          <w:color w:val="000000" w:themeColor="text1"/>
          <w:sz w:val="24"/>
          <w:szCs w:val="24"/>
        </w:rPr>
        <w:t>10</w:t>
      </w:r>
      <w:r w:rsidRPr="00271BE3">
        <w:rPr>
          <w:rFonts w:ascii="Times New Roman" w:eastAsia="Calibri" w:hAnsi="Times New Roman" w:cs="Times New Roman"/>
          <w:b/>
          <w:bCs/>
          <w:color w:val="000000" w:themeColor="text1"/>
          <w:sz w:val="24"/>
          <w:szCs w:val="24"/>
        </w:rPr>
        <w:t xml:space="preserve"> (</w:t>
      </w:r>
      <w:r w:rsidR="6E189C02" w:rsidRPr="00271BE3">
        <w:rPr>
          <w:rFonts w:ascii="Times New Roman" w:eastAsia="Calibri" w:hAnsi="Times New Roman" w:cs="Times New Roman"/>
          <w:b/>
          <w:bCs/>
          <w:color w:val="000000" w:themeColor="text1"/>
          <w:sz w:val="24"/>
          <w:szCs w:val="24"/>
        </w:rPr>
        <w:t>dez</w:t>
      </w:r>
      <w:r w:rsidRPr="00271BE3">
        <w:rPr>
          <w:rFonts w:ascii="Times New Roman" w:eastAsia="Calibri" w:hAnsi="Times New Roman" w:cs="Times New Roman"/>
          <w:b/>
          <w:bCs/>
          <w:color w:val="000000" w:themeColor="text1"/>
          <w:sz w:val="24"/>
          <w:szCs w:val="24"/>
        </w:rPr>
        <w:t>) dias úteis</w:t>
      </w:r>
      <w:r w:rsidRPr="00271BE3">
        <w:rPr>
          <w:rFonts w:ascii="Times New Roman" w:eastAsia="Calibri" w:hAnsi="Times New Roman" w:cs="Times New Roman"/>
          <w:color w:val="000000" w:themeColor="text1"/>
          <w:sz w:val="24"/>
          <w:szCs w:val="24"/>
        </w:rPr>
        <w:t xml:space="preserve">, contados a partir da data de divulgação do edital de licitação, para a apresentação das propostas e lances, </w:t>
      </w:r>
      <w:r w:rsidRPr="00271BE3">
        <w:rPr>
          <w:rFonts w:ascii="Times New Roman" w:eastAsia="Calibri" w:hAnsi="Times New Roman" w:cs="Times New Roman"/>
          <w:color w:val="000000" w:themeColor="text1"/>
          <w:sz w:val="24"/>
          <w:szCs w:val="24"/>
        </w:rPr>
        <w:lastRenderedPageBreak/>
        <w:t>quando adotados os critérios de julgamento de menor preço ou de maior desconto (art. 55, I</w:t>
      </w:r>
      <w:r w:rsidR="57DA4152" w:rsidRPr="00271BE3">
        <w:rPr>
          <w:rFonts w:ascii="Times New Roman" w:eastAsia="Calibri" w:hAnsi="Times New Roman" w:cs="Times New Roman"/>
          <w:color w:val="000000" w:themeColor="text1"/>
          <w:sz w:val="24"/>
          <w:szCs w:val="24"/>
        </w:rPr>
        <w:t>I</w:t>
      </w:r>
      <w:r w:rsidRPr="00271BE3">
        <w:rPr>
          <w:rFonts w:ascii="Times New Roman" w:eastAsia="Calibri" w:hAnsi="Times New Roman" w:cs="Times New Roman"/>
          <w:color w:val="000000" w:themeColor="text1"/>
          <w:sz w:val="24"/>
          <w:szCs w:val="24"/>
        </w:rPr>
        <w:t>, alínea “a”, Lei nº 14.133</w:t>
      </w:r>
      <w:r w:rsidR="00E854B9" w:rsidRPr="00271BE3">
        <w:rPr>
          <w:rFonts w:ascii="Times New Roman" w:eastAsia="Calibri" w:hAnsi="Times New Roman" w:cs="Times New Roman"/>
          <w:color w:val="000000" w:themeColor="text1"/>
          <w:sz w:val="24"/>
          <w:szCs w:val="24"/>
        </w:rPr>
        <w:t xml:space="preserve">, de </w:t>
      </w:r>
      <w:r w:rsidRPr="00271BE3">
        <w:rPr>
          <w:rFonts w:ascii="Times New Roman" w:eastAsia="Calibri" w:hAnsi="Times New Roman" w:cs="Times New Roman"/>
          <w:color w:val="000000" w:themeColor="text1"/>
          <w:sz w:val="24"/>
          <w:szCs w:val="24"/>
        </w:rPr>
        <w:t>2021).</w:t>
      </w:r>
    </w:p>
    <w:p w14:paraId="53BDFA67" w14:textId="77777777" w:rsidR="00141A2E" w:rsidRPr="00271BE3" w:rsidRDefault="00141A2E" w:rsidP="00952A35">
      <w:pPr>
        <w:spacing w:after="0" w:line="240" w:lineRule="auto"/>
        <w:jc w:val="both"/>
        <w:rPr>
          <w:rFonts w:ascii="Times New Roman" w:eastAsia="Calibri" w:hAnsi="Times New Roman" w:cs="Times New Roman"/>
          <w:color w:val="000000" w:themeColor="text1"/>
          <w:sz w:val="24"/>
          <w:szCs w:val="24"/>
        </w:rPr>
      </w:pPr>
    </w:p>
    <w:p w14:paraId="6F8A891D" w14:textId="17DEACB1" w:rsidR="66EBB3D6" w:rsidRDefault="5A1096CD"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Destaca-se também que, após a homologação do processo licitatório, é obrigatória a disponibilização no Portal Nacional de Contratações Públicas (PNCP) dos documentos elaborados na fase preparatória que porventura não tenham integrado o edital e seus anexos, conforme determina o art. 54, § 3º, da Lei nº 14.133</w:t>
      </w:r>
      <w:r w:rsidR="00C75AED" w:rsidRPr="00271BE3">
        <w:rPr>
          <w:rFonts w:ascii="Times New Roman" w:eastAsia="Calibri" w:hAnsi="Times New Roman" w:cs="Times New Roman"/>
          <w:color w:val="000000" w:themeColor="text1"/>
          <w:sz w:val="24"/>
          <w:szCs w:val="24"/>
        </w:rPr>
        <w:t xml:space="preserve">, de </w:t>
      </w:r>
      <w:r w:rsidRPr="00271BE3">
        <w:rPr>
          <w:rFonts w:ascii="Times New Roman" w:eastAsia="Calibri" w:hAnsi="Times New Roman" w:cs="Times New Roman"/>
          <w:color w:val="000000" w:themeColor="text1"/>
          <w:sz w:val="24"/>
          <w:szCs w:val="24"/>
        </w:rPr>
        <w:t>2021.</w:t>
      </w:r>
    </w:p>
    <w:p w14:paraId="32557D77" w14:textId="77777777" w:rsidR="00141A2E" w:rsidRPr="00271BE3" w:rsidRDefault="00141A2E" w:rsidP="00952A35">
      <w:pPr>
        <w:spacing w:after="0" w:line="240" w:lineRule="auto"/>
        <w:jc w:val="both"/>
        <w:rPr>
          <w:rFonts w:ascii="Times New Roman" w:eastAsia="Calibri" w:hAnsi="Times New Roman" w:cs="Times New Roman"/>
          <w:color w:val="000000" w:themeColor="text1"/>
          <w:sz w:val="24"/>
          <w:szCs w:val="24"/>
        </w:rPr>
      </w:pPr>
    </w:p>
    <w:p w14:paraId="655E4153" w14:textId="20B0C092" w:rsidR="00141A2E" w:rsidRDefault="3C3E72A5" w:rsidP="00952A35">
      <w:pPr>
        <w:spacing w:after="0" w:line="240" w:lineRule="auto"/>
        <w:jc w:val="both"/>
        <w:rPr>
          <w:rFonts w:ascii="Times New Roman" w:eastAsia="Calibri" w:hAnsi="Times New Roman" w:cs="Times New Roman"/>
          <w:color w:val="000000" w:themeColor="text1"/>
          <w:sz w:val="24"/>
          <w:szCs w:val="24"/>
        </w:rPr>
      </w:pPr>
      <w:r w:rsidRPr="00271BE3">
        <w:rPr>
          <w:rFonts w:ascii="Times New Roman" w:eastAsia="Calibri" w:hAnsi="Times New Roman" w:cs="Times New Roman"/>
          <w:color w:val="000000" w:themeColor="text1"/>
          <w:sz w:val="24"/>
          <w:szCs w:val="24"/>
        </w:rPr>
        <w:t xml:space="preserve">Ademais, de acordo com o art. 8º, §2º, da </w:t>
      </w:r>
      <w:r w:rsidRPr="00271BE3">
        <w:rPr>
          <w:rFonts w:ascii="Times New Roman" w:eastAsia="Calibri" w:hAnsi="Times New Roman" w:cs="Times New Roman"/>
          <w:sz w:val="24"/>
          <w:szCs w:val="24"/>
        </w:rPr>
        <w:t>L</w:t>
      </w:r>
      <w:r w:rsidR="00C75AED" w:rsidRPr="00271BE3">
        <w:rPr>
          <w:rFonts w:ascii="Times New Roman" w:eastAsia="Calibri" w:hAnsi="Times New Roman" w:cs="Times New Roman"/>
          <w:sz w:val="24"/>
          <w:szCs w:val="24"/>
        </w:rPr>
        <w:t>ei</w:t>
      </w:r>
      <w:r w:rsidRPr="00271BE3">
        <w:rPr>
          <w:rFonts w:ascii="Times New Roman" w:eastAsia="Calibri" w:hAnsi="Times New Roman" w:cs="Times New Roman"/>
          <w:sz w:val="24"/>
          <w:szCs w:val="24"/>
        </w:rPr>
        <w:t xml:space="preserve"> </w:t>
      </w:r>
      <w:r w:rsidR="00C75AED" w:rsidRPr="00271BE3">
        <w:rPr>
          <w:rFonts w:ascii="Times New Roman" w:eastAsia="Calibri" w:hAnsi="Times New Roman" w:cs="Times New Roman"/>
          <w:sz w:val="24"/>
          <w:szCs w:val="24"/>
        </w:rPr>
        <w:t>n</w:t>
      </w:r>
      <w:r w:rsidRPr="00271BE3">
        <w:rPr>
          <w:rFonts w:ascii="Times New Roman" w:eastAsia="Calibri" w:hAnsi="Times New Roman" w:cs="Times New Roman"/>
          <w:sz w:val="24"/>
          <w:szCs w:val="24"/>
        </w:rPr>
        <w:t xml:space="preserve">º 12.527, </w:t>
      </w:r>
      <w:r w:rsidR="00C75AED" w:rsidRPr="00271BE3">
        <w:rPr>
          <w:rFonts w:ascii="Times New Roman" w:eastAsia="Calibri" w:hAnsi="Times New Roman" w:cs="Times New Roman"/>
          <w:sz w:val="24"/>
          <w:szCs w:val="24"/>
        </w:rPr>
        <w:t xml:space="preserve">de </w:t>
      </w:r>
      <w:r w:rsidRPr="00271BE3">
        <w:rPr>
          <w:rFonts w:ascii="Times New Roman" w:eastAsia="Calibri" w:hAnsi="Times New Roman" w:cs="Times New Roman"/>
          <w:sz w:val="24"/>
          <w:szCs w:val="24"/>
        </w:rPr>
        <w:t>2011</w:t>
      </w:r>
      <w:r w:rsidRPr="00271BE3">
        <w:rPr>
          <w:rFonts w:ascii="Times New Roman" w:eastAsia="Calibri" w:hAnsi="Times New Roman" w:cs="Times New Roman"/>
          <w:color w:val="000000" w:themeColor="text1"/>
          <w:sz w:val="24"/>
          <w:szCs w:val="24"/>
        </w:rPr>
        <w:t xml:space="preserve">, c/c art. 7º, §3º, V, do </w:t>
      </w:r>
      <w:r w:rsidR="00C75AED" w:rsidRPr="00271BE3">
        <w:rPr>
          <w:rFonts w:ascii="Times New Roman" w:eastAsia="Calibri" w:hAnsi="Times New Roman" w:cs="Times New Roman"/>
          <w:sz w:val="24"/>
          <w:szCs w:val="24"/>
        </w:rPr>
        <w:t>Decreto</w:t>
      </w:r>
      <w:r w:rsidRPr="00271BE3">
        <w:rPr>
          <w:rFonts w:ascii="Times New Roman" w:eastAsia="Calibri" w:hAnsi="Times New Roman" w:cs="Times New Roman"/>
          <w:sz w:val="24"/>
          <w:szCs w:val="24"/>
        </w:rPr>
        <w:t xml:space="preserve"> </w:t>
      </w:r>
      <w:r w:rsidR="00790FA4" w:rsidRPr="00271BE3">
        <w:rPr>
          <w:rFonts w:ascii="Times New Roman" w:eastAsia="Calibri" w:hAnsi="Times New Roman" w:cs="Times New Roman"/>
          <w:sz w:val="24"/>
          <w:szCs w:val="24"/>
        </w:rPr>
        <w:t>n</w:t>
      </w:r>
      <w:r w:rsidRPr="00271BE3">
        <w:rPr>
          <w:rFonts w:ascii="Times New Roman" w:eastAsia="Calibri" w:hAnsi="Times New Roman" w:cs="Times New Roman"/>
          <w:sz w:val="24"/>
          <w:szCs w:val="24"/>
        </w:rPr>
        <w:t xml:space="preserve">º 7.724, </w:t>
      </w:r>
      <w:r w:rsidR="00790FA4" w:rsidRPr="00271BE3">
        <w:rPr>
          <w:rFonts w:ascii="Times New Roman" w:eastAsia="Calibri" w:hAnsi="Times New Roman" w:cs="Times New Roman"/>
          <w:sz w:val="24"/>
          <w:szCs w:val="24"/>
        </w:rPr>
        <w:t xml:space="preserve">de </w:t>
      </w:r>
      <w:r w:rsidRPr="00271BE3">
        <w:rPr>
          <w:rFonts w:ascii="Times New Roman" w:eastAsia="Calibri" w:hAnsi="Times New Roman" w:cs="Times New Roman"/>
          <w:sz w:val="24"/>
          <w:szCs w:val="24"/>
        </w:rPr>
        <w:t>2012</w:t>
      </w:r>
      <w:r w:rsidRPr="00271BE3">
        <w:rPr>
          <w:rFonts w:ascii="Times New Roman" w:eastAsia="Calibri" w:hAnsi="Times New Roman" w:cs="Times New Roman"/>
          <w:color w:val="000000" w:themeColor="text1"/>
          <w:sz w:val="24"/>
          <w:szCs w:val="24"/>
        </w:rPr>
        <w:t xml:space="preserve">, deverão ser disponibilizados os seguintes documentos e informações no sítio oficial do órgão licitante na </w:t>
      </w:r>
      <w:r w:rsidRPr="00271BE3">
        <w:rPr>
          <w:rFonts w:ascii="Times New Roman" w:eastAsia="Calibri" w:hAnsi="Times New Roman" w:cs="Times New Roman"/>
          <w:i/>
          <w:iCs/>
          <w:color w:val="000000" w:themeColor="text1"/>
          <w:sz w:val="24"/>
          <w:szCs w:val="24"/>
        </w:rPr>
        <w:t>internet</w:t>
      </w:r>
      <w:r w:rsidRPr="00271BE3">
        <w:rPr>
          <w:rFonts w:ascii="Times New Roman" w:eastAsia="Calibri" w:hAnsi="Times New Roman" w:cs="Times New Roman"/>
          <w:color w:val="000000" w:themeColor="text1"/>
          <w:sz w:val="24"/>
          <w:szCs w:val="24"/>
        </w:rPr>
        <w:t xml:space="preserve">: </w:t>
      </w:r>
    </w:p>
    <w:p w14:paraId="13A494E6" w14:textId="77777777" w:rsidR="00141A2E" w:rsidRDefault="00141A2E" w:rsidP="00952A35">
      <w:pPr>
        <w:spacing w:after="0" w:line="240" w:lineRule="auto"/>
        <w:jc w:val="both"/>
        <w:rPr>
          <w:rFonts w:ascii="Times New Roman" w:eastAsia="Calibri" w:hAnsi="Times New Roman" w:cs="Times New Roman"/>
          <w:color w:val="000000" w:themeColor="text1"/>
          <w:sz w:val="24"/>
          <w:szCs w:val="24"/>
        </w:rPr>
      </w:pPr>
    </w:p>
    <w:p w14:paraId="5D955327" w14:textId="6524654F" w:rsidR="3C3E72A5" w:rsidRPr="0068246D" w:rsidRDefault="3C3E72A5" w:rsidP="00952A35">
      <w:pPr>
        <w:spacing w:after="0" w:line="240" w:lineRule="auto"/>
        <w:ind w:left="2268"/>
        <w:jc w:val="both"/>
        <w:rPr>
          <w:rFonts w:ascii="Times New Roman" w:eastAsia="Calibri" w:hAnsi="Times New Roman" w:cs="Times New Roman"/>
          <w:color w:val="000000" w:themeColor="text1"/>
          <w:sz w:val="20"/>
          <w:szCs w:val="20"/>
        </w:rPr>
      </w:pPr>
      <w:r w:rsidRPr="0068246D">
        <w:rPr>
          <w:rFonts w:ascii="Times New Roman" w:eastAsia="Calibri" w:hAnsi="Times New Roman" w:cs="Times New Roman"/>
          <w:color w:val="000000" w:themeColor="text1"/>
          <w:sz w:val="20"/>
          <w:szCs w:val="20"/>
        </w:rPr>
        <w:t xml:space="preserve">a) cópia integral do edital com seus anexos; </w:t>
      </w:r>
    </w:p>
    <w:p w14:paraId="348466FF" w14:textId="0758B33C" w:rsidR="3C3E72A5" w:rsidRPr="0068246D" w:rsidRDefault="3C3E72A5" w:rsidP="00952A35">
      <w:pPr>
        <w:spacing w:after="0" w:line="240" w:lineRule="auto"/>
        <w:ind w:left="2268"/>
        <w:jc w:val="both"/>
        <w:rPr>
          <w:rFonts w:ascii="Times New Roman" w:eastAsia="Calibri" w:hAnsi="Times New Roman" w:cs="Times New Roman"/>
          <w:color w:val="000000" w:themeColor="text1"/>
          <w:sz w:val="20"/>
          <w:szCs w:val="20"/>
        </w:rPr>
      </w:pPr>
      <w:r w:rsidRPr="0068246D">
        <w:rPr>
          <w:rFonts w:ascii="Times New Roman" w:eastAsia="Calibri" w:hAnsi="Times New Roman" w:cs="Times New Roman"/>
          <w:color w:val="000000" w:themeColor="text1"/>
          <w:sz w:val="20"/>
          <w:szCs w:val="20"/>
        </w:rPr>
        <w:t xml:space="preserve">b) resultado da licitação; </w:t>
      </w:r>
    </w:p>
    <w:p w14:paraId="1EBAA8B9" w14:textId="2A60CD43" w:rsidR="3C3E72A5" w:rsidRPr="0068246D" w:rsidRDefault="3C3E72A5" w:rsidP="00952A35">
      <w:pPr>
        <w:spacing w:after="0" w:line="240" w:lineRule="auto"/>
        <w:ind w:left="2268"/>
        <w:jc w:val="both"/>
        <w:rPr>
          <w:rFonts w:ascii="Times New Roman" w:eastAsia="Calibri" w:hAnsi="Times New Roman" w:cs="Times New Roman"/>
          <w:color w:val="000000" w:themeColor="text1"/>
          <w:sz w:val="20"/>
          <w:szCs w:val="20"/>
        </w:rPr>
      </w:pPr>
      <w:r w:rsidRPr="0068246D">
        <w:rPr>
          <w:rFonts w:ascii="Times New Roman" w:eastAsia="Calibri" w:hAnsi="Times New Roman" w:cs="Times New Roman"/>
          <w:color w:val="000000" w:themeColor="text1"/>
          <w:sz w:val="20"/>
          <w:szCs w:val="20"/>
        </w:rPr>
        <w:t>c) contratos firmados e notas de empenho emitidas.</w:t>
      </w:r>
    </w:p>
    <w:p w14:paraId="07DE86FD" w14:textId="77777777" w:rsidR="004423CE" w:rsidRPr="0068246D" w:rsidRDefault="004423CE" w:rsidP="00952A35">
      <w:pPr>
        <w:spacing w:after="0" w:line="240" w:lineRule="auto"/>
        <w:ind w:firstLine="1418"/>
        <w:jc w:val="both"/>
        <w:rPr>
          <w:rFonts w:ascii="Times New Roman" w:eastAsia="Times New Roman" w:hAnsi="Times New Roman" w:cs="Times New Roman"/>
          <w:color w:val="000000"/>
          <w:sz w:val="20"/>
          <w:szCs w:val="20"/>
          <w:lang w:eastAsia="pt-BR"/>
        </w:rPr>
      </w:pPr>
      <w:r w:rsidRPr="0068246D">
        <w:rPr>
          <w:rFonts w:ascii="Times New Roman" w:eastAsia="Times New Roman" w:hAnsi="Times New Roman" w:cs="Times New Roman"/>
          <w:color w:val="000000"/>
          <w:sz w:val="20"/>
          <w:szCs w:val="20"/>
          <w:lang w:eastAsia="pt-BR"/>
        </w:rPr>
        <w:t> </w:t>
      </w:r>
    </w:p>
    <w:p w14:paraId="7EED4E28" w14:textId="77777777" w:rsidR="004423CE" w:rsidRPr="00271BE3" w:rsidRDefault="004423CE" w:rsidP="00952A35">
      <w:pPr>
        <w:spacing w:after="0" w:line="240" w:lineRule="auto"/>
        <w:jc w:val="both"/>
        <w:outlineLvl w:val="0"/>
        <w:rPr>
          <w:rFonts w:ascii="Times New Roman" w:eastAsia="Times New Roman" w:hAnsi="Times New Roman" w:cs="Times New Roman"/>
          <w:b/>
          <w:bCs/>
          <w:caps/>
          <w:color w:val="000000"/>
          <w:kern w:val="36"/>
          <w:sz w:val="24"/>
          <w:szCs w:val="24"/>
          <w:lang w:eastAsia="pt-BR"/>
        </w:rPr>
      </w:pPr>
      <w:r w:rsidRPr="00271BE3">
        <w:rPr>
          <w:rFonts w:ascii="Times New Roman" w:eastAsia="Times New Roman" w:hAnsi="Times New Roman" w:cs="Times New Roman"/>
          <w:b/>
          <w:bCs/>
          <w:caps/>
          <w:color w:val="000000"/>
          <w:kern w:val="36"/>
          <w:sz w:val="24"/>
          <w:szCs w:val="24"/>
          <w:lang w:eastAsia="pt-BR"/>
        </w:rPr>
        <w:t>CONCLUSÃO</w:t>
      </w:r>
    </w:p>
    <w:p w14:paraId="1ED6635A" w14:textId="0D0FB83F" w:rsidR="79B9EDE3" w:rsidRPr="00271BE3" w:rsidRDefault="79B9EDE3" w:rsidP="00952A35">
      <w:pPr>
        <w:spacing w:after="0" w:line="240" w:lineRule="auto"/>
        <w:jc w:val="both"/>
        <w:rPr>
          <w:rFonts w:ascii="Times New Roman" w:eastAsia="Times New Roman" w:hAnsi="Times New Roman" w:cs="Times New Roman"/>
          <w:color w:val="000000" w:themeColor="text1"/>
          <w:sz w:val="24"/>
          <w:szCs w:val="24"/>
          <w:lang w:eastAsia="pt-BR"/>
        </w:rPr>
      </w:pPr>
      <w:r w:rsidRPr="00271BE3">
        <w:rPr>
          <w:rFonts w:ascii="Times New Roman" w:eastAsia="Times New Roman" w:hAnsi="Times New Roman" w:cs="Times New Roman"/>
          <w:color w:val="000000" w:themeColor="text1"/>
          <w:sz w:val="24"/>
          <w:szCs w:val="24"/>
          <w:lang w:eastAsia="pt-BR"/>
        </w:rPr>
        <w:t> </w:t>
      </w:r>
    </w:p>
    <w:p w14:paraId="3313E1F0" w14:textId="308A71C8" w:rsidR="05F1956B" w:rsidRDefault="3F6FDF80" w:rsidP="00952A35">
      <w:pPr>
        <w:spacing w:after="0" w:line="240" w:lineRule="auto"/>
        <w:jc w:val="both"/>
        <w:rPr>
          <w:rFonts w:ascii="Times New Roman" w:eastAsia="Times New Roman" w:hAnsi="Times New Roman" w:cs="Times New Roman"/>
          <w:color w:val="000000"/>
          <w:sz w:val="24"/>
          <w:szCs w:val="24"/>
          <w:lang w:eastAsia="pt-BR"/>
        </w:rPr>
      </w:pPr>
      <w:r w:rsidRPr="70A54559">
        <w:rPr>
          <w:rFonts w:ascii="Times New Roman" w:eastAsia="Calibri" w:hAnsi="Times New Roman" w:cs="Times New Roman"/>
          <w:color w:val="000000" w:themeColor="text1"/>
          <w:sz w:val="24"/>
          <w:szCs w:val="24"/>
        </w:rPr>
        <w:t xml:space="preserve">Em face do exposto, manifesta-se esta Procuradoria pela </w:t>
      </w:r>
      <w:r w:rsidRPr="00185B67">
        <w:rPr>
          <w:rFonts w:ascii="Times New Roman" w:eastAsia="Calibri" w:hAnsi="Times New Roman" w:cs="Times New Roman"/>
          <w:b/>
          <w:bCs/>
          <w:color w:val="FF0000"/>
          <w:sz w:val="24"/>
          <w:szCs w:val="24"/>
        </w:rPr>
        <w:t>REGULARIDADE JURÍDICA</w:t>
      </w:r>
      <w:r w:rsidR="1FDFB0F8" w:rsidRPr="00185B67">
        <w:rPr>
          <w:rFonts w:ascii="Times New Roman" w:eastAsia="Calibri" w:hAnsi="Times New Roman" w:cs="Times New Roman"/>
          <w:b/>
          <w:bCs/>
          <w:color w:val="FF0000"/>
          <w:sz w:val="24"/>
          <w:szCs w:val="24"/>
        </w:rPr>
        <w:t>, COM RESSALVAS</w:t>
      </w:r>
      <w:r w:rsidR="1FDFB0F8" w:rsidRPr="70A54559">
        <w:rPr>
          <w:rFonts w:ascii="Times New Roman" w:eastAsia="Calibri" w:hAnsi="Times New Roman" w:cs="Times New Roman"/>
          <w:color w:val="000000" w:themeColor="text1"/>
          <w:sz w:val="24"/>
          <w:szCs w:val="24"/>
        </w:rPr>
        <w:t>,</w:t>
      </w:r>
      <w:r w:rsidRPr="70A54559">
        <w:rPr>
          <w:rFonts w:ascii="Times New Roman" w:eastAsia="Calibri" w:hAnsi="Times New Roman" w:cs="Times New Roman"/>
          <w:color w:val="000000" w:themeColor="text1"/>
          <w:sz w:val="24"/>
          <w:szCs w:val="24"/>
        </w:rPr>
        <w:t xml:space="preserve"> do procedimento submetido ao exame desta unidade consultiva, condicionada ao atendimento das recomendações formuladas </w:t>
      </w:r>
      <w:r w:rsidR="00A75BAD" w:rsidRPr="70A54559">
        <w:rPr>
          <w:rFonts w:ascii="Times New Roman" w:hAnsi="Times New Roman" w:cs="Times New Roman"/>
          <w:sz w:val="24"/>
          <w:szCs w:val="24"/>
        </w:rPr>
        <w:t>neste parecer, em especial nos itens </w:t>
      </w:r>
      <w:r w:rsidR="00A75BAD" w:rsidRPr="70A54559">
        <w:rPr>
          <w:rFonts w:ascii="Times New Roman" w:hAnsi="Times New Roman" w:cs="Times New Roman"/>
          <w:color w:val="FF0000"/>
          <w:sz w:val="24"/>
          <w:szCs w:val="24"/>
        </w:rPr>
        <w:t>[indicar todos os parágrafos em que há recomendação de atuação para a Administração]</w:t>
      </w:r>
      <w:r w:rsidRPr="70A54559">
        <w:rPr>
          <w:rFonts w:ascii="Times New Roman" w:eastAsia="Calibri" w:hAnsi="Times New Roman" w:cs="Times New Roman"/>
          <w:color w:val="FF0000"/>
          <w:sz w:val="24"/>
          <w:szCs w:val="24"/>
        </w:rPr>
        <w:t xml:space="preserve">, </w:t>
      </w:r>
      <w:r w:rsidRPr="70A54559">
        <w:rPr>
          <w:rFonts w:ascii="Times New Roman" w:eastAsia="Calibri" w:hAnsi="Times New Roman" w:cs="Times New Roman"/>
          <w:color w:val="000000" w:themeColor="text1"/>
          <w:sz w:val="24"/>
          <w:szCs w:val="24"/>
        </w:rPr>
        <w:t>ressalvado o juízo de mérito da Administração e os aspectos técnicos, econômicos e financeiros, que escapam à análise deste órgão.</w:t>
      </w:r>
      <w:r w:rsidR="31329E69" w:rsidRPr="70A54559">
        <w:rPr>
          <w:rFonts w:ascii="Times New Roman" w:eastAsia="Times New Roman" w:hAnsi="Times New Roman" w:cs="Times New Roman"/>
          <w:color w:val="000000" w:themeColor="text1"/>
          <w:sz w:val="24"/>
          <w:szCs w:val="24"/>
          <w:lang w:eastAsia="pt-BR"/>
        </w:rPr>
        <w:t> </w:t>
      </w:r>
    </w:p>
    <w:p w14:paraId="6173A3A2" w14:textId="42FF8154" w:rsidR="05F1956B" w:rsidRPr="00271BE3" w:rsidRDefault="05F1956B" w:rsidP="00952A35">
      <w:pPr>
        <w:spacing w:after="0" w:line="240" w:lineRule="auto"/>
        <w:jc w:val="both"/>
        <w:rPr>
          <w:rFonts w:ascii="Times New Roman" w:eastAsia="Times New Roman" w:hAnsi="Times New Roman" w:cs="Times New Roman"/>
          <w:color w:val="000000" w:themeColor="text1"/>
          <w:sz w:val="24"/>
          <w:szCs w:val="24"/>
          <w:lang w:eastAsia="pt-BR"/>
        </w:rPr>
      </w:pPr>
    </w:p>
    <w:p w14:paraId="40A181F2" w14:textId="3DBCE28E" w:rsidR="004423CE" w:rsidRPr="00271BE3" w:rsidRDefault="004423CE" w:rsidP="00952A35">
      <w:pPr>
        <w:spacing w:after="0" w:line="240" w:lineRule="auto"/>
        <w:jc w:val="both"/>
        <w:rPr>
          <w:rFonts w:ascii="Times New Roman" w:eastAsia="Times New Roman" w:hAnsi="Times New Roman" w:cs="Times New Roman"/>
          <w:color w:val="000000"/>
          <w:sz w:val="24"/>
          <w:szCs w:val="24"/>
          <w:lang w:eastAsia="pt-BR"/>
        </w:rPr>
      </w:pPr>
      <w:r w:rsidRPr="594C5555">
        <w:rPr>
          <w:rFonts w:ascii="Times New Roman" w:eastAsia="Times New Roman" w:hAnsi="Times New Roman" w:cs="Times New Roman"/>
          <w:color w:val="000000" w:themeColor="text1"/>
          <w:sz w:val="24"/>
          <w:szCs w:val="24"/>
          <w:lang w:eastAsia="pt-BR"/>
        </w:rPr>
        <w:t>É o parecer.</w:t>
      </w:r>
    </w:p>
    <w:p w14:paraId="40901E8E" w14:textId="21335277" w:rsidR="00B5605D" w:rsidRPr="00271BE3" w:rsidRDefault="00B5605D" w:rsidP="594C5555">
      <w:pPr>
        <w:spacing w:after="0" w:line="240" w:lineRule="auto"/>
        <w:jc w:val="both"/>
        <w:rPr>
          <w:rFonts w:ascii="Times New Roman" w:eastAsia="Times New Roman" w:hAnsi="Times New Roman" w:cs="Times New Roman"/>
          <w:color w:val="000000" w:themeColor="text1"/>
          <w:sz w:val="24"/>
          <w:szCs w:val="24"/>
          <w:lang w:eastAsia="pt-BR"/>
        </w:rPr>
      </w:pPr>
    </w:p>
    <w:p w14:paraId="649556E7" w14:textId="779AB51A" w:rsidR="00E626DF" w:rsidRPr="00E626DF" w:rsidRDefault="00B5605D" w:rsidP="00E626DF">
      <w:pPr>
        <w:spacing w:after="0" w:line="240" w:lineRule="auto"/>
        <w:jc w:val="both"/>
        <w:rPr>
          <w:rFonts w:ascii="Times New Roman" w:eastAsia="Times New Roman" w:hAnsi="Times New Roman" w:cs="Times New Roman"/>
          <w:sz w:val="24"/>
          <w:szCs w:val="24"/>
          <w:lang w:eastAsia="pt-BR"/>
        </w:rPr>
      </w:pPr>
      <w:r w:rsidRPr="594C5555">
        <w:rPr>
          <w:rFonts w:ascii="Times New Roman" w:eastAsia="Times New Roman" w:hAnsi="Times New Roman" w:cs="Times New Roman"/>
          <w:color w:val="000000" w:themeColor="text1"/>
          <w:sz w:val="24"/>
          <w:szCs w:val="24"/>
          <w:lang w:eastAsia="pt-BR"/>
        </w:rPr>
        <w:t>À consideração superior</w:t>
      </w:r>
      <w:r w:rsidR="00E626DF">
        <w:rPr>
          <w:rFonts w:ascii="Times New Roman" w:eastAsia="Times New Roman" w:hAnsi="Times New Roman" w:cs="Times New Roman"/>
          <w:color w:val="000000" w:themeColor="text1"/>
          <w:sz w:val="24"/>
          <w:szCs w:val="24"/>
          <w:lang w:eastAsia="pt-BR"/>
        </w:rPr>
        <w:t>.</w:t>
      </w:r>
    </w:p>
    <w:sectPr w:rsidR="00E626DF" w:rsidRPr="00E626DF" w:rsidSect="00E626DF">
      <w:headerReference w:type="default" r:id="rId34"/>
      <w:footerReference w:type="default" r:id="rId35"/>
      <w:pgSz w:w="11906" w:h="16838" w:code="9"/>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022A9" w14:textId="77777777" w:rsidR="00220CED" w:rsidRDefault="00220CED" w:rsidP="00E626DF">
      <w:pPr>
        <w:spacing w:after="0" w:line="240" w:lineRule="auto"/>
      </w:pPr>
      <w:r>
        <w:separator/>
      </w:r>
    </w:p>
  </w:endnote>
  <w:endnote w:type="continuationSeparator" w:id="0">
    <w:p w14:paraId="3AD9FAA8" w14:textId="77777777" w:rsidR="00220CED" w:rsidRDefault="00220CED" w:rsidP="00E62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13F93" w14:textId="77777777" w:rsidR="006E78FA" w:rsidRDefault="006E78FA">
    <w:pPr>
      <w:pStyle w:val="Rodap"/>
    </w:pPr>
    <w:r>
      <w:rPr>
        <w:noProof/>
        <w:lang w:eastAsia="pt-BR"/>
        <w14:ligatures w14:val="standardContextual"/>
      </w:rPr>
      <w:drawing>
        <wp:anchor distT="0" distB="0" distL="114300" distR="114300" simplePos="0" relativeHeight="251661312" behindDoc="1" locked="0" layoutInCell="1" allowOverlap="1" wp14:anchorId="71627BC8" wp14:editId="2FD1A195">
          <wp:simplePos x="0" y="0"/>
          <wp:positionH relativeFrom="column">
            <wp:posOffset>-1199408</wp:posOffset>
          </wp:positionH>
          <wp:positionV relativeFrom="paragraph">
            <wp:posOffset>-100718</wp:posOffset>
          </wp:positionV>
          <wp:extent cx="8579923" cy="865505"/>
          <wp:effectExtent l="0" t="0" r="0" b="0"/>
          <wp:wrapNone/>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8651724" cy="872748"/>
                  </a:xfrm>
                  <a:prstGeom prst="rect">
                    <a:avLst/>
                  </a:prstGeom>
                </pic:spPr>
              </pic:pic>
            </a:graphicData>
          </a:graphic>
          <wp14:sizeRelH relativeFrom="margin">
            <wp14:pctWidth>0</wp14:pctWidth>
          </wp14:sizeRelH>
        </wp:anchor>
      </w:drawing>
    </w:r>
    <w:r>
      <w:rPr>
        <w:noProof/>
        <w:lang w:eastAsia="pt-BR"/>
      </w:rPr>
      <w:drawing>
        <wp:anchor distT="0" distB="0" distL="114300" distR="114300" simplePos="0" relativeHeight="251662336" behindDoc="1" locked="0" layoutInCell="1" allowOverlap="1" wp14:anchorId="5826526A" wp14:editId="513481A0">
          <wp:simplePos x="0" y="0"/>
          <wp:positionH relativeFrom="column">
            <wp:posOffset>5608320</wp:posOffset>
          </wp:positionH>
          <wp:positionV relativeFrom="paragraph">
            <wp:posOffset>13335</wp:posOffset>
          </wp:positionV>
          <wp:extent cx="847090" cy="476250"/>
          <wp:effectExtent l="0" t="0" r="0" b="0"/>
          <wp:wrapNone/>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0B2EF" w14:textId="77777777" w:rsidR="00220CED" w:rsidRDefault="00220CED" w:rsidP="00E626DF">
      <w:pPr>
        <w:spacing w:after="0" w:line="240" w:lineRule="auto"/>
      </w:pPr>
      <w:r>
        <w:separator/>
      </w:r>
    </w:p>
  </w:footnote>
  <w:footnote w:type="continuationSeparator" w:id="0">
    <w:p w14:paraId="5049AE35" w14:textId="77777777" w:rsidR="00220CED" w:rsidRDefault="00220CED" w:rsidP="00E62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59A20" w14:textId="77777777" w:rsidR="006E78FA" w:rsidRDefault="006E78FA">
    <w:pPr>
      <w:pStyle w:val="Cabealho"/>
    </w:pPr>
    <w:r>
      <w:rPr>
        <w:noProof/>
        <w:lang w:eastAsia="pt-BR"/>
        <w14:ligatures w14:val="standardContextual"/>
      </w:rPr>
      <w:drawing>
        <wp:anchor distT="0" distB="0" distL="114300" distR="114300" simplePos="0" relativeHeight="251660288" behindDoc="1" locked="0" layoutInCell="1" allowOverlap="1" wp14:anchorId="0AA5CC94" wp14:editId="15A5FC7F">
          <wp:simplePos x="0" y="0"/>
          <wp:positionH relativeFrom="column">
            <wp:posOffset>-29785</wp:posOffset>
          </wp:positionH>
          <wp:positionV relativeFrom="paragraph">
            <wp:posOffset>-217431</wp:posOffset>
          </wp:positionV>
          <wp:extent cx="1936800" cy="618420"/>
          <wp:effectExtent l="0" t="0" r="6350" b="0"/>
          <wp:wrapNone/>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1936800" cy="618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59264" behindDoc="0" locked="0" layoutInCell="1" allowOverlap="1" wp14:anchorId="1BD4467E" wp14:editId="39A105A6">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0666916C" w14:textId="4B3118B6" w:rsidR="006E78FA" w:rsidRPr="00E83792" w:rsidRDefault="006E78FA"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Pr>
                              <w:rFonts w:ascii="Arial" w:hAnsi="Arial" w:cs="Arial"/>
                              <w:sz w:val="20"/>
                              <w:szCs w:val="20"/>
                            </w:rPr>
                            <w:t>–</w:t>
                          </w:r>
                          <w:r w:rsidRPr="00E83792">
                            <w:rPr>
                              <w:rFonts w:ascii="Arial" w:hAnsi="Arial" w:cs="Arial"/>
                              <w:sz w:val="20"/>
                              <w:szCs w:val="20"/>
                            </w:rPr>
                            <w:t xml:space="preserve"> </w:t>
                          </w:r>
                          <w:r w:rsidR="00E626DF">
                            <w:rPr>
                              <w:rFonts w:ascii="Arial" w:hAnsi="Arial" w:cs="Arial"/>
                              <w:sz w:val="20"/>
                              <w:szCs w:val="20"/>
                            </w:rPr>
                            <w:t>Serviço de Engenharia</w:t>
                          </w:r>
                          <w:r w:rsidRPr="00E83792">
                            <w:rPr>
                              <w:rFonts w:ascii="Arial" w:hAnsi="Arial" w:cs="Arial"/>
                              <w:sz w:val="20"/>
                              <w:szCs w:val="20"/>
                            </w:rPr>
                            <w:t xml:space="preserve">. </w:t>
                          </w:r>
                          <w:r>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sidR="00BC64A8">
                            <w:rPr>
                              <w:rFonts w:ascii="Arial" w:hAnsi="Arial" w:cs="Arial"/>
                              <w:sz w:val="20"/>
                              <w:szCs w:val="20"/>
                            </w:rPr>
                            <w:t>abril</w:t>
                          </w:r>
                          <w:r w:rsidRPr="00E83792">
                            <w:rPr>
                              <w:rFonts w:ascii="Arial" w:hAnsi="Arial" w:cs="Arial"/>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4467E" id="_x0000_t202" coordsize="21600,21600" o:spt="202" path="m,l,21600r21600,l21600,xe">
              <v:stroke joinstyle="miter"/>
              <v:path gradientshapeok="t" o:connecttype="rect"/>
            </v:shapetype>
            <v:shape id="Caixa de Texto 7" o:spid="_x0000_s1054"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" filled="f" stroked="f" strokeweight=".5pt">
              <v:textbox>
                <w:txbxContent>
                  <w:p w14:paraId="0666916C" w14:textId="4B3118B6" w:rsidR="006E78FA" w:rsidRPr="00E83792" w:rsidRDefault="006E78FA"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Pr>
                        <w:rFonts w:ascii="Arial" w:hAnsi="Arial" w:cs="Arial"/>
                        <w:sz w:val="20"/>
                        <w:szCs w:val="20"/>
                      </w:rPr>
                      <w:t>–</w:t>
                    </w:r>
                    <w:r w:rsidRPr="00E83792">
                      <w:rPr>
                        <w:rFonts w:ascii="Arial" w:hAnsi="Arial" w:cs="Arial"/>
                        <w:sz w:val="20"/>
                        <w:szCs w:val="20"/>
                      </w:rPr>
                      <w:t xml:space="preserve"> </w:t>
                    </w:r>
                    <w:r w:rsidR="00E626DF">
                      <w:rPr>
                        <w:rFonts w:ascii="Arial" w:hAnsi="Arial" w:cs="Arial"/>
                        <w:sz w:val="20"/>
                        <w:szCs w:val="20"/>
                      </w:rPr>
                      <w:t>Serviço de Engenharia</w:t>
                    </w:r>
                    <w:r w:rsidRPr="00E83792">
                      <w:rPr>
                        <w:rFonts w:ascii="Arial" w:hAnsi="Arial" w:cs="Arial"/>
                        <w:sz w:val="20"/>
                        <w:szCs w:val="20"/>
                      </w:rPr>
                      <w:t xml:space="preserve">. </w:t>
                    </w:r>
                    <w:r>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sidR="00BC64A8">
                      <w:rPr>
                        <w:rFonts w:ascii="Arial" w:hAnsi="Arial" w:cs="Arial"/>
                        <w:sz w:val="20"/>
                        <w:szCs w:val="20"/>
                      </w:rPr>
                      <w:t>abril</w:t>
                    </w:r>
                    <w:r w:rsidRPr="00E83792">
                      <w:rPr>
                        <w:rFonts w:ascii="Arial" w:hAnsi="Arial" w:cs="Arial"/>
                        <w:sz w:val="20"/>
                        <w:szCs w:val="20"/>
                      </w:rPr>
                      <w:t>/2023</w:t>
                    </w:r>
                  </w:p>
                </w:txbxContent>
              </v:textbox>
              <w10:wrap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SJWAyPC" int2:invalidationBookmarkName="" int2:hashCode="wUox31PJ9ujUon" int2:id="DlIF3VwW">
      <int2:state int2:value="Rejected" int2:type="LegacyProofing"/>
    </int2:bookmark>
    <int2:bookmark int2:bookmarkName="_Int_XAnwpK2t" int2:invalidationBookmarkName="" int2:hashCode="oyrusGydhRLAUS" int2:id="H1qIExrS">
      <int2:state int2:value="Rejected" int2:type="LegacyProofing"/>
    </int2:bookmark>
    <int2:bookmark int2:bookmarkName="_Int_pgWQo4kg" int2:invalidationBookmarkName="" int2:hashCode="SCImvSN04Nyi/H" int2:id="sDKf9IOw">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33C5"/>
    <w:multiLevelType w:val="hybridMultilevel"/>
    <w:tmpl w:val="9BF0C816"/>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1" w15:restartNumberingAfterBreak="0">
    <w:nsid w:val="072FEC1F"/>
    <w:multiLevelType w:val="hybridMultilevel"/>
    <w:tmpl w:val="24C061E8"/>
    <w:lvl w:ilvl="0" w:tplc="6A7EE376">
      <w:start w:val="1"/>
      <w:numFmt w:val="bullet"/>
      <w:lvlText w:val=""/>
      <w:lvlJc w:val="left"/>
      <w:pPr>
        <w:ind w:left="720" w:hanging="360"/>
      </w:pPr>
      <w:rPr>
        <w:rFonts w:ascii="Symbol" w:hAnsi="Symbol" w:hint="default"/>
      </w:rPr>
    </w:lvl>
    <w:lvl w:ilvl="1" w:tplc="BB8EEE26">
      <w:start w:val="1"/>
      <w:numFmt w:val="bullet"/>
      <w:lvlText w:val="o"/>
      <w:lvlJc w:val="left"/>
      <w:pPr>
        <w:ind w:left="1440" w:hanging="360"/>
      </w:pPr>
      <w:rPr>
        <w:rFonts w:ascii="Courier New" w:hAnsi="Courier New" w:hint="default"/>
      </w:rPr>
    </w:lvl>
    <w:lvl w:ilvl="2" w:tplc="DC566918">
      <w:start w:val="1"/>
      <w:numFmt w:val="bullet"/>
      <w:lvlText w:val=""/>
      <w:lvlJc w:val="left"/>
      <w:pPr>
        <w:ind w:left="2160" w:hanging="360"/>
      </w:pPr>
      <w:rPr>
        <w:rFonts w:ascii="Symbol" w:hAnsi="Symbol" w:hint="default"/>
      </w:rPr>
    </w:lvl>
    <w:lvl w:ilvl="3" w:tplc="50D2E5BA">
      <w:start w:val="1"/>
      <w:numFmt w:val="bullet"/>
      <w:lvlText w:val=""/>
      <w:lvlJc w:val="left"/>
      <w:pPr>
        <w:ind w:left="2880" w:hanging="360"/>
      </w:pPr>
      <w:rPr>
        <w:rFonts w:ascii="Symbol" w:hAnsi="Symbol" w:hint="default"/>
      </w:rPr>
    </w:lvl>
    <w:lvl w:ilvl="4" w:tplc="B82E5662">
      <w:start w:val="1"/>
      <w:numFmt w:val="bullet"/>
      <w:lvlText w:val="o"/>
      <w:lvlJc w:val="left"/>
      <w:pPr>
        <w:ind w:left="3600" w:hanging="360"/>
      </w:pPr>
      <w:rPr>
        <w:rFonts w:ascii="Courier New" w:hAnsi="Courier New" w:hint="default"/>
      </w:rPr>
    </w:lvl>
    <w:lvl w:ilvl="5" w:tplc="7AF21FA2">
      <w:start w:val="1"/>
      <w:numFmt w:val="bullet"/>
      <w:lvlText w:val=""/>
      <w:lvlJc w:val="left"/>
      <w:pPr>
        <w:ind w:left="4320" w:hanging="360"/>
      </w:pPr>
      <w:rPr>
        <w:rFonts w:ascii="Wingdings" w:hAnsi="Wingdings" w:hint="default"/>
      </w:rPr>
    </w:lvl>
    <w:lvl w:ilvl="6" w:tplc="DFF2F516">
      <w:start w:val="1"/>
      <w:numFmt w:val="bullet"/>
      <w:lvlText w:val=""/>
      <w:lvlJc w:val="left"/>
      <w:pPr>
        <w:ind w:left="5040" w:hanging="360"/>
      </w:pPr>
      <w:rPr>
        <w:rFonts w:ascii="Symbol" w:hAnsi="Symbol" w:hint="default"/>
      </w:rPr>
    </w:lvl>
    <w:lvl w:ilvl="7" w:tplc="FCC01246">
      <w:start w:val="1"/>
      <w:numFmt w:val="bullet"/>
      <w:lvlText w:val="o"/>
      <w:lvlJc w:val="left"/>
      <w:pPr>
        <w:ind w:left="5760" w:hanging="360"/>
      </w:pPr>
      <w:rPr>
        <w:rFonts w:ascii="Courier New" w:hAnsi="Courier New" w:hint="default"/>
      </w:rPr>
    </w:lvl>
    <w:lvl w:ilvl="8" w:tplc="67BC2BA8">
      <w:start w:val="1"/>
      <w:numFmt w:val="bullet"/>
      <w:lvlText w:val=""/>
      <w:lvlJc w:val="left"/>
      <w:pPr>
        <w:ind w:left="6480" w:hanging="360"/>
      </w:pPr>
      <w:rPr>
        <w:rFonts w:ascii="Wingdings" w:hAnsi="Wingdings" w:hint="default"/>
      </w:rPr>
    </w:lvl>
  </w:abstractNum>
  <w:abstractNum w:abstractNumId="2" w15:restartNumberingAfterBreak="0">
    <w:nsid w:val="0C0B665A"/>
    <w:multiLevelType w:val="hybridMultilevel"/>
    <w:tmpl w:val="12DE345E"/>
    <w:lvl w:ilvl="0" w:tplc="64C8CEAC">
      <w:start w:val="1"/>
      <w:numFmt w:val="bullet"/>
      <w:lvlText w:val="o"/>
      <w:lvlJc w:val="left"/>
      <w:pPr>
        <w:ind w:left="720" w:hanging="360"/>
      </w:pPr>
      <w:rPr>
        <w:rFonts w:ascii="Courier New" w:hAnsi="Courier New" w:hint="default"/>
      </w:rPr>
    </w:lvl>
    <w:lvl w:ilvl="1" w:tplc="40DEFEAC">
      <w:start w:val="1"/>
      <w:numFmt w:val="bullet"/>
      <w:lvlText w:val="o"/>
      <w:lvlJc w:val="left"/>
      <w:pPr>
        <w:ind w:left="1440" w:hanging="360"/>
      </w:pPr>
      <w:rPr>
        <w:rFonts w:ascii="Courier New" w:hAnsi="Courier New" w:hint="default"/>
      </w:rPr>
    </w:lvl>
    <w:lvl w:ilvl="2" w:tplc="CD6EAC6A">
      <w:start w:val="1"/>
      <w:numFmt w:val="bullet"/>
      <w:lvlText w:val=""/>
      <w:lvlJc w:val="left"/>
      <w:pPr>
        <w:ind w:left="2160" w:hanging="360"/>
      </w:pPr>
      <w:rPr>
        <w:rFonts w:ascii="Wingdings" w:hAnsi="Wingdings" w:hint="default"/>
      </w:rPr>
    </w:lvl>
    <w:lvl w:ilvl="3" w:tplc="DCB47684">
      <w:start w:val="1"/>
      <w:numFmt w:val="bullet"/>
      <w:lvlText w:val=""/>
      <w:lvlJc w:val="left"/>
      <w:pPr>
        <w:ind w:left="2880" w:hanging="360"/>
      </w:pPr>
      <w:rPr>
        <w:rFonts w:ascii="Symbol" w:hAnsi="Symbol" w:hint="default"/>
      </w:rPr>
    </w:lvl>
    <w:lvl w:ilvl="4" w:tplc="3886FFB8">
      <w:start w:val="1"/>
      <w:numFmt w:val="bullet"/>
      <w:lvlText w:val="o"/>
      <w:lvlJc w:val="left"/>
      <w:pPr>
        <w:ind w:left="3600" w:hanging="360"/>
      </w:pPr>
      <w:rPr>
        <w:rFonts w:ascii="Courier New" w:hAnsi="Courier New" w:hint="default"/>
      </w:rPr>
    </w:lvl>
    <w:lvl w:ilvl="5" w:tplc="D6B2F8B0">
      <w:start w:val="1"/>
      <w:numFmt w:val="bullet"/>
      <w:lvlText w:val=""/>
      <w:lvlJc w:val="left"/>
      <w:pPr>
        <w:ind w:left="4320" w:hanging="360"/>
      </w:pPr>
      <w:rPr>
        <w:rFonts w:ascii="Wingdings" w:hAnsi="Wingdings" w:hint="default"/>
      </w:rPr>
    </w:lvl>
    <w:lvl w:ilvl="6" w:tplc="052236AA">
      <w:start w:val="1"/>
      <w:numFmt w:val="bullet"/>
      <w:lvlText w:val=""/>
      <w:lvlJc w:val="left"/>
      <w:pPr>
        <w:ind w:left="5040" w:hanging="360"/>
      </w:pPr>
      <w:rPr>
        <w:rFonts w:ascii="Symbol" w:hAnsi="Symbol" w:hint="default"/>
      </w:rPr>
    </w:lvl>
    <w:lvl w:ilvl="7" w:tplc="A98AC562">
      <w:start w:val="1"/>
      <w:numFmt w:val="bullet"/>
      <w:lvlText w:val="o"/>
      <w:lvlJc w:val="left"/>
      <w:pPr>
        <w:ind w:left="5760" w:hanging="360"/>
      </w:pPr>
      <w:rPr>
        <w:rFonts w:ascii="Courier New" w:hAnsi="Courier New" w:hint="default"/>
      </w:rPr>
    </w:lvl>
    <w:lvl w:ilvl="8" w:tplc="C1DE0B3C">
      <w:start w:val="1"/>
      <w:numFmt w:val="bullet"/>
      <w:lvlText w:val=""/>
      <w:lvlJc w:val="left"/>
      <w:pPr>
        <w:ind w:left="6480" w:hanging="360"/>
      </w:pPr>
      <w:rPr>
        <w:rFonts w:ascii="Wingdings" w:hAnsi="Wingdings" w:hint="default"/>
      </w:rPr>
    </w:lvl>
  </w:abstractNum>
  <w:abstractNum w:abstractNumId="3" w15:restartNumberingAfterBreak="0">
    <w:nsid w:val="0C65188F"/>
    <w:multiLevelType w:val="hybridMultilevel"/>
    <w:tmpl w:val="C658B09C"/>
    <w:lvl w:ilvl="0" w:tplc="E8547E62">
      <w:start w:val="1"/>
      <w:numFmt w:val="bullet"/>
      <w:lvlText w:val="o"/>
      <w:lvlJc w:val="left"/>
      <w:pPr>
        <w:ind w:left="720" w:hanging="360"/>
      </w:pPr>
      <w:rPr>
        <w:rFonts w:ascii="Courier New" w:hAnsi="Courier New" w:hint="default"/>
      </w:rPr>
    </w:lvl>
    <w:lvl w:ilvl="1" w:tplc="0A12919E">
      <w:start w:val="1"/>
      <w:numFmt w:val="bullet"/>
      <w:lvlText w:val="o"/>
      <w:lvlJc w:val="left"/>
      <w:pPr>
        <w:ind w:left="1440" w:hanging="360"/>
      </w:pPr>
      <w:rPr>
        <w:rFonts w:ascii="Courier New" w:hAnsi="Courier New" w:hint="default"/>
      </w:rPr>
    </w:lvl>
    <w:lvl w:ilvl="2" w:tplc="E95E3834">
      <w:start w:val="1"/>
      <w:numFmt w:val="bullet"/>
      <w:lvlText w:val=""/>
      <w:lvlJc w:val="left"/>
      <w:pPr>
        <w:ind w:left="2160" w:hanging="360"/>
      </w:pPr>
      <w:rPr>
        <w:rFonts w:ascii="Wingdings" w:hAnsi="Wingdings" w:hint="default"/>
      </w:rPr>
    </w:lvl>
    <w:lvl w:ilvl="3" w:tplc="84B6E46C">
      <w:start w:val="1"/>
      <w:numFmt w:val="bullet"/>
      <w:lvlText w:val=""/>
      <w:lvlJc w:val="left"/>
      <w:pPr>
        <w:ind w:left="2880" w:hanging="360"/>
      </w:pPr>
      <w:rPr>
        <w:rFonts w:ascii="Symbol" w:hAnsi="Symbol" w:hint="default"/>
      </w:rPr>
    </w:lvl>
    <w:lvl w:ilvl="4" w:tplc="C5A4B128">
      <w:start w:val="1"/>
      <w:numFmt w:val="bullet"/>
      <w:lvlText w:val="o"/>
      <w:lvlJc w:val="left"/>
      <w:pPr>
        <w:ind w:left="3600" w:hanging="360"/>
      </w:pPr>
      <w:rPr>
        <w:rFonts w:ascii="Courier New" w:hAnsi="Courier New" w:hint="default"/>
      </w:rPr>
    </w:lvl>
    <w:lvl w:ilvl="5" w:tplc="BC8A7C9A">
      <w:start w:val="1"/>
      <w:numFmt w:val="bullet"/>
      <w:lvlText w:val=""/>
      <w:lvlJc w:val="left"/>
      <w:pPr>
        <w:ind w:left="4320" w:hanging="360"/>
      </w:pPr>
      <w:rPr>
        <w:rFonts w:ascii="Wingdings" w:hAnsi="Wingdings" w:hint="default"/>
      </w:rPr>
    </w:lvl>
    <w:lvl w:ilvl="6" w:tplc="B71AFC36">
      <w:start w:val="1"/>
      <w:numFmt w:val="bullet"/>
      <w:lvlText w:val=""/>
      <w:lvlJc w:val="left"/>
      <w:pPr>
        <w:ind w:left="5040" w:hanging="360"/>
      </w:pPr>
      <w:rPr>
        <w:rFonts w:ascii="Symbol" w:hAnsi="Symbol" w:hint="default"/>
      </w:rPr>
    </w:lvl>
    <w:lvl w:ilvl="7" w:tplc="45F67514">
      <w:start w:val="1"/>
      <w:numFmt w:val="bullet"/>
      <w:lvlText w:val="o"/>
      <w:lvlJc w:val="left"/>
      <w:pPr>
        <w:ind w:left="5760" w:hanging="360"/>
      </w:pPr>
      <w:rPr>
        <w:rFonts w:ascii="Courier New" w:hAnsi="Courier New" w:hint="default"/>
      </w:rPr>
    </w:lvl>
    <w:lvl w:ilvl="8" w:tplc="03CE2FDC">
      <w:start w:val="1"/>
      <w:numFmt w:val="bullet"/>
      <w:lvlText w:val=""/>
      <w:lvlJc w:val="left"/>
      <w:pPr>
        <w:ind w:left="6480" w:hanging="360"/>
      </w:pPr>
      <w:rPr>
        <w:rFonts w:ascii="Wingdings" w:hAnsi="Wingdings" w:hint="default"/>
      </w:rPr>
    </w:lvl>
  </w:abstractNum>
  <w:abstractNum w:abstractNumId="4" w15:restartNumberingAfterBreak="0">
    <w:nsid w:val="0CFD0116"/>
    <w:multiLevelType w:val="hybridMultilevel"/>
    <w:tmpl w:val="786A1886"/>
    <w:lvl w:ilvl="0" w:tplc="25709F50">
      <w:start w:val="1"/>
      <w:numFmt w:val="bullet"/>
      <w:lvlText w:val="o"/>
      <w:lvlJc w:val="left"/>
      <w:pPr>
        <w:ind w:left="720" w:hanging="360"/>
      </w:pPr>
      <w:rPr>
        <w:rFonts w:ascii="Courier New" w:hAnsi="Courier New" w:hint="default"/>
      </w:rPr>
    </w:lvl>
    <w:lvl w:ilvl="1" w:tplc="3B7A2CA4">
      <w:start w:val="1"/>
      <w:numFmt w:val="bullet"/>
      <w:lvlText w:val="o"/>
      <w:lvlJc w:val="left"/>
      <w:pPr>
        <w:ind w:left="1440" w:hanging="360"/>
      </w:pPr>
      <w:rPr>
        <w:rFonts w:ascii="Courier New" w:hAnsi="Courier New" w:hint="default"/>
      </w:rPr>
    </w:lvl>
    <w:lvl w:ilvl="2" w:tplc="01EC044A">
      <w:start w:val="1"/>
      <w:numFmt w:val="bullet"/>
      <w:lvlText w:val=""/>
      <w:lvlJc w:val="left"/>
      <w:pPr>
        <w:ind w:left="2160" w:hanging="360"/>
      </w:pPr>
      <w:rPr>
        <w:rFonts w:ascii="Wingdings" w:hAnsi="Wingdings" w:hint="default"/>
      </w:rPr>
    </w:lvl>
    <w:lvl w:ilvl="3" w:tplc="DFB01AFA">
      <w:start w:val="1"/>
      <w:numFmt w:val="bullet"/>
      <w:lvlText w:val=""/>
      <w:lvlJc w:val="left"/>
      <w:pPr>
        <w:ind w:left="2880" w:hanging="360"/>
      </w:pPr>
      <w:rPr>
        <w:rFonts w:ascii="Symbol" w:hAnsi="Symbol" w:hint="default"/>
      </w:rPr>
    </w:lvl>
    <w:lvl w:ilvl="4" w:tplc="547A58DC">
      <w:start w:val="1"/>
      <w:numFmt w:val="bullet"/>
      <w:lvlText w:val="o"/>
      <w:lvlJc w:val="left"/>
      <w:pPr>
        <w:ind w:left="3600" w:hanging="360"/>
      </w:pPr>
      <w:rPr>
        <w:rFonts w:ascii="Courier New" w:hAnsi="Courier New" w:hint="default"/>
      </w:rPr>
    </w:lvl>
    <w:lvl w:ilvl="5" w:tplc="5D4A7C32">
      <w:start w:val="1"/>
      <w:numFmt w:val="bullet"/>
      <w:lvlText w:val=""/>
      <w:lvlJc w:val="left"/>
      <w:pPr>
        <w:ind w:left="4320" w:hanging="360"/>
      </w:pPr>
      <w:rPr>
        <w:rFonts w:ascii="Wingdings" w:hAnsi="Wingdings" w:hint="default"/>
      </w:rPr>
    </w:lvl>
    <w:lvl w:ilvl="6" w:tplc="16645EBE">
      <w:start w:val="1"/>
      <w:numFmt w:val="bullet"/>
      <w:lvlText w:val=""/>
      <w:lvlJc w:val="left"/>
      <w:pPr>
        <w:ind w:left="5040" w:hanging="360"/>
      </w:pPr>
      <w:rPr>
        <w:rFonts w:ascii="Symbol" w:hAnsi="Symbol" w:hint="default"/>
      </w:rPr>
    </w:lvl>
    <w:lvl w:ilvl="7" w:tplc="F78AECF8">
      <w:start w:val="1"/>
      <w:numFmt w:val="bullet"/>
      <w:lvlText w:val="o"/>
      <w:lvlJc w:val="left"/>
      <w:pPr>
        <w:ind w:left="5760" w:hanging="360"/>
      </w:pPr>
      <w:rPr>
        <w:rFonts w:ascii="Courier New" w:hAnsi="Courier New" w:hint="default"/>
      </w:rPr>
    </w:lvl>
    <w:lvl w:ilvl="8" w:tplc="AA7AAA9E">
      <w:start w:val="1"/>
      <w:numFmt w:val="bullet"/>
      <w:lvlText w:val=""/>
      <w:lvlJc w:val="left"/>
      <w:pPr>
        <w:ind w:left="6480" w:hanging="360"/>
      </w:pPr>
      <w:rPr>
        <w:rFonts w:ascii="Wingdings" w:hAnsi="Wingdings" w:hint="default"/>
      </w:rPr>
    </w:lvl>
  </w:abstractNum>
  <w:abstractNum w:abstractNumId="5" w15:restartNumberingAfterBreak="0">
    <w:nsid w:val="0E492EF4"/>
    <w:multiLevelType w:val="hybridMultilevel"/>
    <w:tmpl w:val="49AA7BE4"/>
    <w:lvl w:ilvl="0" w:tplc="04160001">
      <w:start w:val="1"/>
      <w:numFmt w:val="bullet"/>
      <w:lvlText w:val=""/>
      <w:lvlJc w:val="left"/>
      <w:pPr>
        <w:ind w:left="2484" w:hanging="360"/>
      </w:pPr>
      <w:rPr>
        <w:rFonts w:ascii="Symbol" w:hAnsi="Symbol" w:hint="default"/>
      </w:rPr>
    </w:lvl>
    <w:lvl w:ilvl="1" w:tplc="3B7A2CA4">
      <w:start w:val="1"/>
      <w:numFmt w:val="bullet"/>
      <w:lvlText w:val="o"/>
      <w:lvlJc w:val="left"/>
      <w:pPr>
        <w:ind w:left="3204" w:hanging="360"/>
      </w:pPr>
      <w:rPr>
        <w:rFonts w:ascii="Courier New" w:hAnsi="Courier New" w:hint="default"/>
      </w:rPr>
    </w:lvl>
    <w:lvl w:ilvl="2" w:tplc="01EC044A">
      <w:start w:val="1"/>
      <w:numFmt w:val="bullet"/>
      <w:lvlText w:val=""/>
      <w:lvlJc w:val="left"/>
      <w:pPr>
        <w:ind w:left="3924" w:hanging="360"/>
      </w:pPr>
      <w:rPr>
        <w:rFonts w:ascii="Wingdings" w:hAnsi="Wingdings" w:hint="default"/>
      </w:rPr>
    </w:lvl>
    <w:lvl w:ilvl="3" w:tplc="DFB01AFA">
      <w:start w:val="1"/>
      <w:numFmt w:val="bullet"/>
      <w:lvlText w:val=""/>
      <w:lvlJc w:val="left"/>
      <w:pPr>
        <w:ind w:left="4644" w:hanging="360"/>
      </w:pPr>
      <w:rPr>
        <w:rFonts w:ascii="Symbol" w:hAnsi="Symbol" w:hint="default"/>
      </w:rPr>
    </w:lvl>
    <w:lvl w:ilvl="4" w:tplc="547A58DC">
      <w:start w:val="1"/>
      <w:numFmt w:val="bullet"/>
      <w:lvlText w:val="o"/>
      <w:lvlJc w:val="left"/>
      <w:pPr>
        <w:ind w:left="5364" w:hanging="360"/>
      </w:pPr>
      <w:rPr>
        <w:rFonts w:ascii="Courier New" w:hAnsi="Courier New" w:hint="default"/>
      </w:rPr>
    </w:lvl>
    <w:lvl w:ilvl="5" w:tplc="5D4A7C32">
      <w:start w:val="1"/>
      <w:numFmt w:val="bullet"/>
      <w:lvlText w:val=""/>
      <w:lvlJc w:val="left"/>
      <w:pPr>
        <w:ind w:left="6084" w:hanging="360"/>
      </w:pPr>
      <w:rPr>
        <w:rFonts w:ascii="Wingdings" w:hAnsi="Wingdings" w:hint="default"/>
      </w:rPr>
    </w:lvl>
    <w:lvl w:ilvl="6" w:tplc="16645EBE">
      <w:start w:val="1"/>
      <w:numFmt w:val="bullet"/>
      <w:lvlText w:val=""/>
      <w:lvlJc w:val="left"/>
      <w:pPr>
        <w:ind w:left="6804" w:hanging="360"/>
      </w:pPr>
      <w:rPr>
        <w:rFonts w:ascii="Symbol" w:hAnsi="Symbol" w:hint="default"/>
      </w:rPr>
    </w:lvl>
    <w:lvl w:ilvl="7" w:tplc="F78AECF8">
      <w:start w:val="1"/>
      <w:numFmt w:val="bullet"/>
      <w:lvlText w:val="o"/>
      <w:lvlJc w:val="left"/>
      <w:pPr>
        <w:ind w:left="7524" w:hanging="360"/>
      </w:pPr>
      <w:rPr>
        <w:rFonts w:ascii="Courier New" w:hAnsi="Courier New" w:hint="default"/>
      </w:rPr>
    </w:lvl>
    <w:lvl w:ilvl="8" w:tplc="AA7AAA9E">
      <w:start w:val="1"/>
      <w:numFmt w:val="bullet"/>
      <w:lvlText w:val=""/>
      <w:lvlJc w:val="left"/>
      <w:pPr>
        <w:ind w:left="8244" w:hanging="360"/>
      </w:pPr>
      <w:rPr>
        <w:rFonts w:ascii="Wingdings" w:hAnsi="Wingdings" w:hint="default"/>
      </w:rPr>
    </w:lvl>
  </w:abstractNum>
  <w:abstractNum w:abstractNumId="6" w15:restartNumberingAfterBreak="0">
    <w:nsid w:val="1A2E0A83"/>
    <w:multiLevelType w:val="hybridMultilevel"/>
    <w:tmpl w:val="C7C8BA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CCE3CAD"/>
    <w:multiLevelType w:val="hybridMultilevel"/>
    <w:tmpl w:val="E93C20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0E8150"/>
    <w:multiLevelType w:val="hybridMultilevel"/>
    <w:tmpl w:val="7E7A8B2A"/>
    <w:lvl w:ilvl="0" w:tplc="3C8C52FA">
      <w:start w:val="1"/>
      <w:numFmt w:val="bullet"/>
      <w:lvlText w:val="o"/>
      <w:lvlJc w:val="left"/>
      <w:pPr>
        <w:ind w:left="720" w:hanging="360"/>
      </w:pPr>
      <w:rPr>
        <w:rFonts w:ascii="Courier New" w:hAnsi="Courier New" w:hint="default"/>
      </w:rPr>
    </w:lvl>
    <w:lvl w:ilvl="1" w:tplc="C27A54D8">
      <w:start w:val="1"/>
      <w:numFmt w:val="bullet"/>
      <w:lvlText w:val="o"/>
      <w:lvlJc w:val="left"/>
      <w:pPr>
        <w:ind w:left="1440" w:hanging="360"/>
      </w:pPr>
      <w:rPr>
        <w:rFonts w:ascii="Courier New" w:hAnsi="Courier New" w:hint="default"/>
      </w:rPr>
    </w:lvl>
    <w:lvl w:ilvl="2" w:tplc="4362597C">
      <w:start w:val="1"/>
      <w:numFmt w:val="bullet"/>
      <w:lvlText w:val=""/>
      <w:lvlJc w:val="left"/>
      <w:pPr>
        <w:ind w:left="2160" w:hanging="360"/>
      </w:pPr>
      <w:rPr>
        <w:rFonts w:ascii="Wingdings" w:hAnsi="Wingdings" w:hint="default"/>
      </w:rPr>
    </w:lvl>
    <w:lvl w:ilvl="3" w:tplc="3DC4DB70">
      <w:start w:val="1"/>
      <w:numFmt w:val="bullet"/>
      <w:lvlText w:val=""/>
      <w:lvlJc w:val="left"/>
      <w:pPr>
        <w:ind w:left="2880" w:hanging="360"/>
      </w:pPr>
      <w:rPr>
        <w:rFonts w:ascii="Symbol" w:hAnsi="Symbol" w:hint="default"/>
      </w:rPr>
    </w:lvl>
    <w:lvl w:ilvl="4" w:tplc="F4227E60">
      <w:start w:val="1"/>
      <w:numFmt w:val="bullet"/>
      <w:lvlText w:val="o"/>
      <w:lvlJc w:val="left"/>
      <w:pPr>
        <w:ind w:left="3600" w:hanging="360"/>
      </w:pPr>
      <w:rPr>
        <w:rFonts w:ascii="Courier New" w:hAnsi="Courier New" w:hint="default"/>
      </w:rPr>
    </w:lvl>
    <w:lvl w:ilvl="5" w:tplc="C2D28B6C">
      <w:start w:val="1"/>
      <w:numFmt w:val="bullet"/>
      <w:lvlText w:val=""/>
      <w:lvlJc w:val="left"/>
      <w:pPr>
        <w:ind w:left="4320" w:hanging="360"/>
      </w:pPr>
      <w:rPr>
        <w:rFonts w:ascii="Wingdings" w:hAnsi="Wingdings" w:hint="default"/>
      </w:rPr>
    </w:lvl>
    <w:lvl w:ilvl="6" w:tplc="3DB47FAE">
      <w:start w:val="1"/>
      <w:numFmt w:val="bullet"/>
      <w:lvlText w:val=""/>
      <w:lvlJc w:val="left"/>
      <w:pPr>
        <w:ind w:left="5040" w:hanging="360"/>
      </w:pPr>
      <w:rPr>
        <w:rFonts w:ascii="Symbol" w:hAnsi="Symbol" w:hint="default"/>
      </w:rPr>
    </w:lvl>
    <w:lvl w:ilvl="7" w:tplc="AB486A58">
      <w:start w:val="1"/>
      <w:numFmt w:val="bullet"/>
      <w:lvlText w:val="o"/>
      <w:lvlJc w:val="left"/>
      <w:pPr>
        <w:ind w:left="5760" w:hanging="360"/>
      </w:pPr>
      <w:rPr>
        <w:rFonts w:ascii="Courier New" w:hAnsi="Courier New" w:hint="default"/>
      </w:rPr>
    </w:lvl>
    <w:lvl w:ilvl="8" w:tplc="2D3A715A">
      <w:start w:val="1"/>
      <w:numFmt w:val="bullet"/>
      <w:lvlText w:val=""/>
      <w:lvlJc w:val="left"/>
      <w:pPr>
        <w:ind w:left="6480" w:hanging="360"/>
      </w:pPr>
      <w:rPr>
        <w:rFonts w:ascii="Wingdings" w:hAnsi="Wingdings" w:hint="default"/>
      </w:rPr>
    </w:lvl>
  </w:abstractNum>
  <w:abstractNum w:abstractNumId="9" w15:restartNumberingAfterBreak="0">
    <w:nsid w:val="1DC373FE"/>
    <w:multiLevelType w:val="hybridMultilevel"/>
    <w:tmpl w:val="849009CC"/>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0" w15:restartNumberingAfterBreak="0">
    <w:nsid w:val="20FF32FC"/>
    <w:multiLevelType w:val="hybridMultilevel"/>
    <w:tmpl w:val="10D89C6C"/>
    <w:lvl w:ilvl="0" w:tplc="62FA9476">
      <w:start w:val="1"/>
      <w:numFmt w:val="bullet"/>
      <w:lvlText w:val="o"/>
      <w:lvlJc w:val="left"/>
      <w:pPr>
        <w:ind w:left="720" w:hanging="360"/>
      </w:pPr>
      <w:rPr>
        <w:rFonts w:ascii="Courier New" w:hAnsi="Courier New" w:hint="default"/>
      </w:rPr>
    </w:lvl>
    <w:lvl w:ilvl="1" w:tplc="E0022F40">
      <w:start w:val="1"/>
      <w:numFmt w:val="bullet"/>
      <w:lvlText w:val="o"/>
      <w:lvlJc w:val="left"/>
      <w:pPr>
        <w:ind w:left="1440" w:hanging="360"/>
      </w:pPr>
      <w:rPr>
        <w:rFonts w:ascii="Courier New" w:hAnsi="Courier New" w:hint="default"/>
      </w:rPr>
    </w:lvl>
    <w:lvl w:ilvl="2" w:tplc="07386C94">
      <w:start w:val="1"/>
      <w:numFmt w:val="bullet"/>
      <w:lvlText w:val=""/>
      <w:lvlJc w:val="left"/>
      <w:pPr>
        <w:ind w:left="2160" w:hanging="360"/>
      </w:pPr>
      <w:rPr>
        <w:rFonts w:ascii="Wingdings" w:hAnsi="Wingdings" w:hint="default"/>
      </w:rPr>
    </w:lvl>
    <w:lvl w:ilvl="3" w:tplc="FAD8B394">
      <w:start w:val="1"/>
      <w:numFmt w:val="bullet"/>
      <w:lvlText w:val=""/>
      <w:lvlJc w:val="left"/>
      <w:pPr>
        <w:ind w:left="2880" w:hanging="360"/>
      </w:pPr>
      <w:rPr>
        <w:rFonts w:ascii="Symbol" w:hAnsi="Symbol" w:hint="default"/>
      </w:rPr>
    </w:lvl>
    <w:lvl w:ilvl="4" w:tplc="D76A9FCA">
      <w:start w:val="1"/>
      <w:numFmt w:val="bullet"/>
      <w:lvlText w:val="o"/>
      <w:lvlJc w:val="left"/>
      <w:pPr>
        <w:ind w:left="3600" w:hanging="360"/>
      </w:pPr>
      <w:rPr>
        <w:rFonts w:ascii="Courier New" w:hAnsi="Courier New" w:hint="default"/>
      </w:rPr>
    </w:lvl>
    <w:lvl w:ilvl="5" w:tplc="7436A552">
      <w:start w:val="1"/>
      <w:numFmt w:val="bullet"/>
      <w:lvlText w:val=""/>
      <w:lvlJc w:val="left"/>
      <w:pPr>
        <w:ind w:left="4320" w:hanging="360"/>
      </w:pPr>
      <w:rPr>
        <w:rFonts w:ascii="Wingdings" w:hAnsi="Wingdings" w:hint="default"/>
      </w:rPr>
    </w:lvl>
    <w:lvl w:ilvl="6" w:tplc="ACE65E80">
      <w:start w:val="1"/>
      <w:numFmt w:val="bullet"/>
      <w:lvlText w:val=""/>
      <w:lvlJc w:val="left"/>
      <w:pPr>
        <w:ind w:left="5040" w:hanging="360"/>
      </w:pPr>
      <w:rPr>
        <w:rFonts w:ascii="Symbol" w:hAnsi="Symbol" w:hint="default"/>
      </w:rPr>
    </w:lvl>
    <w:lvl w:ilvl="7" w:tplc="C848F282">
      <w:start w:val="1"/>
      <w:numFmt w:val="bullet"/>
      <w:lvlText w:val="o"/>
      <w:lvlJc w:val="left"/>
      <w:pPr>
        <w:ind w:left="5760" w:hanging="360"/>
      </w:pPr>
      <w:rPr>
        <w:rFonts w:ascii="Courier New" w:hAnsi="Courier New" w:hint="default"/>
      </w:rPr>
    </w:lvl>
    <w:lvl w:ilvl="8" w:tplc="1E785EE8">
      <w:start w:val="1"/>
      <w:numFmt w:val="bullet"/>
      <w:lvlText w:val=""/>
      <w:lvlJc w:val="left"/>
      <w:pPr>
        <w:ind w:left="6480" w:hanging="360"/>
      </w:pPr>
      <w:rPr>
        <w:rFonts w:ascii="Wingdings" w:hAnsi="Wingdings" w:hint="default"/>
      </w:rPr>
    </w:lvl>
  </w:abstractNum>
  <w:abstractNum w:abstractNumId="11" w15:restartNumberingAfterBreak="0">
    <w:nsid w:val="26D58E2B"/>
    <w:multiLevelType w:val="hybridMultilevel"/>
    <w:tmpl w:val="8A426D20"/>
    <w:lvl w:ilvl="0" w:tplc="D53604EA">
      <w:start w:val="1"/>
      <w:numFmt w:val="bullet"/>
      <w:lvlText w:val=""/>
      <w:lvlJc w:val="left"/>
      <w:pPr>
        <w:ind w:left="720" w:hanging="360"/>
      </w:pPr>
      <w:rPr>
        <w:rFonts w:ascii="Symbol" w:hAnsi="Symbol" w:hint="default"/>
      </w:rPr>
    </w:lvl>
    <w:lvl w:ilvl="1" w:tplc="EAE4B026">
      <w:start w:val="1"/>
      <w:numFmt w:val="bullet"/>
      <w:lvlText w:val="o"/>
      <w:lvlJc w:val="left"/>
      <w:pPr>
        <w:ind w:left="1440" w:hanging="360"/>
      </w:pPr>
      <w:rPr>
        <w:rFonts w:ascii="Courier New" w:hAnsi="Courier New" w:hint="default"/>
      </w:rPr>
    </w:lvl>
    <w:lvl w:ilvl="2" w:tplc="3312BF62">
      <w:start w:val="1"/>
      <w:numFmt w:val="bullet"/>
      <w:lvlText w:val=""/>
      <w:lvlJc w:val="left"/>
      <w:pPr>
        <w:ind w:left="2160" w:hanging="360"/>
      </w:pPr>
      <w:rPr>
        <w:rFonts w:ascii="Wingdings" w:hAnsi="Wingdings" w:hint="default"/>
      </w:rPr>
    </w:lvl>
    <w:lvl w:ilvl="3" w:tplc="900477BA">
      <w:start w:val="1"/>
      <w:numFmt w:val="bullet"/>
      <w:lvlText w:val=""/>
      <w:lvlJc w:val="left"/>
      <w:pPr>
        <w:ind w:left="2880" w:hanging="360"/>
      </w:pPr>
      <w:rPr>
        <w:rFonts w:ascii="Symbol" w:hAnsi="Symbol" w:hint="default"/>
      </w:rPr>
    </w:lvl>
    <w:lvl w:ilvl="4" w:tplc="B01CA594">
      <w:start w:val="1"/>
      <w:numFmt w:val="bullet"/>
      <w:lvlText w:val="o"/>
      <w:lvlJc w:val="left"/>
      <w:pPr>
        <w:ind w:left="3600" w:hanging="360"/>
      </w:pPr>
      <w:rPr>
        <w:rFonts w:ascii="Courier New" w:hAnsi="Courier New" w:hint="default"/>
      </w:rPr>
    </w:lvl>
    <w:lvl w:ilvl="5" w:tplc="BD9478EE">
      <w:start w:val="1"/>
      <w:numFmt w:val="bullet"/>
      <w:lvlText w:val=""/>
      <w:lvlJc w:val="left"/>
      <w:pPr>
        <w:ind w:left="4320" w:hanging="360"/>
      </w:pPr>
      <w:rPr>
        <w:rFonts w:ascii="Wingdings" w:hAnsi="Wingdings" w:hint="default"/>
      </w:rPr>
    </w:lvl>
    <w:lvl w:ilvl="6" w:tplc="ABB4A46C">
      <w:start w:val="1"/>
      <w:numFmt w:val="bullet"/>
      <w:lvlText w:val=""/>
      <w:lvlJc w:val="left"/>
      <w:pPr>
        <w:ind w:left="5040" w:hanging="360"/>
      </w:pPr>
      <w:rPr>
        <w:rFonts w:ascii="Symbol" w:hAnsi="Symbol" w:hint="default"/>
      </w:rPr>
    </w:lvl>
    <w:lvl w:ilvl="7" w:tplc="4AFE6F98">
      <w:start w:val="1"/>
      <w:numFmt w:val="bullet"/>
      <w:lvlText w:val="o"/>
      <w:lvlJc w:val="left"/>
      <w:pPr>
        <w:ind w:left="5760" w:hanging="360"/>
      </w:pPr>
      <w:rPr>
        <w:rFonts w:ascii="Courier New" w:hAnsi="Courier New" w:hint="default"/>
      </w:rPr>
    </w:lvl>
    <w:lvl w:ilvl="8" w:tplc="BC4E8988">
      <w:start w:val="1"/>
      <w:numFmt w:val="bullet"/>
      <w:lvlText w:val=""/>
      <w:lvlJc w:val="left"/>
      <w:pPr>
        <w:ind w:left="6480" w:hanging="360"/>
      </w:pPr>
      <w:rPr>
        <w:rFonts w:ascii="Wingdings" w:hAnsi="Wingdings" w:hint="default"/>
      </w:rPr>
    </w:lvl>
  </w:abstractNum>
  <w:abstractNum w:abstractNumId="12" w15:restartNumberingAfterBreak="0">
    <w:nsid w:val="3593117B"/>
    <w:multiLevelType w:val="hybridMultilevel"/>
    <w:tmpl w:val="B86A5BF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3" w15:restartNumberingAfterBreak="0">
    <w:nsid w:val="37CD0CED"/>
    <w:multiLevelType w:val="hybridMultilevel"/>
    <w:tmpl w:val="E0A0EBD8"/>
    <w:lvl w:ilvl="0" w:tplc="67CA168A">
      <w:start w:val="1"/>
      <w:numFmt w:val="bullet"/>
      <w:lvlText w:val="o"/>
      <w:lvlJc w:val="left"/>
      <w:pPr>
        <w:ind w:left="720" w:hanging="360"/>
      </w:pPr>
      <w:rPr>
        <w:rFonts w:ascii="Courier New" w:hAnsi="Courier New" w:hint="default"/>
      </w:rPr>
    </w:lvl>
    <w:lvl w:ilvl="1" w:tplc="EBE0B076">
      <w:start w:val="1"/>
      <w:numFmt w:val="bullet"/>
      <w:lvlText w:val="o"/>
      <w:lvlJc w:val="left"/>
      <w:pPr>
        <w:ind w:left="1440" w:hanging="360"/>
      </w:pPr>
      <w:rPr>
        <w:rFonts w:ascii="Courier New" w:hAnsi="Courier New" w:hint="default"/>
      </w:rPr>
    </w:lvl>
    <w:lvl w:ilvl="2" w:tplc="354AC128">
      <w:start w:val="1"/>
      <w:numFmt w:val="bullet"/>
      <w:lvlText w:val=""/>
      <w:lvlJc w:val="left"/>
      <w:pPr>
        <w:ind w:left="2160" w:hanging="360"/>
      </w:pPr>
      <w:rPr>
        <w:rFonts w:ascii="Wingdings" w:hAnsi="Wingdings" w:hint="default"/>
      </w:rPr>
    </w:lvl>
    <w:lvl w:ilvl="3" w:tplc="97DC3A06">
      <w:start w:val="1"/>
      <w:numFmt w:val="bullet"/>
      <w:lvlText w:val=""/>
      <w:lvlJc w:val="left"/>
      <w:pPr>
        <w:ind w:left="2880" w:hanging="360"/>
      </w:pPr>
      <w:rPr>
        <w:rFonts w:ascii="Symbol" w:hAnsi="Symbol" w:hint="default"/>
      </w:rPr>
    </w:lvl>
    <w:lvl w:ilvl="4" w:tplc="579A2774">
      <w:start w:val="1"/>
      <w:numFmt w:val="bullet"/>
      <w:lvlText w:val="o"/>
      <w:lvlJc w:val="left"/>
      <w:pPr>
        <w:ind w:left="3600" w:hanging="360"/>
      </w:pPr>
      <w:rPr>
        <w:rFonts w:ascii="Courier New" w:hAnsi="Courier New" w:hint="default"/>
      </w:rPr>
    </w:lvl>
    <w:lvl w:ilvl="5" w:tplc="16143FF6">
      <w:start w:val="1"/>
      <w:numFmt w:val="bullet"/>
      <w:lvlText w:val=""/>
      <w:lvlJc w:val="left"/>
      <w:pPr>
        <w:ind w:left="4320" w:hanging="360"/>
      </w:pPr>
      <w:rPr>
        <w:rFonts w:ascii="Wingdings" w:hAnsi="Wingdings" w:hint="default"/>
      </w:rPr>
    </w:lvl>
    <w:lvl w:ilvl="6" w:tplc="4AF284E8">
      <w:start w:val="1"/>
      <w:numFmt w:val="bullet"/>
      <w:lvlText w:val=""/>
      <w:lvlJc w:val="left"/>
      <w:pPr>
        <w:ind w:left="5040" w:hanging="360"/>
      </w:pPr>
      <w:rPr>
        <w:rFonts w:ascii="Symbol" w:hAnsi="Symbol" w:hint="default"/>
      </w:rPr>
    </w:lvl>
    <w:lvl w:ilvl="7" w:tplc="285A53AC">
      <w:start w:val="1"/>
      <w:numFmt w:val="bullet"/>
      <w:lvlText w:val="o"/>
      <w:lvlJc w:val="left"/>
      <w:pPr>
        <w:ind w:left="5760" w:hanging="360"/>
      </w:pPr>
      <w:rPr>
        <w:rFonts w:ascii="Courier New" w:hAnsi="Courier New" w:hint="default"/>
      </w:rPr>
    </w:lvl>
    <w:lvl w:ilvl="8" w:tplc="7D3002A4">
      <w:start w:val="1"/>
      <w:numFmt w:val="bullet"/>
      <w:lvlText w:val=""/>
      <w:lvlJc w:val="left"/>
      <w:pPr>
        <w:ind w:left="6480" w:hanging="360"/>
      </w:pPr>
      <w:rPr>
        <w:rFonts w:ascii="Wingdings" w:hAnsi="Wingdings" w:hint="default"/>
      </w:rPr>
    </w:lvl>
  </w:abstractNum>
  <w:abstractNum w:abstractNumId="14" w15:restartNumberingAfterBreak="0">
    <w:nsid w:val="41A0569D"/>
    <w:multiLevelType w:val="hybridMultilevel"/>
    <w:tmpl w:val="A66885B2"/>
    <w:lvl w:ilvl="0" w:tplc="87847BA0">
      <w:start w:val="1"/>
      <w:numFmt w:val="bullet"/>
      <w:lvlText w:val=""/>
      <w:lvlJc w:val="left"/>
      <w:pPr>
        <w:ind w:left="783" w:hanging="360"/>
      </w:pPr>
      <w:rPr>
        <w:rFonts w:ascii="Symbol" w:hAnsi="Symbol" w:hint="default"/>
        <w:color w:val="FF0000"/>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5" w15:restartNumberingAfterBreak="0">
    <w:nsid w:val="4EF56379"/>
    <w:multiLevelType w:val="hybridMultilevel"/>
    <w:tmpl w:val="B81A75B0"/>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16" w15:restartNumberingAfterBreak="0">
    <w:nsid w:val="4F426E05"/>
    <w:multiLevelType w:val="hybridMultilevel"/>
    <w:tmpl w:val="DDCA4B54"/>
    <w:lvl w:ilvl="0" w:tplc="87847BA0">
      <w:start w:val="1"/>
      <w:numFmt w:val="bullet"/>
      <w:lvlText w:val=""/>
      <w:lvlJc w:val="left"/>
      <w:pPr>
        <w:ind w:left="783" w:hanging="360"/>
      </w:pPr>
      <w:rPr>
        <w:rFonts w:ascii="Symbol" w:hAnsi="Symbol"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1E5A597"/>
    <w:multiLevelType w:val="hybridMultilevel"/>
    <w:tmpl w:val="617EBD20"/>
    <w:lvl w:ilvl="0" w:tplc="1F2885FE">
      <w:start w:val="1"/>
      <w:numFmt w:val="bullet"/>
      <w:lvlText w:val=""/>
      <w:lvlJc w:val="left"/>
      <w:pPr>
        <w:ind w:left="720" w:hanging="360"/>
      </w:pPr>
      <w:rPr>
        <w:rFonts w:ascii="Symbol" w:hAnsi="Symbol" w:hint="default"/>
      </w:rPr>
    </w:lvl>
    <w:lvl w:ilvl="1" w:tplc="D354E76E">
      <w:start w:val="1"/>
      <w:numFmt w:val="bullet"/>
      <w:lvlText w:val="o"/>
      <w:lvlJc w:val="left"/>
      <w:pPr>
        <w:ind w:left="1440" w:hanging="360"/>
      </w:pPr>
      <w:rPr>
        <w:rFonts w:ascii="Courier New" w:hAnsi="Courier New" w:hint="default"/>
      </w:rPr>
    </w:lvl>
    <w:lvl w:ilvl="2" w:tplc="0DCC9802">
      <w:start w:val="1"/>
      <w:numFmt w:val="bullet"/>
      <w:lvlText w:val=""/>
      <w:lvlJc w:val="left"/>
      <w:pPr>
        <w:ind w:left="2160" w:hanging="360"/>
      </w:pPr>
      <w:rPr>
        <w:rFonts w:ascii="Wingdings" w:hAnsi="Wingdings" w:hint="default"/>
      </w:rPr>
    </w:lvl>
    <w:lvl w:ilvl="3" w:tplc="2CF88984">
      <w:start w:val="1"/>
      <w:numFmt w:val="bullet"/>
      <w:lvlText w:val=""/>
      <w:lvlJc w:val="left"/>
      <w:pPr>
        <w:ind w:left="2880" w:hanging="360"/>
      </w:pPr>
      <w:rPr>
        <w:rFonts w:ascii="Symbol" w:hAnsi="Symbol" w:hint="default"/>
      </w:rPr>
    </w:lvl>
    <w:lvl w:ilvl="4" w:tplc="30824026">
      <w:start w:val="1"/>
      <w:numFmt w:val="bullet"/>
      <w:lvlText w:val="o"/>
      <w:lvlJc w:val="left"/>
      <w:pPr>
        <w:ind w:left="3600" w:hanging="360"/>
      </w:pPr>
      <w:rPr>
        <w:rFonts w:ascii="Courier New" w:hAnsi="Courier New" w:hint="default"/>
      </w:rPr>
    </w:lvl>
    <w:lvl w:ilvl="5" w:tplc="7C4CFEEA">
      <w:start w:val="1"/>
      <w:numFmt w:val="bullet"/>
      <w:lvlText w:val=""/>
      <w:lvlJc w:val="left"/>
      <w:pPr>
        <w:ind w:left="4320" w:hanging="360"/>
      </w:pPr>
      <w:rPr>
        <w:rFonts w:ascii="Wingdings" w:hAnsi="Wingdings" w:hint="default"/>
      </w:rPr>
    </w:lvl>
    <w:lvl w:ilvl="6" w:tplc="0276DCFC">
      <w:start w:val="1"/>
      <w:numFmt w:val="bullet"/>
      <w:lvlText w:val=""/>
      <w:lvlJc w:val="left"/>
      <w:pPr>
        <w:ind w:left="5040" w:hanging="360"/>
      </w:pPr>
      <w:rPr>
        <w:rFonts w:ascii="Symbol" w:hAnsi="Symbol" w:hint="default"/>
      </w:rPr>
    </w:lvl>
    <w:lvl w:ilvl="7" w:tplc="2C0084E8">
      <w:start w:val="1"/>
      <w:numFmt w:val="bullet"/>
      <w:lvlText w:val="o"/>
      <w:lvlJc w:val="left"/>
      <w:pPr>
        <w:ind w:left="5760" w:hanging="360"/>
      </w:pPr>
      <w:rPr>
        <w:rFonts w:ascii="Courier New" w:hAnsi="Courier New" w:hint="default"/>
      </w:rPr>
    </w:lvl>
    <w:lvl w:ilvl="8" w:tplc="2E3C2B44">
      <w:start w:val="1"/>
      <w:numFmt w:val="bullet"/>
      <w:lvlText w:val=""/>
      <w:lvlJc w:val="left"/>
      <w:pPr>
        <w:ind w:left="6480" w:hanging="360"/>
      </w:pPr>
      <w:rPr>
        <w:rFonts w:ascii="Wingdings" w:hAnsi="Wingdings" w:hint="default"/>
      </w:rPr>
    </w:lvl>
  </w:abstractNum>
  <w:abstractNum w:abstractNumId="18" w15:restartNumberingAfterBreak="0">
    <w:nsid w:val="534C4F88"/>
    <w:multiLevelType w:val="multilevel"/>
    <w:tmpl w:val="96BEA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500D40"/>
    <w:multiLevelType w:val="hybridMultilevel"/>
    <w:tmpl w:val="CA12B9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C81689C"/>
    <w:multiLevelType w:val="hybridMultilevel"/>
    <w:tmpl w:val="F4806AF0"/>
    <w:lvl w:ilvl="0" w:tplc="05B418BE">
      <w:start w:val="1"/>
      <w:numFmt w:val="bullet"/>
      <w:lvlText w:val=""/>
      <w:lvlJc w:val="left"/>
      <w:pPr>
        <w:ind w:left="720" w:hanging="360"/>
      </w:pPr>
      <w:rPr>
        <w:rFonts w:ascii="Symbol" w:hAnsi="Symbol" w:hint="default"/>
      </w:rPr>
    </w:lvl>
    <w:lvl w:ilvl="1" w:tplc="BA36365A">
      <w:start w:val="1"/>
      <w:numFmt w:val="bullet"/>
      <w:lvlText w:val="o"/>
      <w:lvlJc w:val="left"/>
      <w:pPr>
        <w:ind w:left="1440" w:hanging="360"/>
      </w:pPr>
      <w:rPr>
        <w:rFonts w:ascii="Courier New" w:hAnsi="Courier New" w:hint="default"/>
      </w:rPr>
    </w:lvl>
    <w:lvl w:ilvl="2" w:tplc="8DAEAE2A">
      <w:start w:val="1"/>
      <w:numFmt w:val="bullet"/>
      <w:lvlText w:val=""/>
      <w:lvlJc w:val="left"/>
      <w:pPr>
        <w:ind w:left="2160" w:hanging="360"/>
      </w:pPr>
      <w:rPr>
        <w:rFonts w:ascii="Symbol" w:hAnsi="Symbol" w:hint="default"/>
      </w:rPr>
    </w:lvl>
    <w:lvl w:ilvl="3" w:tplc="1C9C01F2">
      <w:start w:val="1"/>
      <w:numFmt w:val="bullet"/>
      <w:lvlText w:val=""/>
      <w:lvlJc w:val="left"/>
      <w:pPr>
        <w:ind w:left="2880" w:hanging="360"/>
      </w:pPr>
      <w:rPr>
        <w:rFonts w:ascii="Symbol" w:hAnsi="Symbol" w:hint="default"/>
      </w:rPr>
    </w:lvl>
    <w:lvl w:ilvl="4" w:tplc="F708A9D4">
      <w:start w:val="1"/>
      <w:numFmt w:val="bullet"/>
      <w:lvlText w:val="o"/>
      <w:lvlJc w:val="left"/>
      <w:pPr>
        <w:ind w:left="3600" w:hanging="360"/>
      </w:pPr>
      <w:rPr>
        <w:rFonts w:ascii="Courier New" w:hAnsi="Courier New" w:hint="default"/>
      </w:rPr>
    </w:lvl>
    <w:lvl w:ilvl="5" w:tplc="C792E8F0">
      <w:start w:val="1"/>
      <w:numFmt w:val="bullet"/>
      <w:lvlText w:val=""/>
      <w:lvlJc w:val="left"/>
      <w:pPr>
        <w:ind w:left="4320" w:hanging="360"/>
      </w:pPr>
      <w:rPr>
        <w:rFonts w:ascii="Wingdings" w:hAnsi="Wingdings" w:hint="default"/>
      </w:rPr>
    </w:lvl>
    <w:lvl w:ilvl="6" w:tplc="D162268C">
      <w:start w:val="1"/>
      <w:numFmt w:val="bullet"/>
      <w:lvlText w:val=""/>
      <w:lvlJc w:val="left"/>
      <w:pPr>
        <w:ind w:left="5040" w:hanging="360"/>
      </w:pPr>
      <w:rPr>
        <w:rFonts w:ascii="Symbol" w:hAnsi="Symbol" w:hint="default"/>
      </w:rPr>
    </w:lvl>
    <w:lvl w:ilvl="7" w:tplc="3438A756">
      <w:start w:val="1"/>
      <w:numFmt w:val="bullet"/>
      <w:lvlText w:val="o"/>
      <w:lvlJc w:val="left"/>
      <w:pPr>
        <w:ind w:left="5760" w:hanging="360"/>
      </w:pPr>
      <w:rPr>
        <w:rFonts w:ascii="Courier New" w:hAnsi="Courier New" w:hint="default"/>
      </w:rPr>
    </w:lvl>
    <w:lvl w:ilvl="8" w:tplc="FAA42460">
      <w:start w:val="1"/>
      <w:numFmt w:val="bullet"/>
      <w:lvlText w:val=""/>
      <w:lvlJc w:val="left"/>
      <w:pPr>
        <w:ind w:left="6480" w:hanging="360"/>
      </w:pPr>
      <w:rPr>
        <w:rFonts w:ascii="Wingdings" w:hAnsi="Wingdings" w:hint="default"/>
      </w:rPr>
    </w:lvl>
  </w:abstractNum>
  <w:abstractNum w:abstractNumId="21" w15:restartNumberingAfterBreak="0">
    <w:nsid w:val="5DAD7D0D"/>
    <w:multiLevelType w:val="multilevel"/>
    <w:tmpl w:val="451A50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1473D52"/>
    <w:multiLevelType w:val="hybridMultilevel"/>
    <w:tmpl w:val="769EF5F0"/>
    <w:lvl w:ilvl="0" w:tplc="04160001">
      <w:start w:val="1"/>
      <w:numFmt w:val="bullet"/>
      <w:lvlText w:val=""/>
      <w:lvlJc w:val="left"/>
      <w:pPr>
        <w:ind w:left="2250" w:hanging="360"/>
      </w:pPr>
      <w:rPr>
        <w:rFonts w:ascii="Symbol" w:hAnsi="Symbol" w:hint="default"/>
      </w:rPr>
    </w:lvl>
    <w:lvl w:ilvl="1" w:tplc="04160003" w:tentative="1">
      <w:start w:val="1"/>
      <w:numFmt w:val="bullet"/>
      <w:lvlText w:val="o"/>
      <w:lvlJc w:val="left"/>
      <w:pPr>
        <w:ind w:left="2970" w:hanging="360"/>
      </w:pPr>
      <w:rPr>
        <w:rFonts w:ascii="Courier New" w:hAnsi="Courier New" w:cs="Courier New" w:hint="default"/>
      </w:rPr>
    </w:lvl>
    <w:lvl w:ilvl="2" w:tplc="04160005" w:tentative="1">
      <w:start w:val="1"/>
      <w:numFmt w:val="bullet"/>
      <w:lvlText w:val=""/>
      <w:lvlJc w:val="left"/>
      <w:pPr>
        <w:ind w:left="3690" w:hanging="360"/>
      </w:pPr>
      <w:rPr>
        <w:rFonts w:ascii="Wingdings" w:hAnsi="Wingdings" w:hint="default"/>
      </w:rPr>
    </w:lvl>
    <w:lvl w:ilvl="3" w:tplc="04160001" w:tentative="1">
      <w:start w:val="1"/>
      <w:numFmt w:val="bullet"/>
      <w:lvlText w:val=""/>
      <w:lvlJc w:val="left"/>
      <w:pPr>
        <w:ind w:left="4410" w:hanging="360"/>
      </w:pPr>
      <w:rPr>
        <w:rFonts w:ascii="Symbol" w:hAnsi="Symbol" w:hint="default"/>
      </w:rPr>
    </w:lvl>
    <w:lvl w:ilvl="4" w:tplc="04160003" w:tentative="1">
      <w:start w:val="1"/>
      <w:numFmt w:val="bullet"/>
      <w:lvlText w:val="o"/>
      <w:lvlJc w:val="left"/>
      <w:pPr>
        <w:ind w:left="5130" w:hanging="360"/>
      </w:pPr>
      <w:rPr>
        <w:rFonts w:ascii="Courier New" w:hAnsi="Courier New" w:cs="Courier New" w:hint="default"/>
      </w:rPr>
    </w:lvl>
    <w:lvl w:ilvl="5" w:tplc="04160005" w:tentative="1">
      <w:start w:val="1"/>
      <w:numFmt w:val="bullet"/>
      <w:lvlText w:val=""/>
      <w:lvlJc w:val="left"/>
      <w:pPr>
        <w:ind w:left="5850" w:hanging="360"/>
      </w:pPr>
      <w:rPr>
        <w:rFonts w:ascii="Wingdings" w:hAnsi="Wingdings" w:hint="default"/>
      </w:rPr>
    </w:lvl>
    <w:lvl w:ilvl="6" w:tplc="04160001" w:tentative="1">
      <w:start w:val="1"/>
      <w:numFmt w:val="bullet"/>
      <w:lvlText w:val=""/>
      <w:lvlJc w:val="left"/>
      <w:pPr>
        <w:ind w:left="6570" w:hanging="360"/>
      </w:pPr>
      <w:rPr>
        <w:rFonts w:ascii="Symbol" w:hAnsi="Symbol" w:hint="default"/>
      </w:rPr>
    </w:lvl>
    <w:lvl w:ilvl="7" w:tplc="04160003" w:tentative="1">
      <w:start w:val="1"/>
      <w:numFmt w:val="bullet"/>
      <w:lvlText w:val="o"/>
      <w:lvlJc w:val="left"/>
      <w:pPr>
        <w:ind w:left="7290" w:hanging="360"/>
      </w:pPr>
      <w:rPr>
        <w:rFonts w:ascii="Courier New" w:hAnsi="Courier New" w:cs="Courier New" w:hint="default"/>
      </w:rPr>
    </w:lvl>
    <w:lvl w:ilvl="8" w:tplc="04160005" w:tentative="1">
      <w:start w:val="1"/>
      <w:numFmt w:val="bullet"/>
      <w:lvlText w:val=""/>
      <w:lvlJc w:val="left"/>
      <w:pPr>
        <w:ind w:left="8010" w:hanging="360"/>
      </w:pPr>
      <w:rPr>
        <w:rFonts w:ascii="Wingdings" w:hAnsi="Wingdings" w:hint="default"/>
      </w:rPr>
    </w:lvl>
  </w:abstractNum>
  <w:abstractNum w:abstractNumId="23" w15:restartNumberingAfterBreak="0">
    <w:nsid w:val="61877FB1"/>
    <w:multiLevelType w:val="hybridMultilevel"/>
    <w:tmpl w:val="6DA8653E"/>
    <w:lvl w:ilvl="0" w:tplc="7550216C">
      <w:start w:val="1"/>
      <w:numFmt w:val="bullet"/>
      <w:lvlText w:val=""/>
      <w:lvlJc w:val="left"/>
      <w:pPr>
        <w:ind w:left="720" w:hanging="360"/>
      </w:pPr>
      <w:rPr>
        <w:rFonts w:ascii="Symbol" w:hAnsi="Symbol" w:hint="default"/>
      </w:rPr>
    </w:lvl>
    <w:lvl w:ilvl="1" w:tplc="6C6E3830">
      <w:start w:val="1"/>
      <w:numFmt w:val="bullet"/>
      <w:lvlText w:val=""/>
      <w:lvlJc w:val="left"/>
      <w:pPr>
        <w:ind w:left="1440" w:hanging="360"/>
      </w:pPr>
      <w:rPr>
        <w:rFonts w:ascii="Symbol" w:hAnsi="Symbol" w:hint="default"/>
      </w:rPr>
    </w:lvl>
    <w:lvl w:ilvl="2" w:tplc="F5F43C5C">
      <w:start w:val="1"/>
      <w:numFmt w:val="bullet"/>
      <w:lvlText w:val=""/>
      <w:lvlJc w:val="left"/>
      <w:pPr>
        <w:ind w:left="2160" w:hanging="360"/>
      </w:pPr>
      <w:rPr>
        <w:rFonts w:ascii="Wingdings" w:hAnsi="Wingdings" w:hint="default"/>
      </w:rPr>
    </w:lvl>
    <w:lvl w:ilvl="3" w:tplc="13085F2C">
      <w:start w:val="1"/>
      <w:numFmt w:val="bullet"/>
      <w:lvlText w:val=""/>
      <w:lvlJc w:val="left"/>
      <w:pPr>
        <w:ind w:left="2880" w:hanging="360"/>
      </w:pPr>
      <w:rPr>
        <w:rFonts w:ascii="Symbol" w:hAnsi="Symbol" w:hint="default"/>
      </w:rPr>
    </w:lvl>
    <w:lvl w:ilvl="4" w:tplc="AFF255AA">
      <w:start w:val="1"/>
      <w:numFmt w:val="bullet"/>
      <w:lvlText w:val="o"/>
      <w:lvlJc w:val="left"/>
      <w:pPr>
        <w:ind w:left="3600" w:hanging="360"/>
      </w:pPr>
      <w:rPr>
        <w:rFonts w:ascii="Courier New" w:hAnsi="Courier New" w:hint="default"/>
      </w:rPr>
    </w:lvl>
    <w:lvl w:ilvl="5" w:tplc="C60C778C">
      <w:start w:val="1"/>
      <w:numFmt w:val="bullet"/>
      <w:lvlText w:val=""/>
      <w:lvlJc w:val="left"/>
      <w:pPr>
        <w:ind w:left="4320" w:hanging="360"/>
      </w:pPr>
      <w:rPr>
        <w:rFonts w:ascii="Wingdings" w:hAnsi="Wingdings" w:hint="default"/>
      </w:rPr>
    </w:lvl>
    <w:lvl w:ilvl="6" w:tplc="922873D6">
      <w:start w:val="1"/>
      <w:numFmt w:val="bullet"/>
      <w:lvlText w:val=""/>
      <w:lvlJc w:val="left"/>
      <w:pPr>
        <w:ind w:left="5040" w:hanging="360"/>
      </w:pPr>
      <w:rPr>
        <w:rFonts w:ascii="Symbol" w:hAnsi="Symbol" w:hint="default"/>
      </w:rPr>
    </w:lvl>
    <w:lvl w:ilvl="7" w:tplc="70A4DA50">
      <w:start w:val="1"/>
      <w:numFmt w:val="bullet"/>
      <w:lvlText w:val="o"/>
      <w:lvlJc w:val="left"/>
      <w:pPr>
        <w:ind w:left="5760" w:hanging="360"/>
      </w:pPr>
      <w:rPr>
        <w:rFonts w:ascii="Courier New" w:hAnsi="Courier New" w:hint="default"/>
      </w:rPr>
    </w:lvl>
    <w:lvl w:ilvl="8" w:tplc="D2D6D98A">
      <w:start w:val="1"/>
      <w:numFmt w:val="bullet"/>
      <w:lvlText w:val=""/>
      <w:lvlJc w:val="left"/>
      <w:pPr>
        <w:ind w:left="6480" w:hanging="360"/>
      </w:pPr>
      <w:rPr>
        <w:rFonts w:ascii="Wingdings" w:hAnsi="Wingdings" w:hint="default"/>
      </w:rPr>
    </w:lvl>
  </w:abstractNum>
  <w:abstractNum w:abstractNumId="24" w15:restartNumberingAfterBreak="0">
    <w:nsid w:val="644A420E"/>
    <w:multiLevelType w:val="multilevel"/>
    <w:tmpl w:val="09B607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4F70AA"/>
    <w:multiLevelType w:val="hybridMultilevel"/>
    <w:tmpl w:val="ED72D2B4"/>
    <w:lvl w:ilvl="0" w:tplc="03120F6A">
      <w:start w:val="1"/>
      <w:numFmt w:val="bullet"/>
      <w:lvlText w:val=""/>
      <w:lvlJc w:val="left"/>
      <w:pPr>
        <w:ind w:left="720" w:hanging="360"/>
      </w:pPr>
      <w:rPr>
        <w:rFonts w:ascii="Symbol" w:hAnsi="Symbol" w:hint="default"/>
      </w:rPr>
    </w:lvl>
    <w:lvl w:ilvl="1" w:tplc="B0765192">
      <w:start w:val="1"/>
      <w:numFmt w:val="bullet"/>
      <w:lvlText w:val="o"/>
      <w:lvlJc w:val="left"/>
      <w:pPr>
        <w:ind w:left="1440" w:hanging="360"/>
      </w:pPr>
      <w:rPr>
        <w:rFonts w:ascii="Courier New" w:hAnsi="Courier New" w:hint="default"/>
      </w:rPr>
    </w:lvl>
    <w:lvl w:ilvl="2" w:tplc="D75C8FCE">
      <w:start w:val="1"/>
      <w:numFmt w:val="bullet"/>
      <w:lvlText w:val=""/>
      <w:lvlJc w:val="left"/>
      <w:pPr>
        <w:ind w:left="2160" w:hanging="360"/>
      </w:pPr>
      <w:rPr>
        <w:rFonts w:ascii="Symbol" w:hAnsi="Symbol" w:hint="default"/>
      </w:rPr>
    </w:lvl>
    <w:lvl w:ilvl="3" w:tplc="451CBA1E">
      <w:start w:val="1"/>
      <w:numFmt w:val="bullet"/>
      <w:lvlText w:val=""/>
      <w:lvlJc w:val="left"/>
      <w:pPr>
        <w:ind w:left="2880" w:hanging="360"/>
      </w:pPr>
      <w:rPr>
        <w:rFonts w:ascii="Symbol" w:hAnsi="Symbol" w:hint="default"/>
      </w:rPr>
    </w:lvl>
    <w:lvl w:ilvl="4" w:tplc="AF6408D0">
      <w:start w:val="1"/>
      <w:numFmt w:val="bullet"/>
      <w:lvlText w:val="o"/>
      <w:lvlJc w:val="left"/>
      <w:pPr>
        <w:ind w:left="3600" w:hanging="360"/>
      </w:pPr>
      <w:rPr>
        <w:rFonts w:ascii="Courier New" w:hAnsi="Courier New" w:hint="default"/>
      </w:rPr>
    </w:lvl>
    <w:lvl w:ilvl="5" w:tplc="8AB0E36A">
      <w:start w:val="1"/>
      <w:numFmt w:val="bullet"/>
      <w:lvlText w:val=""/>
      <w:lvlJc w:val="left"/>
      <w:pPr>
        <w:ind w:left="4320" w:hanging="360"/>
      </w:pPr>
      <w:rPr>
        <w:rFonts w:ascii="Wingdings" w:hAnsi="Wingdings" w:hint="default"/>
      </w:rPr>
    </w:lvl>
    <w:lvl w:ilvl="6" w:tplc="FD28812A">
      <w:start w:val="1"/>
      <w:numFmt w:val="bullet"/>
      <w:lvlText w:val=""/>
      <w:lvlJc w:val="left"/>
      <w:pPr>
        <w:ind w:left="5040" w:hanging="360"/>
      </w:pPr>
      <w:rPr>
        <w:rFonts w:ascii="Symbol" w:hAnsi="Symbol" w:hint="default"/>
      </w:rPr>
    </w:lvl>
    <w:lvl w:ilvl="7" w:tplc="CEF40824">
      <w:start w:val="1"/>
      <w:numFmt w:val="bullet"/>
      <w:lvlText w:val="o"/>
      <w:lvlJc w:val="left"/>
      <w:pPr>
        <w:ind w:left="5760" w:hanging="360"/>
      </w:pPr>
      <w:rPr>
        <w:rFonts w:ascii="Courier New" w:hAnsi="Courier New" w:hint="default"/>
      </w:rPr>
    </w:lvl>
    <w:lvl w:ilvl="8" w:tplc="8EDE47C6">
      <w:start w:val="1"/>
      <w:numFmt w:val="bullet"/>
      <w:lvlText w:val=""/>
      <w:lvlJc w:val="left"/>
      <w:pPr>
        <w:ind w:left="6480" w:hanging="360"/>
      </w:pPr>
      <w:rPr>
        <w:rFonts w:ascii="Wingdings" w:hAnsi="Wingdings" w:hint="default"/>
      </w:rPr>
    </w:lvl>
  </w:abstractNum>
  <w:abstractNum w:abstractNumId="26" w15:restartNumberingAfterBreak="0">
    <w:nsid w:val="6EBD11E5"/>
    <w:multiLevelType w:val="hybridMultilevel"/>
    <w:tmpl w:val="550E7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396ED39"/>
    <w:multiLevelType w:val="hybridMultilevel"/>
    <w:tmpl w:val="6F58E6B0"/>
    <w:lvl w:ilvl="0" w:tplc="83F48D30">
      <w:start w:val="1"/>
      <w:numFmt w:val="bullet"/>
      <w:lvlText w:val=""/>
      <w:lvlJc w:val="left"/>
      <w:pPr>
        <w:ind w:left="720" w:hanging="360"/>
      </w:pPr>
      <w:rPr>
        <w:rFonts w:ascii="Symbol" w:hAnsi="Symbol" w:hint="default"/>
      </w:rPr>
    </w:lvl>
    <w:lvl w:ilvl="1" w:tplc="0A1AD226">
      <w:start w:val="1"/>
      <w:numFmt w:val="bullet"/>
      <w:lvlText w:val="o"/>
      <w:lvlJc w:val="left"/>
      <w:pPr>
        <w:ind w:left="1440" w:hanging="360"/>
      </w:pPr>
      <w:rPr>
        <w:rFonts w:ascii="Courier New" w:hAnsi="Courier New" w:hint="default"/>
      </w:rPr>
    </w:lvl>
    <w:lvl w:ilvl="2" w:tplc="8842CC8A">
      <w:start w:val="1"/>
      <w:numFmt w:val="bullet"/>
      <w:lvlText w:val=""/>
      <w:lvlJc w:val="left"/>
      <w:pPr>
        <w:ind w:left="2160" w:hanging="360"/>
      </w:pPr>
      <w:rPr>
        <w:rFonts w:ascii="Wingdings" w:hAnsi="Wingdings" w:hint="default"/>
      </w:rPr>
    </w:lvl>
    <w:lvl w:ilvl="3" w:tplc="443E8AAA">
      <w:start w:val="1"/>
      <w:numFmt w:val="bullet"/>
      <w:lvlText w:val=""/>
      <w:lvlJc w:val="left"/>
      <w:pPr>
        <w:ind w:left="2880" w:hanging="360"/>
      </w:pPr>
      <w:rPr>
        <w:rFonts w:ascii="Symbol" w:hAnsi="Symbol" w:hint="default"/>
      </w:rPr>
    </w:lvl>
    <w:lvl w:ilvl="4" w:tplc="1F94DEB8">
      <w:start w:val="1"/>
      <w:numFmt w:val="bullet"/>
      <w:lvlText w:val="o"/>
      <w:lvlJc w:val="left"/>
      <w:pPr>
        <w:ind w:left="3600" w:hanging="360"/>
      </w:pPr>
      <w:rPr>
        <w:rFonts w:ascii="Courier New" w:hAnsi="Courier New" w:hint="default"/>
      </w:rPr>
    </w:lvl>
    <w:lvl w:ilvl="5" w:tplc="BDF4F1C4">
      <w:start w:val="1"/>
      <w:numFmt w:val="bullet"/>
      <w:lvlText w:val=""/>
      <w:lvlJc w:val="left"/>
      <w:pPr>
        <w:ind w:left="4320" w:hanging="360"/>
      </w:pPr>
      <w:rPr>
        <w:rFonts w:ascii="Wingdings" w:hAnsi="Wingdings" w:hint="default"/>
      </w:rPr>
    </w:lvl>
    <w:lvl w:ilvl="6" w:tplc="87C88D60">
      <w:start w:val="1"/>
      <w:numFmt w:val="bullet"/>
      <w:lvlText w:val=""/>
      <w:lvlJc w:val="left"/>
      <w:pPr>
        <w:ind w:left="5040" w:hanging="360"/>
      </w:pPr>
      <w:rPr>
        <w:rFonts w:ascii="Symbol" w:hAnsi="Symbol" w:hint="default"/>
      </w:rPr>
    </w:lvl>
    <w:lvl w:ilvl="7" w:tplc="1758F8A4">
      <w:start w:val="1"/>
      <w:numFmt w:val="bullet"/>
      <w:lvlText w:val="o"/>
      <w:lvlJc w:val="left"/>
      <w:pPr>
        <w:ind w:left="5760" w:hanging="360"/>
      </w:pPr>
      <w:rPr>
        <w:rFonts w:ascii="Courier New" w:hAnsi="Courier New" w:hint="default"/>
      </w:rPr>
    </w:lvl>
    <w:lvl w:ilvl="8" w:tplc="718A474E">
      <w:start w:val="1"/>
      <w:numFmt w:val="bullet"/>
      <w:lvlText w:val=""/>
      <w:lvlJc w:val="left"/>
      <w:pPr>
        <w:ind w:left="6480" w:hanging="360"/>
      </w:pPr>
      <w:rPr>
        <w:rFonts w:ascii="Wingdings" w:hAnsi="Wingdings" w:hint="default"/>
      </w:rPr>
    </w:lvl>
  </w:abstractNum>
  <w:abstractNum w:abstractNumId="28" w15:restartNumberingAfterBreak="0">
    <w:nsid w:val="74024FF7"/>
    <w:multiLevelType w:val="hybridMultilevel"/>
    <w:tmpl w:val="01F8DB1A"/>
    <w:lvl w:ilvl="0" w:tplc="04160001">
      <w:start w:val="1"/>
      <w:numFmt w:val="bullet"/>
      <w:lvlText w:val=""/>
      <w:lvlJc w:val="left"/>
      <w:pPr>
        <w:ind w:left="2484" w:hanging="360"/>
      </w:pPr>
      <w:rPr>
        <w:rFonts w:ascii="Symbol" w:hAnsi="Symbol" w:hint="default"/>
      </w:rPr>
    </w:lvl>
    <w:lvl w:ilvl="1" w:tplc="0A12919E">
      <w:start w:val="1"/>
      <w:numFmt w:val="bullet"/>
      <w:lvlText w:val="o"/>
      <w:lvlJc w:val="left"/>
      <w:pPr>
        <w:ind w:left="3204" w:hanging="360"/>
      </w:pPr>
      <w:rPr>
        <w:rFonts w:ascii="Courier New" w:hAnsi="Courier New" w:hint="default"/>
      </w:rPr>
    </w:lvl>
    <w:lvl w:ilvl="2" w:tplc="E95E3834">
      <w:start w:val="1"/>
      <w:numFmt w:val="bullet"/>
      <w:lvlText w:val=""/>
      <w:lvlJc w:val="left"/>
      <w:pPr>
        <w:ind w:left="3924" w:hanging="360"/>
      </w:pPr>
      <w:rPr>
        <w:rFonts w:ascii="Wingdings" w:hAnsi="Wingdings" w:hint="default"/>
      </w:rPr>
    </w:lvl>
    <w:lvl w:ilvl="3" w:tplc="84B6E46C">
      <w:start w:val="1"/>
      <w:numFmt w:val="bullet"/>
      <w:lvlText w:val=""/>
      <w:lvlJc w:val="left"/>
      <w:pPr>
        <w:ind w:left="4644" w:hanging="360"/>
      </w:pPr>
      <w:rPr>
        <w:rFonts w:ascii="Symbol" w:hAnsi="Symbol" w:hint="default"/>
      </w:rPr>
    </w:lvl>
    <w:lvl w:ilvl="4" w:tplc="C5A4B128">
      <w:start w:val="1"/>
      <w:numFmt w:val="bullet"/>
      <w:lvlText w:val="o"/>
      <w:lvlJc w:val="left"/>
      <w:pPr>
        <w:ind w:left="5364" w:hanging="360"/>
      </w:pPr>
      <w:rPr>
        <w:rFonts w:ascii="Courier New" w:hAnsi="Courier New" w:hint="default"/>
      </w:rPr>
    </w:lvl>
    <w:lvl w:ilvl="5" w:tplc="BC8A7C9A">
      <w:start w:val="1"/>
      <w:numFmt w:val="bullet"/>
      <w:lvlText w:val=""/>
      <w:lvlJc w:val="left"/>
      <w:pPr>
        <w:ind w:left="6084" w:hanging="360"/>
      </w:pPr>
      <w:rPr>
        <w:rFonts w:ascii="Wingdings" w:hAnsi="Wingdings" w:hint="default"/>
      </w:rPr>
    </w:lvl>
    <w:lvl w:ilvl="6" w:tplc="B71AFC36">
      <w:start w:val="1"/>
      <w:numFmt w:val="bullet"/>
      <w:lvlText w:val=""/>
      <w:lvlJc w:val="left"/>
      <w:pPr>
        <w:ind w:left="6804" w:hanging="360"/>
      </w:pPr>
      <w:rPr>
        <w:rFonts w:ascii="Symbol" w:hAnsi="Symbol" w:hint="default"/>
      </w:rPr>
    </w:lvl>
    <w:lvl w:ilvl="7" w:tplc="45F67514">
      <w:start w:val="1"/>
      <w:numFmt w:val="bullet"/>
      <w:lvlText w:val="o"/>
      <w:lvlJc w:val="left"/>
      <w:pPr>
        <w:ind w:left="7524" w:hanging="360"/>
      </w:pPr>
      <w:rPr>
        <w:rFonts w:ascii="Courier New" w:hAnsi="Courier New" w:hint="default"/>
      </w:rPr>
    </w:lvl>
    <w:lvl w:ilvl="8" w:tplc="03CE2FDC">
      <w:start w:val="1"/>
      <w:numFmt w:val="bullet"/>
      <w:lvlText w:val=""/>
      <w:lvlJc w:val="left"/>
      <w:pPr>
        <w:ind w:left="8244" w:hanging="360"/>
      </w:pPr>
      <w:rPr>
        <w:rFonts w:ascii="Wingdings" w:hAnsi="Wingdings" w:hint="default"/>
      </w:rPr>
    </w:lvl>
  </w:abstractNum>
  <w:abstractNum w:abstractNumId="29" w15:restartNumberingAfterBreak="0">
    <w:nsid w:val="749F5BE8"/>
    <w:multiLevelType w:val="hybridMultilevel"/>
    <w:tmpl w:val="8D4AC70E"/>
    <w:lvl w:ilvl="0" w:tplc="0FC69A46">
      <w:start w:val="1"/>
      <w:numFmt w:val="bullet"/>
      <w:lvlText w:val=""/>
      <w:lvlJc w:val="left"/>
      <w:pPr>
        <w:ind w:left="720" w:hanging="360"/>
      </w:pPr>
      <w:rPr>
        <w:rFonts w:ascii="Symbol" w:hAnsi="Symbol" w:hint="default"/>
      </w:rPr>
    </w:lvl>
    <w:lvl w:ilvl="1" w:tplc="16A8B354">
      <w:start w:val="1"/>
      <w:numFmt w:val="bullet"/>
      <w:lvlText w:val="o"/>
      <w:lvlJc w:val="left"/>
      <w:pPr>
        <w:ind w:left="1440" w:hanging="360"/>
      </w:pPr>
      <w:rPr>
        <w:rFonts w:ascii="Courier New" w:hAnsi="Courier New" w:hint="default"/>
      </w:rPr>
    </w:lvl>
    <w:lvl w:ilvl="2" w:tplc="44E46AB0">
      <w:start w:val="1"/>
      <w:numFmt w:val="bullet"/>
      <w:lvlText w:val=""/>
      <w:lvlJc w:val="left"/>
      <w:pPr>
        <w:ind w:left="2160" w:hanging="360"/>
      </w:pPr>
      <w:rPr>
        <w:rFonts w:ascii="Wingdings" w:hAnsi="Wingdings" w:hint="default"/>
      </w:rPr>
    </w:lvl>
    <w:lvl w:ilvl="3" w:tplc="7FCC3A16">
      <w:start w:val="1"/>
      <w:numFmt w:val="bullet"/>
      <w:lvlText w:val=""/>
      <w:lvlJc w:val="left"/>
      <w:pPr>
        <w:ind w:left="2880" w:hanging="360"/>
      </w:pPr>
      <w:rPr>
        <w:rFonts w:ascii="Symbol" w:hAnsi="Symbol" w:hint="default"/>
      </w:rPr>
    </w:lvl>
    <w:lvl w:ilvl="4" w:tplc="BBF6412A">
      <w:start w:val="1"/>
      <w:numFmt w:val="bullet"/>
      <w:lvlText w:val="o"/>
      <w:lvlJc w:val="left"/>
      <w:pPr>
        <w:ind w:left="3600" w:hanging="360"/>
      </w:pPr>
      <w:rPr>
        <w:rFonts w:ascii="Courier New" w:hAnsi="Courier New" w:hint="default"/>
      </w:rPr>
    </w:lvl>
    <w:lvl w:ilvl="5" w:tplc="5D86403C">
      <w:start w:val="1"/>
      <w:numFmt w:val="bullet"/>
      <w:lvlText w:val=""/>
      <w:lvlJc w:val="left"/>
      <w:pPr>
        <w:ind w:left="4320" w:hanging="360"/>
      </w:pPr>
      <w:rPr>
        <w:rFonts w:ascii="Wingdings" w:hAnsi="Wingdings" w:hint="default"/>
      </w:rPr>
    </w:lvl>
    <w:lvl w:ilvl="6" w:tplc="C5A6FC96">
      <w:start w:val="1"/>
      <w:numFmt w:val="bullet"/>
      <w:lvlText w:val=""/>
      <w:lvlJc w:val="left"/>
      <w:pPr>
        <w:ind w:left="5040" w:hanging="360"/>
      </w:pPr>
      <w:rPr>
        <w:rFonts w:ascii="Symbol" w:hAnsi="Symbol" w:hint="default"/>
      </w:rPr>
    </w:lvl>
    <w:lvl w:ilvl="7" w:tplc="C35ADAAE">
      <w:start w:val="1"/>
      <w:numFmt w:val="bullet"/>
      <w:lvlText w:val="o"/>
      <w:lvlJc w:val="left"/>
      <w:pPr>
        <w:ind w:left="5760" w:hanging="360"/>
      </w:pPr>
      <w:rPr>
        <w:rFonts w:ascii="Courier New" w:hAnsi="Courier New" w:hint="default"/>
      </w:rPr>
    </w:lvl>
    <w:lvl w:ilvl="8" w:tplc="FFB0CB36">
      <w:start w:val="1"/>
      <w:numFmt w:val="bullet"/>
      <w:lvlText w:val=""/>
      <w:lvlJc w:val="left"/>
      <w:pPr>
        <w:ind w:left="6480" w:hanging="360"/>
      </w:pPr>
      <w:rPr>
        <w:rFonts w:ascii="Wingdings" w:hAnsi="Wingdings" w:hint="default"/>
      </w:rPr>
    </w:lvl>
  </w:abstractNum>
  <w:abstractNum w:abstractNumId="30" w15:restartNumberingAfterBreak="0">
    <w:nsid w:val="7C13E385"/>
    <w:multiLevelType w:val="hybridMultilevel"/>
    <w:tmpl w:val="C2E41892"/>
    <w:lvl w:ilvl="0" w:tplc="0B3A2BD6">
      <w:start w:val="1"/>
      <w:numFmt w:val="bullet"/>
      <w:lvlText w:val="o"/>
      <w:lvlJc w:val="left"/>
      <w:pPr>
        <w:ind w:left="720" w:hanging="360"/>
      </w:pPr>
      <w:rPr>
        <w:rFonts w:ascii="Courier New" w:hAnsi="Courier New" w:hint="default"/>
      </w:rPr>
    </w:lvl>
    <w:lvl w:ilvl="1" w:tplc="23806C00">
      <w:start w:val="1"/>
      <w:numFmt w:val="bullet"/>
      <w:lvlText w:val="o"/>
      <w:lvlJc w:val="left"/>
      <w:pPr>
        <w:ind w:left="1440" w:hanging="360"/>
      </w:pPr>
      <w:rPr>
        <w:rFonts w:ascii="Courier New" w:hAnsi="Courier New" w:hint="default"/>
      </w:rPr>
    </w:lvl>
    <w:lvl w:ilvl="2" w:tplc="D5F24656">
      <w:start w:val="1"/>
      <w:numFmt w:val="bullet"/>
      <w:lvlText w:val=""/>
      <w:lvlJc w:val="left"/>
      <w:pPr>
        <w:ind w:left="2160" w:hanging="360"/>
      </w:pPr>
      <w:rPr>
        <w:rFonts w:ascii="Wingdings" w:hAnsi="Wingdings" w:hint="default"/>
      </w:rPr>
    </w:lvl>
    <w:lvl w:ilvl="3" w:tplc="C8D06152">
      <w:start w:val="1"/>
      <w:numFmt w:val="bullet"/>
      <w:lvlText w:val=""/>
      <w:lvlJc w:val="left"/>
      <w:pPr>
        <w:ind w:left="2880" w:hanging="360"/>
      </w:pPr>
      <w:rPr>
        <w:rFonts w:ascii="Symbol" w:hAnsi="Symbol" w:hint="default"/>
      </w:rPr>
    </w:lvl>
    <w:lvl w:ilvl="4" w:tplc="20A25C5E">
      <w:start w:val="1"/>
      <w:numFmt w:val="bullet"/>
      <w:lvlText w:val="o"/>
      <w:lvlJc w:val="left"/>
      <w:pPr>
        <w:ind w:left="3600" w:hanging="360"/>
      </w:pPr>
      <w:rPr>
        <w:rFonts w:ascii="Courier New" w:hAnsi="Courier New" w:hint="default"/>
      </w:rPr>
    </w:lvl>
    <w:lvl w:ilvl="5" w:tplc="EA6CD6F6">
      <w:start w:val="1"/>
      <w:numFmt w:val="bullet"/>
      <w:lvlText w:val=""/>
      <w:lvlJc w:val="left"/>
      <w:pPr>
        <w:ind w:left="4320" w:hanging="360"/>
      </w:pPr>
      <w:rPr>
        <w:rFonts w:ascii="Wingdings" w:hAnsi="Wingdings" w:hint="default"/>
      </w:rPr>
    </w:lvl>
    <w:lvl w:ilvl="6" w:tplc="58788440">
      <w:start w:val="1"/>
      <w:numFmt w:val="bullet"/>
      <w:lvlText w:val=""/>
      <w:lvlJc w:val="left"/>
      <w:pPr>
        <w:ind w:left="5040" w:hanging="360"/>
      </w:pPr>
      <w:rPr>
        <w:rFonts w:ascii="Symbol" w:hAnsi="Symbol" w:hint="default"/>
      </w:rPr>
    </w:lvl>
    <w:lvl w:ilvl="7" w:tplc="04A2F7AA">
      <w:start w:val="1"/>
      <w:numFmt w:val="bullet"/>
      <w:lvlText w:val="o"/>
      <w:lvlJc w:val="left"/>
      <w:pPr>
        <w:ind w:left="5760" w:hanging="360"/>
      </w:pPr>
      <w:rPr>
        <w:rFonts w:ascii="Courier New" w:hAnsi="Courier New" w:hint="default"/>
      </w:rPr>
    </w:lvl>
    <w:lvl w:ilvl="8" w:tplc="F61AF452">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10"/>
  </w:num>
  <w:num w:numId="4">
    <w:abstractNumId w:val="4"/>
  </w:num>
  <w:num w:numId="5">
    <w:abstractNumId w:val="29"/>
  </w:num>
  <w:num w:numId="6">
    <w:abstractNumId w:val="17"/>
  </w:num>
  <w:num w:numId="7">
    <w:abstractNumId w:val="8"/>
  </w:num>
  <w:num w:numId="8">
    <w:abstractNumId w:val="13"/>
  </w:num>
  <w:num w:numId="9">
    <w:abstractNumId w:val="27"/>
  </w:num>
  <w:num w:numId="10">
    <w:abstractNumId w:val="3"/>
  </w:num>
  <w:num w:numId="11">
    <w:abstractNumId w:val="23"/>
  </w:num>
  <w:num w:numId="12">
    <w:abstractNumId w:val="30"/>
  </w:num>
  <w:num w:numId="13">
    <w:abstractNumId w:val="20"/>
  </w:num>
  <w:num w:numId="14">
    <w:abstractNumId w:val="2"/>
  </w:num>
  <w:num w:numId="15">
    <w:abstractNumId w:val="11"/>
  </w:num>
  <w:num w:numId="16">
    <w:abstractNumId w:val="18"/>
  </w:num>
  <w:num w:numId="17">
    <w:abstractNumId w:val="21"/>
  </w:num>
  <w:num w:numId="18">
    <w:abstractNumId w:val="22"/>
  </w:num>
  <w:num w:numId="19">
    <w:abstractNumId w:val="19"/>
  </w:num>
  <w:num w:numId="20">
    <w:abstractNumId w:val="15"/>
  </w:num>
  <w:num w:numId="21">
    <w:abstractNumId w:val="7"/>
  </w:num>
  <w:num w:numId="22">
    <w:abstractNumId w:val="12"/>
  </w:num>
  <w:num w:numId="23">
    <w:abstractNumId w:val="9"/>
  </w:num>
  <w:num w:numId="24">
    <w:abstractNumId w:val="14"/>
  </w:num>
  <w:num w:numId="25">
    <w:abstractNumId w:val="16"/>
  </w:num>
  <w:num w:numId="26">
    <w:abstractNumId w:val="24"/>
  </w:num>
  <w:num w:numId="27">
    <w:abstractNumId w:val="26"/>
  </w:num>
  <w:num w:numId="28">
    <w:abstractNumId w:val="0"/>
  </w:num>
  <w:num w:numId="29">
    <w:abstractNumId w:val="28"/>
  </w:num>
  <w:num w:numId="30">
    <w:abstractNumId w:val="5"/>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3CE"/>
    <w:rsid w:val="00006D41"/>
    <w:rsid w:val="00006F83"/>
    <w:rsid w:val="000200E4"/>
    <w:rsid w:val="000213FB"/>
    <w:rsid w:val="00067D9E"/>
    <w:rsid w:val="00076103"/>
    <w:rsid w:val="0007707D"/>
    <w:rsid w:val="0008116B"/>
    <w:rsid w:val="00091F5C"/>
    <w:rsid w:val="00092852"/>
    <w:rsid w:val="00094E5D"/>
    <w:rsid w:val="000961CD"/>
    <w:rsid w:val="000970E6"/>
    <w:rsid w:val="00097CB0"/>
    <w:rsid w:val="000B2B14"/>
    <w:rsid w:val="000B5A76"/>
    <w:rsid w:val="000B5B79"/>
    <w:rsid w:val="000C0FA3"/>
    <w:rsid w:val="000D7EA9"/>
    <w:rsid w:val="000E0253"/>
    <w:rsid w:val="000E7E87"/>
    <w:rsid w:val="000F224A"/>
    <w:rsid w:val="000F4311"/>
    <w:rsid w:val="000F4657"/>
    <w:rsid w:val="000F4F07"/>
    <w:rsid w:val="00104656"/>
    <w:rsid w:val="001062BD"/>
    <w:rsid w:val="001124A5"/>
    <w:rsid w:val="00122E35"/>
    <w:rsid w:val="00131FD4"/>
    <w:rsid w:val="00133ACF"/>
    <w:rsid w:val="00134366"/>
    <w:rsid w:val="00141A2E"/>
    <w:rsid w:val="00147A11"/>
    <w:rsid w:val="00167415"/>
    <w:rsid w:val="00168771"/>
    <w:rsid w:val="00171769"/>
    <w:rsid w:val="001771E5"/>
    <w:rsid w:val="00180B8E"/>
    <w:rsid w:val="00180E82"/>
    <w:rsid w:val="00181628"/>
    <w:rsid w:val="00185B67"/>
    <w:rsid w:val="0019672F"/>
    <w:rsid w:val="00197CAC"/>
    <w:rsid w:val="001A5D3A"/>
    <w:rsid w:val="001C1C94"/>
    <w:rsid w:val="001D2227"/>
    <w:rsid w:val="001D246D"/>
    <w:rsid w:val="001D40C4"/>
    <w:rsid w:val="001E31EA"/>
    <w:rsid w:val="001E6649"/>
    <w:rsid w:val="001F75F0"/>
    <w:rsid w:val="002161F6"/>
    <w:rsid w:val="002179E3"/>
    <w:rsid w:val="00220CED"/>
    <w:rsid w:val="0023515F"/>
    <w:rsid w:val="00236747"/>
    <w:rsid w:val="00242A52"/>
    <w:rsid w:val="00250BCC"/>
    <w:rsid w:val="00252088"/>
    <w:rsid w:val="002652A9"/>
    <w:rsid w:val="002673A3"/>
    <w:rsid w:val="00271BE3"/>
    <w:rsid w:val="00273122"/>
    <w:rsid w:val="00274F35"/>
    <w:rsid w:val="00285DAA"/>
    <w:rsid w:val="00290579"/>
    <w:rsid w:val="002911A0"/>
    <w:rsid w:val="00291553"/>
    <w:rsid w:val="0029361D"/>
    <w:rsid w:val="002A2873"/>
    <w:rsid w:val="002B71B9"/>
    <w:rsid w:val="002C5357"/>
    <w:rsid w:val="002D1353"/>
    <w:rsid w:val="002E6F2B"/>
    <w:rsid w:val="002F14D6"/>
    <w:rsid w:val="002F3693"/>
    <w:rsid w:val="003167A4"/>
    <w:rsid w:val="00335448"/>
    <w:rsid w:val="00345AFB"/>
    <w:rsid w:val="00352179"/>
    <w:rsid w:val="00357F49"/>
    <w:rsid w:val="003618F7"/>
    <w:rsid w:val="003877DD"/>
    <w:rsid w:val="00394C5E"/>
    <w:rsid w:val="003A3338"/>
    <w:rsid w:val="003A70B6"/>
    <w:rsid w:val="003B2A96"/>
    <w:rsid w:val="003B5F4A"/>
    <w:rsid w:val="003C2A13"/>
    <w:rsid w:val="00414B36"/>
    <w:rsid w:val="004423CE"/>
    <w:rsid w:val="00446678"/>
    <w:rsid w:val="0044B85C"/>
    <w:rsid w:val="00450AD9"/>
    <w:rsid w:val="004619ED"/>
    <w:rsid w:val="004704E2"/>
    <w:rsid w:val="00473110"/>
    <w:rsid w:val="00474C63"/>
    <w:rsid w:val="0047734C"/>
    <w:rsid w:val="0047CC5C"/>
    <w:rsid w:val="0048137E"/>
    <w:rsid w:val="00486768"/>
    <w:rsid w:val="00486B11"/>
    <w:rsid w:val="00497329"/>
    <w:rsid w:val="004A66B9"/>
    <w:rsid w:val="004B5672"/>
    <w:rsid w:val="004B73AD"/>
    <w:rsid w:val="004B7CE0"/>
    <w:rsid w:val="004C0248"/>
    <w:rsid w:val="004D7D51"/>
    <w:rsid w:val="004E58EC"/>
    <w:rsid w:val="004E5997"/>
    <w:rsid w:val="004F25DF"/>
    <w:rsid w:val="005052F9"/>
    <w:rsid w:val="00513229"/>
    <w:rsid w:val="00517A5D"/>
    <w:rsid w:val="00522066"/>
    <w:rsid w:val="00523018"/>
    <w:rsid w:val="005261C6"/>
    <w:rsid w:val="0053050B"/>
    <w:rsid w:val="005315F4"/>
    <w:rsid w:val="00531733"/>
    <w:rsid w:val="00535104"/>
    <w:rsid w:val="00537078"/>
    <w:rsid w:val="00540918"/>
    <w:rsid w:val="005476D5"/>
    <w:rsid w:val="00551A48"/>
    <w:rsid w:val="00576524"/>
    <w:rsid w:val="00577E71"/>
    <w:rsid w:val="00582373"/>
    <w:rsid w:val="005846EF"/>
    <w:rsid w:val="00587C52"/>
    <w:rsid w:val="00591BFE"/>
    <w:rsid w:val="00596BED"/>
    <w:rsid w:val="005A6566"/>
    <w:rsid w:val="005A72FD"/>
    <w:rsid w:val="005B368E"/>
    <w:rsid w:val="005B3CCB"/>
    <w:rsid w:val="005B5071"/>
    <w:rsid w:val="005B568B"/>
    <w:rsid w:val="005C05E2"/>
    <w:rsid w:val="005D1253"/>
    <w:rsid w:val="005D36F6"/>
    <w:rsid w:val="005D3B70"/>
    <w:rsid w:val="005D7D9D"/>
    <w:rsid w:val="005E38E1"/>
    <w:rsid w:val="005E6CD2"/>
    <w:rsid w:val="005E743A"/>
    <w:rsid w:val="005F17C4"/>
    <w:rsid w:val="005F33CC"/>
    <w:rsid w:val="005F3DDA"/>
    <w:rsid w:val="00603643"/>
    <w:rsid w:val="00610C16"/>
    <w:rsid w:val="0061311E"/>
    <w:rsid w:val="006360CB"/>
    <w:rsid w:val="00642D67"/>
    <w:rsid w:val="00645579"/>
    <w:rsid w:val="006566AB"/>
    <w:rsid w:val="00674E89"/>
    <w:rsid w:val="0068246D"/>
    <w:rsid w:val="006955E9"/>
    <w:rsid w:val="006A790A"/>
    <w:rsid w:val="006C0EE2"/>
    <w:rsid w:val="006C1E88"/>
    <w:rsid w:val="006E26A1"/>
    <w:rsid w:val="006E78FA"/>
    <w:rsid w:val="006F71D9"/>
    <w:rsid w:val="007066C3"/>
    <w:rsid w:val="00720656"/>
    <w:rsid w:val="00722706"/>
    <w:rsid w:val="007254BE"/>
    <w:rsid w:val="00725EBD"/>
    <w:rsid w:val="007300B9"/>
    <w:rsid w:val="007325B1"/>
    <w:rsid w:val="00736ACD"/>
    <w:rsid w:val="0073AA9E"/>
    <w:rsid w:val="00750C31"/>
    <w:rsid w:val="007534A9"/>
    <w:rsid w:val="00754550"/>
    <w:rsid w:val="00761B54"/>
    <w:rsid w:val="00774A17"/>
    <w:rsid w:val="00790FA4"/>
    <w:rsid w:val="007911C6"/>
    <w:rsid w:val="00795095"/>
    <w:rsid w:val="007A2C1A"/>
    <w:rsid w:val="007A3982"/>
    <w:rsid w:val="007A43CC"/>
    <w:rsid w:val="007A6164"/>
    <w:rsid w:val="007C4B6D"/>
    <w:rsid w:val="007C5E1C"/>
    <w:rsid w:val="007D06F2"/>
    <w:rsid w:val="007D2819"/>
    <w:rsid w:val="007E300C"/>
    <w:rsid w:val="008000E0"/>
    <w:rsid w:val="00824001"/>
    <w:rsid w:val="00826629"/>
    <w:rsid w:val="00835596"/>
    <w:rsid w:val="00840574"/>
    <w:rsid w:val="008516A0"/>
    <w:rsid w:val="00854AB4"/>
    <w:rsid w:val="0086219F"/>
    <w:rsid w:val="00862BA2"/>
    <w:rsid w:val="008673DF"/>
    <w:rsid w:val="00870236"/>
    <w:rsid w:val="00874096"/>
    <w:rsid w:val="00890E85"/>
    <w:rsid w:val="00891F61"/>
    <w:rsid w:val="00893372"/>
    <w:rsid w:val="0089470E"/>
    <w:rsid w:val="008962BD"/>
    <w:rsid w:val="008A21F9"/>
    <w:rsid w:val="008A597D"/>
    <w:rsid w:val="008A5F7C"/>
    <w:rsid w:val="008A6DA8"/>
    <w:rsid w:val="008B040E"/>
    <w:rsid w:val="008B7DE4"/>
    <w:rsid w:val="008C03A5"/>
    <w:rsid w:val="008D0BB9"/>
    <w:rsid w:val="008D4C9F"/>
    <w:rsid w:val="008E688F"/>
    <w:rsid w:val="008E7A9B"/>
    <w:rsid w:val="00906896"/>
    <w:rsid w:val="0092664B"/>
    <w:rsid w:val="0094667B"/>
    <w:rsid w:val="00951CBE"/>
    <w:rsid w:val="00952A35"/>
    <w:rsid w:val="009617AB"/>
    <w:rsid w:val="009638B2"/>
    <w:rsid w:val="00974F29"/>
    <w:rsid w:val="0098126D"/>
    <w:rsid w:val="00985F37"/>
    <w:rsid w:val="00995ABB"/>
    <w:rsid w:val="009A46DE"/>
    <w:rsid w:val="009A4E90"/>
    <w:rsid w:val="009B27E8"/>
    <w:rsid w:val="009B389A"/>
    <w:rsid w:val="009D2783"/>
    <w:rsid w:val="009D63C4"/>
    <w:rsid w:val="009D7802"/>
    <w:rsid w:val="009E4305"/>
    <w:rsid w:val="009E5913"/>
    <w:rsid w:val="009F0C89"/>
    <w:rsid w:val="00A105B1"/>
    <w:rsid w:val="00A16880"/>
    <w:rsid w:val="00A17B4D"/>
    <w:rsid w:val="00A33223"/>
    <w:rsid w:val="00A40E0F"/>
    <w:rsid w:val="00A41179"/>
    <w:rsid w:val="00A44284"/>
    <w:rsid w:val="00A456B7"/>
    <w:rsid w:val="00A5067D"/>
    <w:rsid w:val="00A53227"/>
    <w:rsid w:val="00A7060B"/>
    <w:rsid w:val="00A7278F"/>
    <w:rsid w:val="00A74182"/>
    <w:rsid w:val="00A75BAD"/>
    <w:rsid w:val="00A777F1"/>
    <w:rsid w:val="00A90DC9"/>
    <w:rsid w:val="00AA4891"/>
    <w:rsid w:val="00AA7360"/>
    <w:rsid w:val="00AB1EAE"/>
    <w:rsid w:val="00AC36E0"/>
    <w:rsid w:val="00AC4282"/>
    <w:rsid w:val="00AD6704"/>
    <w:rsid w:val="00B10892"/>
    <w:rsid w:val="00B24709"/>
    <w:rsid w:val="00B25255"/>
    <w:rsid w:val="00B25CA5"/>
    <w:rsid w:val="00B27009"/>
    <w:rsid w:val="00B3145C"/>
    <w:rsid w:val="00B33F62"/>
    <w:rsid w:val="00B35C16"/>
    <w:rsid w:val="00B44F62"/>
    <w:rsid w:val="00B47554"/>
    <w:rsid w:val="00B47C26"/>
    <w:rsid w:val="00B5605D"/>
    <w:rsid w:val="00B570F9"/>
    <w:rsid w:val="00B625AE"/>
    <w:rsid w:val="00B73C04"/>
    <w:rsid w:val="00B7459C"/>
    <w:rsid w:val="00B83369"/>
    <w:rsid w:val="00B91579"/>
    <w:rsid w:val="00B95EE1"/>
    <w:rsid w:val="00BA09E9"/>
    <w:rsid w:val="00BB0272"/>
    <w:rsid w:val="00BB3714"/>
    <w:rsid w:val="00BC64A8"/>
    <w:rsid w:val="00BC7364"/>
    <w:rsid w:val="00BD5B88"/>
    <w:rsid w:val="00BE6A2D"/>
    <w:rsid w:val="00C01A4B"/>
    <w:rsid w:val="00C10352"/>
    <w:rsid w:val="00C1514F"/>
    <w:rsid w:val="00C2449C"/>
    <w:rsid w:val="00C404CF"/>
    <w:rsid w:val="00C459E5"/>
    <w:rsid w:val="00C45ADB"/>
    <w:rsid w:val="00C50139"/>
    <w:rsid w:val="00C52604"/>
    <w:rsid w:val="00C70073"/>
    <w:rsid w:val="00C7461B"/>
    <w:rsid w:val="00C7567C"/>
    <w:rsid w:val="00C75AED"/>
    <w:rsid w:val="00C76298"/>
    <w:rsid w:val="00C82131"/>
    <w:rsid w:val="00C93D29"/>
    <w:rsid w:val="00C9732E"/>
    <w:rsid w:val="00CA5702"/>
    <w:rsid w:val="00CF24A3"/>
    <w:rsid w:val="00CF3D76"/>
    <w:rsid w:val="00CF5F50"/>
    <w:rsid w:val="00CF6FCF"/>
    <w:rsid w:val="00D02C23"/>
    <w:rsid w:val="00D12810"/>
    <w:rsid w:val="00D1305C"/>
    <w:rsid w:val="00D34D9B"/>
    <w:rsid w:val="00D35E10"/>
    <w:rsid w:val="00D43422"/>
    <w:rsid w:val="00D507BA"/>
    <w:rsid w:val="00D55D62"/>
    <w:rsid w:val="00D72604"/>
    <w:rsid w:val="00D77B39"/>
    <w:rsid w:val="00D8140E"/>
    <w:rsid w:val="00D90AD2"/>
    <w:rsid w:val="00DA3DEC"/>
    <w:rsid w:val="00DA5377"/>
    <w:rsid w:val="00DB7313"/>
    <w:rsid w:val="00DC34D7"/>
    <w:rsid w:val="00DC4B22"/>
    <w:rsid w:val="00DC7BAC"/>
    <w:rsid w:val="00DD78E1"/>
    <w:rsid w:val="00DE6AE8"/>
    <w:rsid w:val="00E06A0E"/>
    <w:rsid w:val="00E25BE2"/>
    <w:rsid w:val="00E429B3"/>
    <w:rsid w:val="00E430BE"/>
    <w:rsid w:val="00E50999"/>
    <w:rsid w:val="00E5218F"/>
    <w:rsid w:val="00E55CF8"/>
    <w:rsid w:val="00E626DF"/>
    <w:rsid w:val="00E65546"/>
    <w:rsid w:val="00E6774C"/>
    <w:rsid w:val="00E77A53"/>
    <w:rsid w:val="00E841B3"/>
    <w:rsid w:val="00E84A8C"/>
    <w:rsid w:val="00E854B9"/>
    <w:rsid w:val="00E87192"/>
    <w:rsid w:val="00EB4E6D"/>
    <w:rsid w:val="00EC1025"/>
    <w:rsid w:val="00EC49F2"/>
    <w:rsid w:val="00ED55DA"/>
    <w:rsid w:val="00EE2020"/>
    <w:rsid w:val="00EE6539"/>
    <w:rsid w:val="00EE6FE1"/>
    <w:rsid w:val="00EF21D0"/>
    <w:rsid w:val="00EF5B49"/>
    <w:rsid w:val="00EF644F"/>
    <w:rsid w:val="00F0564E"/>
    <w:rsid w:val="00F151AA"/>
    <w:rsid w:val="00F151FF"/>
    <w:rsid w:val="00F15C96"/>
    <w:rsid w:val="00F207BE"/>
    <w:rsid w:val="00F302DA"/>
    <w:rsid w:val="00F36349"/>
    <w:rsid w:val="00F4125D"/>
    <w:rsid w:val="00F42D70"/>
    <w:rsid w:val="00F47923"/>
    <w:rsid w:val="00F56C5C"/>
    <w:rsid w:val="00F60AD6"/>
    <w:rsid w:val="00F966A2"/>
    <w:rsid w:val="00FA11AC"/>
    <w:rsid w:val="00FA1FEE"/>
    <w:rsid w:val="00FC0E5A"/>
    <w:rsid w:val="00FC38D2"/>
    <w:rsid w:val="00FC4A4C"/>
    <w:rsid w:val="00FC56F7"/>
    <w:rsid w:val="00FD490D"/>
    <w:rsid w:val="00FD4E07"/>
    <w:rsid w:val="00FE07DA"/>
    <w:rsid w:val="00FE67DB"/>
    <w:rsid w:val="00FF46E6"/>
    <w:rsid w:val="00FF4E61"/>
    <w:rsid w:val="01335724"/>
    <w:rsid w:val="01409BE1"/>
    <w:rsid w:val="01751957"/>
    <w:rsid w:val="017E209E"/>
    <w:rsid w:val="018314B6"/>
    <w:rsid w:val="018E45F7"/>
    <w:rsid w:val="01BC9E0A"/>
    <w:rsid w:val="01CBD1D9"/>
    <w:rsid w:val="01EA06B3"/>
    <w:rsid w:val="01F16BCC"/>
    <w:rsid w:val="02296117"/>
    <w:rsid w:val="02420827"/>
    <w:rsid w:val="024A135D"/>
    <w:rsid w:val="0266B31C"/>
    <w:rsid w:val="0267CD09"/>
    <w:rsid w:val="02735648"/>
    <w:rsid w:val="0276C399"/>
    <w:rsid w:val="02953703"/>
    <w:rsid w:val="0295D212"/>
    <w:rsid w:val="02989102"/>
    <w:rsid w:val="02C2C12C"/>
    <w:rsid w:val="02CD0BD0"/>
    <w:rsid w:val="02CDCAC9"/>
    <w:rsid w:val="02E1188D"/>
    <w:rsid w:val="0319ADCD"/>
    <w:rsid w:val="031BFF04"/>
    <w:rsid w:val="031CA2BD"/>
    <w:rsid w:val="0337D2EB"/>
    <w:rsid w:val="034E2833"/>
    <w:rsid w:val="036BCB78"/>
    <w:rsid w:val="03729E94"/>
    <w:rsid w:val="0388BDAF"/>
    <w:rsid w:val="03A5AC4E"/>
    <w:rsid w:val="03B53E77"/>
    <w:rsid w:val="03C4101D"/>
    <w:rsid w:val="03CE8E92"/>
    <w:rsid w:val="03CEB844"/>
    <w:rsid w:val="03D8C1B3"/>
    <w:rsid w:val="03E62358"/>
    <w:rsid w:val="0448C864"/>
    <w:rsid w:val="046CDC72"/>
    <w:rsid w:val="047AC4A8"/>
    <w:rsid w:val="0490B78C"/>
    <w:rsid w:val="04CD238C"/>
    <w:rsid w:val="05090330"/>
    <w:rsid w:val="051CE675"/>
    <w:rsid w:val="051E82B9"/>
    <w:rsid w:val="051F73FA"/>
    <w:rsid w:val="0524C868"/>
    <w:rsid w:val="05395973"/>
    <w:rsid w:val="0548C789"/>
    <w:rsid w:val="05B3EDC9"/>
    <w:rsid w:val="05B9892C"/>
    <w:rsid w:val="05C17574"/>
    <w:rsid w:val="05C964DF"/>
    <w:rsid w:val="05CB8766"/>
    <w:rsid w:val="05DB7D4A"/>
    <w:rsid w:val="05F1956B"/>
    <w:rsid w:val="05F4D657"/>
    <w:rsid w:val="0613D282"/>
    <w:rsid w:val="0658DC25"/>
    <w:rsid w:val="065C2FDB"/>
    <w:rsid w:val="065E735F"/>
    <w:rsid w:val="0660FEEC"/>
    <w:rsid w:val="0666CBC7"/>
    <w:rsid w:val="067C6E0F"/>
    <w:rsid w:val="06BA531A"/>
    <w:rsid w:val="06C99758"/>
    <w:rsid w:val="06CDA0AD"/>
    <w:rsid w:val="06FB5D64"/>
    <w:rsid w:val="06FF270C"/>
    <w:rsid w:val="074BCCFA"/>
    <w:rsid w:val="074FBE2A"/>
    <w:rsid w:val="075E3B97"/>
    <w:rsid w:val="0770BE0C"/>
    <w:rsid w:val="07AFA2E3"/>
    <w:rsid w:val="07B01955"/>
    <w:rsid w:val="07B2656A"/>
    <w:rsid w:val="07F013E0"/>
    <w:rsid w:val="07F2563A"/>
    <w:rsid w:val="07FA43C0"/>
    <w:rsid w:val="07FC40A9"/>
    <w:rsid w:val="080B9520"/>
    <w:rsid w:val="08183E70"/>
    <w:rsid w:val="08225907"/>
    <w:rsid w:val="0826D865"/>
    <w:rsid w:val="08403D30"/>
    <w:rsid w:val="084CF379"/>
    <w:rsid w:val="0856237B"/>
    <w:rsid w:val="08ACEA4B"/>
    <w:rsid w:val="08B73066"/>
    <w:rsid w:val="08D195F6"/>
    <w:rsid w:val="08DCBD56"/>
    <w:rsid w:val="08E7E54B"/>
    <w:rsid w:val="08F3C412"/>
    <w:rsid w:val="08FB90DD"/>
    <w:rsid w:val="08FFE15E"/>
    <w:rsid w:val="0907D286"/>
    <w:rsid w:val="0928899B"/>
    <w:rsid w:val="094B7344"/>
    <w:rsid w:val="094E266E"/>
    <w:rsid w:val="095917FE"/>
    <w:rsid w:val="097EC7CE"/>
    <w:rsid w:val="098E695F"/>
    <w:rsid w:val="09B5A7B6"/>
    <w:rsid w:val="09D3BB7D"/>
    <w:rsid w:val="09F8CC5E"/>
    <w:rsid w:val="09FF8BC1"/>
    <w:rsid w:val="0A05BE05"/>
    <w:rsid w:val="0A519590"/>
    <w:rsid w:val="0A7FF9E6"/>
    <w:rsid w:val="0AB7EC92"/>
    <w:rsid w:val="0AC5CBEE"/>
    <w:rsid w:val="0ACB5F1F"/>
    <w:rsid w:val="0AD3D06D"/>
    <w:rsid w:val="0ADA4EF2"/>
    <w:rsid w:val="0AE45057"/>
    <w:rsid w:val="0AE61B76"/>
    <w:rsid w:val="0AF6BF0A"/>
    <w:rsid w:val="0B32487E"/>
    <w:rsid w:val="0B46CD19"/>
    <w:rsid w:val="0B4DE6A0"/>
    <w:rsid w:val="0B4F81EA"/>
    <w:rsid w:val="0B4FDF32"/>
    <w:rsid w:val="0B5CFBBB"/>
    <w:rsid w:val="0B6F8BDE"/>
    <w:rsid w:val="0B777964"/>
    <w:rsid w:val="0B85ACBD"/>
    <w:rsid w:val="0B85CA5D"/>
    <w:rsid w:val="0BA1EB7A"/>
    <w:rsid w:val="0BBA7E1E"/>
    <w:rsid w:val="0BED65F1"/>
    <w:rsid w:val="0C00848E"/>
    <w:rsid w:val="0C02F160"/>
    <w:rsid w:val="0C0FD6A3"/>
    <w:rsid w:val="0C37F12C"/>
    <w:rsid w:val="0C442F2F"/>
    <w:rsid w:val="0C70D2CF"/>
    <w:rsid w:val="0C713B23"/>
    <w:rsid w:val="0C7BF78A"/>
    <w:rsid w:val="0C7F1CF6"/>
    <w:rsid w:val="0C9ACC01"/>
    <w:rsid w:val="0CA7ABB7"/>
    <w:rsid w:val="0CCF3BB3"/>
    <w:rsid w:val="0CD9B0EE"/>
    <w:rsid w:val="0CF806F5"/>
    <w:rsid w:val="0D036503"/>
    <w:rsid w:val="0D07B089"/>
    <w:rsid w:val="0D1349C5"/>
    <w:rsid w:val="0D49A9D6"/>
    <w:rsid w:val="0D7669BC"/>
    <w:rsid w:val="0D893652"/>
    <w:rsid w:val="0D89CCA8"/>
    <w:rsid w:val="0DBFC710"/>
    <w:rsid w:val="0DD844DB"/>
    <w:rsid w:val="0E051472"/>
    <w:rsid w:val="0E094620"/>
    <w:rsid w:val="0E2B7429"/>
    <w:rsid w:val="0E438BE5"/>
    <w:rsid w:val="0E549DF3"/>
    <w:rsid w:val="0E5A5903"/>
    <w:rsid w:val="0E6197BE"/>
    <w:rsid w:val="0E6C0CD4"/>
    <w:rsid w:val="0E75814F"/>
    <w:rsid w:val="0E87BD63"/>
    <w:rsid w:val="0E9112AC"/>
    <w:rsid w:val="0E9F3564"/>
    <w:rsid w:val="0EA21501"/>
    <w:rsid w:val="0EA72CA0"/>
    <w:rsid w:val="0EA846A6"/>
    <w:rsid w:val="0ED983CD"/>
    <w:rsid w:val="0EF7689A"/>
    <w:rsid w:val="0F0232EA"/>
    <w:rsid w:val="0F198D58"/>
    <w:rsid w:val="0F21C582"/>
    <w:rsid w:val="0F259D09"/>
    <w:rsid w:val="0F2A0668"/>
    <w:rsid w:val="0F37BD2F"/>
    <w:rsid w:val="0F4C9010"/>
    <w:rsid w:val="0F6C8589"/>
    <w:rsid w:val="0F72A4C3"/>
    <w:rsid w:val="0F7B3539"/>
    <w:rsid w:val="0F7E8B27"/>
    <w:rsid w:val="0F7F40F8"/>
    <w:rsid w:val="0F85938A"/>
    <w:rsid w:val="0F87783B"/>
    <w:rsid w:val="0FBFC4E6"/>
    <w:rsid w:val="0FC7448A"/>
    <w:rsid w:val="0FEDC957"/>
    <w:rsid w:val="0FFB25C5"/>
    <w:rsid w:val="105F47BA"/>
    <w:rsid w:val="1085E094"/>
    <w:rsid w:val="108A87A6"/>
    <w:rsid w:val="108CEFF3"/>
    <w:rsid w:val="108F4F82"/>
    <w:rsid w:val="109F6630"/>
    <w:rsid w:val="10C5D6C9"/>
    <w:rsid w:val="10F349E9"/>
    <w:rsid w:val="10F87E3C"/>
    <w:rsid w:val="111C4384"/>
    <w:rsid w:val="1121F72D"/>
    <w:rsid w:val="114E037E"/>
    <w:rsid w:val="114F68AD"/>
    <w:rsid w:val="117CA5DA"/>
    <w:rsid w:val="11873D7A"/>
    <w:rsid w:val="11AC2BA4"/>
    <w:rsid w:val="11CA1380"/>
    <w:rsid w:val="11DECD62"/>
    <w:rsid w:val="11F98753"/>
    <w:rsid w:val="11FC2754"/>
    <w:rsid w:val="12239607"/>
    <w:rsid w:val="123D3DE1"/>
    <w:rsid w:val="12510481"/>
    <w:rsid w:val="12512E1A"/>
    <w:rsid w:val="125D5B2A"/>
    <w:rsid w:val="12756E23"/>
    <w:rsid w:val="127DB59F"/>
    <w:rsid w:val="1299BB4C"/>
    <w:rsid w:val="12BDC78E"/>
    <w:rsid w:val="12CEA56E"/>
    <w:rsid w:val="12D8B75A"/>
    <w:rsid w:val="12E3DD3A"/>
    <w:rsid w:val="12E67328"/>
    <w:rsid w:val="130C9E36"/>
    <w:rsid w:val="1325AA14"/>
    <w:rsid w:val="132C893E"/>
    <w:rsid w:val="133C8CA8"/>
    <w:rsid w:val="133FCAE3"/>
    <w:rsid w:val="135F4DF6"/>
    <w:rsid w:val="136C80DA"/>
    <w:rsid w:val="136E11A6"/>
    <w:rsid w:val="13A679AA"/>
    <w:rsid w:val="13BD3051"/>
    <w:rsid w:val="13C2A1DE"/>
    <w:rsid w:val="13E8E1D9"/>
    <w:rsid w:val="13EDB0DD"/>
    <w:rsid w:val="13F34CB0"/>
    <w:rsid w:val="13F7FD52"/>
    <w:rsid w:val="1414FEE9"/>
    <w:rsid w:val="1430A54A"/>
    <w:rsid w:val="144B7260"/>
    <w:rsid w:val="1452B21B"/>
    <w:rsid w:val="145997EF"/>
    <w:rsid w:val="145D8D2D"/>
    <w:rsid w:val="147487BB"/>
    <w:rsid w:val="1480D4AA"/>
    <w:rsid w:val="14878130"/>
    <w:rsid w:val="14878E57"/>
    <w:rsid w:val="14BC5FF2"/>
    <w:rsid w:val="14CE96E8"/>
    <w:rsid w:val="14E597FA"/>
    <w:rsid w:val="14EEDF85"/>
    <w:rsid w:val="15106002"/>
    <w:rsid w:val="15139F10"/>
    <w:rsid w:val="152219DE"/>
    <w:rsid w:val="1530A842"/>
    <w:rsid w:val="1574DEA3"/>
    <w:rsid w:val="158F1D11"/>
    <w:rsid w:val="1591309B"/>
    <w:rsid w:val="1592AAF0"/>
    <w:rsid w:val="15A2DC4E"/>
    <w:rsid w:val="15AB709D"/>
    <w:rsid w:val="15B40ACB"/>
    <w:rsid w:val="15DF86C4"/>
    <w:rsid w:val="15E1FE6D"/>
    <w:rsid w:val="15F44BB0"/>
    <w:rsid w:val="15FE5AE9"/>
    <w:rsid w:val="1622D9D0"/>
    <w:rsid w:val="16237BA4"/>
    <w:rsid w:val="163967AA"/>
    <w:rsid w:val="165D4AD6"/>
    <w:rsid w:val="16642183"/>
    <w:rsid w:val="1676DFFE"/>
    <w:rsid w:val="16A3DA45"/>
    <w:rsid w:val="1737A830"/>
    <w:rsid w:val="173EACAF"/>
    <w:rsid w:val="174FDB2C"/>
    <w:rsid w:val="177B5725"/>
    <w:rsid w:val="177D473D"/>
    <w:rsid w:val="178A52DD"/>
    <w:rsid w:val="179D37A0"/>
    <w:rsid w:val="17A8B128"/>
    <w:rsid w:val="17AB860F"/>
    <w:rsid w:val="17EEDA74"/>
    <w:rsid w:val="18087A04"/>
    <w:rsid w:val="180F68C6"/>
    <w:rsid w:val="183AD70A"/>
    <w:rsid w:val="18429A1A"/>
    <w:rsid w:val="184E0EE6"/>
    <w:rsid w:val="1859F8F1"/>
    <w:rsid w:val="1863B1EC"/>
    <w:rsid w:val="18A58543"/>
    <w:rsid w:val="18AC0135"/>
    <w:rsid w:val="18BFB94A"/>
    <w:rsid w:val="18C83061"/>
    <w:rsid w:val="18CD1783"/>
    <w:rsid w:val="18EE45DB"/>
    <w:rsid w:val="18FAD7FB"/>
    <w:rsid w:val="18FF559C"/>
    <w:rsid w:val="1904166D"/>
    <w:rsid w:val="190BD582"/>
    <w:rsid w:val="190C020E"/>
    <w:rsid w:val="19172786"/>
    <w:rsid w:val="1942E363"/>
    <w:rsid w:val="1992E7C7"/>
    <w:rsid w:val="19A60FF2"/>
    <w:rsid w:val="19DB578D"/>
    <w:rsid w:val="19DB7B07"/>
    <w:rsid w:val="1A1CB053"/>
    <w:rsid w:val="1A3508CE"/>
    <w:rsid w:val="1A65F708"/>
    <w:rsid w:val="1A7CA2A1"/>
    <w:rsid w:val="1AA3DA59"/>
    <w:rsid w:val="1AC1F39F"/>
    <w:rsid w:val="1ACCDE18"/>
    <w:rsid w:val="1ACF0ADB"/>
    <w:rsid w:val="1AD39F67"/>
    <w:rsid w:val="1AE08828"/>
    <w:rsid w:val="1AE8BD93"/>
    <w:rsid w:val="1AEEEF1F"/>
    <w:rsid w:val="1AF2570A"/>
    <w:rsid w:val="1B20BED3"/>
    <w:rsid w:val="1B3F1D2E"/>
    <w:rsid w:val="1B401AC6"/>
    <w:rsid w:val="1B460705"/>
    <w:rsid w:val="1B48084C"/>
    <w:rsid w:val="1B6923AF"/>
    <w:rsid w:val="1B887311"/>
    <w:rsid w:val="1B8EB549"/>
    <w:rsid w:val="1B95EF42"/>
    <w:rsid w:val="1BA44145"/>
    <w:rsid w:val="1BB02F82"/>
    <w:rsid w:val="1BB28FD9"/>
    <w:rsid w:val="1BD40AF5"/>
    <w:rsid w:val="1C04E9F7"/>
    <w:rsid w:val="1C088970"/>
    <w:rsid w:val="1C0AFCCD"/>
    <w:rsid w:val="1C3B10A9"/>
    <w:rsid w:val="1C4B0AEF"/>
    <w:rsid w:val="1C5C0AAB"/>
    <w:rsid w:val="1C5DC400"/>
    <w:rsid w:val="1C68AE79"/>
    <w:rsid w:val="1C7CE659"/>
    <w:rsid w:val="1C9AB77B"/>
    <w:rsid w:val="1CD9A8CD"/>
    <w:rsid w:val="1D1C2334"/>
    <w:rsid w:val="1D3062AD"/>
    <w:rsid w:val="1D404E1E"/>
    <w:rsid w:val="1D56BEA5"/>
    <w:rsid w:val="1D64AC76"/>
    <w:rsid w:val="1D741AE4"/>
    <w:rsid w:val="1D9611DE"/>
    <w:rsid w:val="1DAEE1B2"/>
    <w:rsid w:val="1DBF31F9"/>
    <w:rsid w:val="1DDA2330"/>
    <w:rsid w:val="1DF99461"/>
    <w:rsid w:val="1E034AAC"/>
    <w:rsid w:val="1E040825"/>
    <w:rsid w:val="1E419E55"/>
    <w:rsid w:val="1E528F13"/>
    <w:rsid w:val="1E52ECE1"/>
    <w:rsid w:val="1E548B84"/>
    <w:rsid w:val="1E707E7C"/>
    <w:rsid w:val="1E7FA90E"/>
    <w:rsid w:val="1E92FC5D"/>
    <w:rsid w:val="1EC3F4B8"/>
    <w:rsid w:val="1ED4CF05"/>
    <w:rsid w:val="1EDDDBB0"/>
    <w:rsid w:val="1EE690E8"/>
    <w:rsid w:val="1EED3F30"/>
    <w:rsid w:val="1EF06773"/>
    <w:rsid w:val="1F111110"/>
    <w:rsid w:val="1F1D86AD"/>
    <w:rsid w:val="1F47C73D"/>
    <w:rsid w:val="1F58014A"/>
    <w:rsid w:val="1F736C01"/>
    <w:rsid w:val="1FA04F3B"/>
    <w:rsid w:val="1FA52914"/>
    <w:rsid w:val="1FC26042"/>
    <w:rsid w:val="1FCA3BBA"/>
    <w:rsid w:val="1FD23799"/>
    <w:rsid w:val="1FD4E639"/>
    <w:rsid w:val="1FDFB0F8"/>
    <w:rsid w:val="1FE49D89"/>
    <w:rsid w:val="20098644"/>
    <w:rsid w:val="200A221F"/>
    <w:rsid w:val="20114CCD"/>
    <w:rsid w:val="2013EC6E"/>
    <w:rsid w:val="2017FE27"/>
    <w:rsid w:val="202BD4F7"/>
    <w:rsid w:val="205A9000"/>
    <w:rsid w:val="205E1211"/>
    <w:rsid w:val="2067D26A"/>
    <w:rsid w:val="2070CC62"/>
    <w:rsid w:val="2076D11C"/>
    <w:rsid w:val="20DEC7B2"/>
    <w:rsid w:val="20F978AE"/>
    <w:rsid w:val="21074EDC"/>
    <w:rsid w:val="21115564"/>
    <w:rsid w:val="21327A29"/>
    <w:rsid w:val="216E07FA"/>
    <w:rsid w:val="21AAFB94"/>
    <w:rsid w:val="21BDC20E"/>
    <w:rsid w:val="21C03512"/>
    <w:rsid w:val="22056933"/>
    <w:rsid w:val="222B6438"/>
    <w:rsid w:val="2244E287"/>
    <w:rsid w:val="2257E4FC"/>
    <w:rsid w:val="2264FAB4"/>
    <w:rsid w:val="2266A1AA"/>
    <w:rsid w:val="226CFBA8"/>
    <w:rsid w:val="22815209"/>
    <w:rsid w:val="22871735"/>
    <w:rsid w:val="22C3BA35"/>
    <w:rsid w:val="22C62C0A"/>
    <w:rsid w:val="22EAA117"/>
    <w:rsid w:val="23026C3E"/>
    <w:rsid w:val="23178F97"/>
    <w:rsid w:val="2323374A"/>
    <w:rsid w:val="2330B83A"/>
    <w:rsid w:val="2336F7C3"/>
    <w:rsid w:val="2349979B"/>
    <w:rsid w:val="234C3669"/>
    <w:rsid w:val="2359C445"/>
    <w:rsid w:val="236E7928"/>
    <w:rsid w:val="23A37E1F"/>
    <w:rsid w:val="23B7301F"/>
    <w:rsid w:val="23B8995D"/>
    <w:rsid w:val="23D5E0FA"/>
    <w:rsid w:val="23E8D863"/>
    <w:rsid w:val="23F7361E"/>
    <w:rsid w:val="2428EB34"/>
    <w:rsid w:val="24539CFD"/>
    <w:rsid w:val="2458290E"/>
    <w:rsid w:val="245E749C"/>
    <w:rsid w:val="248428AE"/>
    <w:rsid w:val="248AAF32"/>
    <w:rsid w:val="249A0722"/>
    <w:rsid w:val="249A2FEA"/>
    <w:rsid w:val="24D3DD25"/>
    <w:rsid w:val="24FE2959"/>
    <w:rsid w:val="2505FA10"/>
    <w:rsid w:val="2534D827"/>
    <w:rsid w:val="254D745C"/>
    <w:rsid w:val="254FB7E3"/>
    <w:rsid w:val="2560E164"/>
    <w:rsid w:val="25804F77"/>
    <w:rsid w:val="25846493"/>
    <w:rsid w:val="25A6E02C"/>
    <w:rsid w:val="25B3B1BE"/>
    <w:rsid w:val="25BF5548"/>
    <w:rsid w:val="25C0ED9E"/>
    <w:rsid w:val="25C98528"/>
    <w:rsid w:val="25E4C412"/>
    <w:rsid w:val="25E77FD8"/>
    <w:rsid w:val="25EF6D5E"/>
    <w:rsid w:val="260B4162"/>
    <w:rsid w:val="262483C1"/>
    <w:rsid w:val="262BAC81"/>
    <w:rsid w:val="26429FAA"/>
    <w:rsid w:val="2647EF13"/>
    <w:rsid w:val="264AD56B"/>
    <w:rsid w:val="2653F254"/>
    <w:rsid w:val="265EAF7B"/>
    <w:rsid w:val="26659D03"/>
    <w:rsid w:val="266DD462"/>
    <w:rsid w:val="268ABAF3"/>
    <w:rsid w:val="26BAE16A"/>
    <w:rsid w:val="26C3057A"/>
    <w:rsid w:val="26C5B39B"/>
    <w:rsid w:val="26D7BD71"/>
    <w:rsid w:val="26FCB1C5"/>
    <w:rsid w:val="26FD46EF"/>
    <w:rsid w:val="2703A8EF"/>
    <w:rsid w:val="2706AE08"/>
    <w:rsid w:val="270B91B6"/>
    <w:rsid w:val="273F467E"/>
    <w:rsid w:val="2744BAEA"/>
    <w:rsid w:val="275C6F67"/>
    <w:rsid w:val="27627CDE"/>
    <w:rsid w:val="27744273"/>
    <w:rsid w:val="277592C8"/>
    <w:rsid w:val="27769060"/>
    <w:rsid w:val="2777E45D"/>
    <w:rsid w:val="277E7DE6"/>
    <w:rsid w:val="277F9EC8"/>
    <w:rsid w:val="27A7310A"/>
    <w:rsid w:val="27AAEA6B"/>
    <w:rsid w:val="27CA9717"/>
    <w:rsid w:val="27D3A3DD"/>
    <w:rsid w:val="27DCB158"/>
    <w:rsid w:val="27FF010B"/>
    <w:rsid w:val="28087F7B"/>
    <w:rsid w:val="2820CB3E"/>
    <w:rsid w:val="2823B1D9"/>
    <w:rsid w:val="28243FED"/>
    <w:rsid w:val="282B3382"/>
    <w:rsid w:val="2830AA0D"/>
    <w:rsid w:val="2839A920"/>
    <w:rsid w:val="2863F365"/>
    <w:rsid w:val="28988226"/>
    <w:rsid w:val="289A8C4F"/>
    <w:rsid w:val="28A7FE72"/>
    <w:rsid w:val="28CC53BB"/>
    <w:rsid w:val="28D4CB17"/>
    <w:rsid w:val="28F41E9C"/>
    <w:rsid w:val="290396F8"/>
    <w:rsid w:val="29059B0C"/>
    <w:rsid w:val="291012D4"/>
    <w:rsid w:val="29254124"/>
    <w:rsid w:val="29270E20"/>
    <w:rsid w:val="29285669"/>
    <w:rsid w:val="2943016B"/>
    <w:rsid w:val="2946BACC"/>
    <w:rsid w:val="295D5A34"/>
    <w:rsid w:val="295E76DB"/>
    <w:rsid w:val="29666778"/>
    <w:rsid w:val="296765F8"/>
    <w:rsid w:val="296ABFB3"/>
    <w:rsid w:val="29788BE2"/>
    <w:rsid w:val="2995E7C2"/>
    <w:rsid w:val="29A21045"/>
    <w:rsid w:val="29A74E48"/>
    <w:rsid w:val="29A95679"/>
    <w:rsid w:val="29B10465"/>
    <w:rsid w:val="29BF823A"/>
    <w:rsid w:val="29C4D56A"/>
    <w:rsid w:val="29D741F9"/>
    <w:rsid w:val="29EED2AA"/>
    <w:rsid w:val="29F33817"/>
    <w:rsid w:val="29F9CCBD"/>
    <w:rsid w:val="2A0B5574"/>
    <w:rsid w:val="2A2A0A1B"/>
    <w:rsid w:val="2A42F2B1"/>
    <w:rsid w:val="2A4544A2"/>
    <w:rsid w:val="2A5819E7"/>
    <w:rsid w:val="2A589E31"/>
    <w:rsid w:val="2A5EE530"/>
    <w:rsid w:val="2A9F6759"/>
    <w:rsid w:val="2AD2A66B"/>
    <w:rsid w:val="2AE9FF99"/>
    <w:rsid w:val="2AFCF61D"/>
    <w:rsid w:val="2B2C103C"/>
    <w:rsid w:val="2B4F78CF"/>
    <w:rsid w:val="2B534C94"/>
    <w:rsid w:val="2B71817D"/>
    <w:rsid w:val="2B72EACE"/>
    <w:rsid w:val="2B7A4404"/>
    <w:rsid w:val="2B8F0878"/>
    <w:rsid w:val="2BAC6FEE"/>
    <w:rsid w:val="2BAF1898"/>
    <w:rsid w:val="2BD29C70"/>
    <w:rsid w:val="2BE70953"/>
    <w:rsid w:val="2BE9091A"/>
    <w:rsid w:val="2BF3EA48"/>
    <w:rsid w:val="2C06DF87"/>
    <w:rsid w:val="2C0C6BD9"/>
    <w:rsid w:val="2C1D5BF5"/>
    <w:rsid w:val="2C1F38C7"/>
    <w:rsid w:val="2C20F550"/>
    <w:rsid w:val="2C37E0E5"/>
    <w:rsid w:val="2C38C6AC"/>
    <w:rsid w:val="2C3CE3D6"/>
    <w:rsid w:val="2C43F7ED"/>
    <w:rsid w:val="2C5437DE"/>
    <w:rsid w:val="2C6898AA"/>
    <w:rsid w:val="2C79E1C6"/>
    <w:rsid w:val="2CBF4704"/>
    <w:rsid w:val="2CC25A91"/>
    <w:rsid w:val="2CC642C0"/>
    <w:rsid w:val="2CD98916"/>
    <w:rsid w:val="2CE899D9"/>
    <w:rsid w:val="2CF28A35"/>
    <w:rsid w:val="2CFDF3F7"/>
    <w:rsid w:val="2D0245A7"/>
    <w:rsid w:val="2D093162"/>
    <w:rsid w:val="2D0D0EC9"/>
    <w:rsid w:val="2D2752B6"/>
    <w:rsid w:val="2D3246FE"/>
    <w:rsid w:val="2D4176C0"/>
    <w:rsid w:val="2D5EE779"/>
    <w:rsid w:val="2D771812"/>
    <w:rsid w:val="2D7B7DE0"/>
    <w:rsid w:val="2D8FBAA9"/>
    <w:rsid w:val="2DAB44B4"/>
    <w:rsid w:val="2DBE6C3F"/>
    <w:rsid w:val="2DC53745"/>
    <w:rsid w:val="2DD254B3"/>
    <w:rsid w:val="2DD4970D"/>
    <w:rsid w:val="2DD8E349"/>
    <w:rsid w:val="2DE383F7"/>
    <w:rsid w:val="2E040E4C"/>
    <w:rsid w:val="2E0A9A11"/>
    <w:rsid w:val="2E0E460A"/>
    <w:rsid w:val="2E15B227"/>
    <w:rsid w:val="2E1A2BEF"/>
    <w:rsid w:val="2E1AACCD"/>
    <w:rsid w:val="2E1C9159"/>
    <w:rsid w:val="2E26E49C"/>
    <w:rsid w:val="2E49149F"/>
    <w:rsid w:val="2E7CC79C"/>
    <w:rsid w:val="2E951831"/>
    <w:rsid w:val="2E9B8B8D"/>
    <w:rsid w:val="2ED00505"/>
    <w:rsid w:val="2ED1DD09"/>
    <w:rsid w:val="2EE1D6DC"/>
    <w:rsid w:val="2EF4EDB3"/>
    <w:rsid w:val="2EFD7B3E"/>
    <w:rsid w:val="2F0A3D32"/>
    <w:rsid w:val="2F17ECA4"/>
    <w:rsid w:val="2F19BD7A"/>
    <w:rsid w:val="2F29BD07"/>
    <w:rsid w:val="2F2B8B0A"/>
    <w:rsid w:val="2F3583FC"/>
    <w:rsid w:val="2F408D1D"/>
    <w:rsid w:val="2F66378E"/>
    <w:rsid w:val="2F6F81A7"/>
    <w:rsid w:val="2F79C068"/>
    <w:rsid w:val="2F86802B"/>
    <w:rsid w:val="2F8D2C99"/>
    <w:rsid w:val="2F96675D"/>
    <w:rsid w:val="2F9E9641"/>
    <w:rsid w:val="2FC12D1D"/>
    <w:rsid w:val="2FD5A8FC"/>
    <w:rsid w:val="3006FDF5"/>
    <w:rsid w:val="30203A9B"/>
    <w:rsid w:val="3040D224"/>
    <w:rsid w:val="3047DD4A"/>
    <w:rsid w:val="307E339A"/>
    <w:rsid w:val="30994B9F"/>
    <w:rsid w:val="309C824B"/>
    <w:rsid w:val="30C100E8"/>
    <w:rsid w:val="30C75B6B"/>
    <w:rsid w:val="30CC7CEF"/>
    <w:rsid w:val="30DE4F04"/>
    <w:rsid w:val="30F15DB9"/>
    <w:rsid w:val="30FA64D0"/>
    <w:rsid w:val="31176910"/>
    <w:rsid w:val="31190901"/>
    <w:rsid w:val="312414CF"/>
    <w:rsid w:val="312E9176"/>
    <w:rsid w:val="31329E69"/>
    <w:rsid w:val="313B5771"/>
    <w:rsid w:val="315FFD9F"/>
    <w:rsid w:val="31892794"/>
    <w:rsid w:val="318D0E92"/>
    <w:rsid w:val="318D6CBA"/>
    <w:rsid w:val="31ACD2FB"/>
    <w:rsid w:val="31C2D1EE"/>
    <w:rsid w:val="31DC8F06"/>
    <w:rsid w:val="32004521"/>
    <w:rsid w:val="321248EC"/>
    <w:rsid w:val="3216B846"/>
    <w:rsid w:val="323BB140"/>
    <w:rsid w:val="32615DC9"/>
    <w:rsid w:val="32867B1A"/>
    <w:rsid w:val="3297928A"/>
    <w:rsid w:val="3298A868"/>
    <w:rsid w:val="3298BCD5"/>
    <w:rsid w:val="32A4F287"/>
    <w:rsid w:val="32A6C957"/>
    <w:rsid w:val="32C7DAA1"/>
    <w:rsid w:val="32D5CD87"/>
    <w:rsid w:val="32ED9D12"/>
    <w:rsid w:val="32FC76A0"/>
    <w:rsid w:val="3331BF20"/>
    <w:rsid w:val="3352B7E8"/>
    <w:rsid w:val="3364C2FD"/>
    <w:rsid w:val="3364D456"/>
    <w:rsid w:val="33A1563A"/>
    <w:rsid w:val="33A21C8B"/>
    <w:rsid w:val="33D96723"/>
    <w:rsid w:val="33FD2E2A"/>
    <w:rsid w:val="34378261"/>
    <w:rsid w:val="34398A77"/>
    <w:rsid w:val="34419637"/>
    <w:rsid w:val="344D09DB"/>
    <w:rsid w:val="344F09D2"/>
    <w:rsid w:val="3483053E"/>
    <w:rsid w:val="34896D73"/>
    <w:rsid w:val="3489B477"/>
    <w:rsid w:val="348D9748"/>
    <w:rsid w:val="34B7B88D"/>
    <w:rsid w:val="34C4AF54"/>
    <w:rsid w:val="34C50C5A"/>
    <w:rsid w:val="34C6C80F"/>
    <w:rsid w:val="34C8B8F8"/>
    <w:rsid w:val="351747CC"/>
    <w:rsid w:val="35259D25"/>
    <w:rsid w:val="3547A5F2"/>
    <w:rsid w:val="35775661"/>
    <w:rsid w:val="358C3A7C"/>
    <w:rsid w:val="35C6C05C"/>
    <w:rsid w:val="35D352C2"/>
    <w:rsid w:val="36253DD4"/>
    <w:rsid w:val="365388EE"/>
    <w:rsid w:val="3674392F"/>
    <w:rsid w:val="3680441E"/>
    <w:rsid w:val="3684D3F8"/>
    <w:rsid w:val="36A9A2CA"/>
    <w:rsid w:val="36ADCE80"/>
    <w:rsid w:val="36AF7657"/>
    <w:rsid w:val="36C46F4D"/>
    <w:rsid w:val="36E39806"/>
    <w:rsid w:val="37033DE3"/>
    <w:rsid w:val="37173DF3"/>
    <w:rsid w:val="37226026"/>
    <w:rsid w:val="37306650"/>
    <w:rsid w:val="3734CEEC"/>
    <w:rsid w:val="374DBA61"/>
    <w:rsid w:val="377936F9"/>
    <w:rsid w:val="3781F191"/>
    <w:rsid w:val="3789C22E"/>
    <w:rsid w:val="378C220D"/>
    <w:rsid w:val="37A20E33"/>
    <w:rsid w:val="37A6A07B"/>
    <w:rsid w:val="37C30BF0"/>
    <w:rsid w:val="37C71AC8"/>
    <w:rsid w:val="37C7FF07"/>
    <w:rsid w:val="37D10FEF"/>
    <w:rsid w:val="37DCB767"/>
    <w:rsid w:val="37EF594F"/>
    <w:rsid w:val="37F36DD1"/>
    <w:rsid w:val="37F7C91A"/>
    <w:rsid w:val="380B0654"/>
    <w:rsid w:val="38334554"/>
    <w:rsid w:val="38384E68"/>
    <w:rsid w:val="383EC796"/>
    <w:rsid w:val="383F6FDD"/>
    <w:rsid w:val="38600AF0"/>
    <w:rsid w:val="38891A24"/>
    <w:rsid w:val="388B8F26"/>
    <w:rsid w:val="38939B7D"/>
    <w:rsid w:val="38998DDD"/>
    <w:rsid w:val="389D0F65"/>
    <w:rsid w:val="38AC7A82"/>
    <w:rsid w:val="38BBA882"/>
    <w:rsid w:val="38BF6D63"/>
    <w:rsid w:val="38D8BF89"/>
    <w:rsid w:val="390FE90E"/>
    <w:rsid w:val="3915075A"/>
    <w:rsid w:val="391749B4"/>
    <w:rsid w:val="392ADDA1"/>
    <w:rsid w:val="395418B1"/>
    <w:rsid w:val="395CEE0C"/>
    <w:rsid w:val="3968BC98"/>
    <w:rsid w:val="397851E1"/>
    <w:rsid w:val="39892AA0"/>
    <w:rsid w:val="398B29B0"/>
    <w:rsid w:val="39CD35B5"/>
    <w:rsid w:val="39D22974"/>
    <w:rsid w:val="39D415DA"/>
    <w:rsid w:val="39D468CD"/>
    <w:rsid w:val="39F1D03A"/>
    <w:rsid w:val="3A14DDE9"/>
    <w:rsid w:val="3A2CC600"/>
    <w:rsid w:val="3A2CC7FF"/>
    <w:rsid w:val="3A2F6BDE"/>
    <w:rsid w:val="3A4EDEB5"/>
    <w:rsid w:val="3A8C1A68"/>
    <w:rsid w:val="3A950E3C"/>
    <w:rsid w:val="3A964914"/>
    <w:rsid w:val="3AB31A15"/>
    <w:rsid w:val="3AB3505F"/>
    <w:rsid w:val="3ACE243C"/>
    <w:rsid w:val="3ADD6A06"/>
    <w:rsid w:val="3AE99BA2"/>
    <w:rsid w:val="3AF8AEF7"/>
    <w:rsid w:val="3B01E2EA"/>
    <w:rsid w:val="3B0BE88A"/>
    <w:rsid w:val="3B2147A9"/>
    <w:rsid w:val="3B2510E7"/>
    <w:rsid w:val="3B35FB0E"/>
    <w:rsid w:val="3B3B3447"/>
    <w:rsid w:val="3B402080"/>
    <w:rsid w:val="3B503314"/>
    <w:rsid w:val="3B63382A"/>
    <w:rsid w:val="3B683D8F"/>
    <w:rsid w:val="3B851D21"/>
    <w:rsid w:val="3B940447"/>
    <w:rsid w:val="3BACE6C4"/>
    <w:rsid w:val="3BB4FC71"/>
    <w:rsid w:val="3BD0C34F"/>
    <w:rsid w:val="3BEAAF16"/>
    <w:rsid w:val="3BF34944"/>
    <w:rsid w:val="3C08400F"/>
    <w:rsid w:val="3C0E40B6"/>
    <w:rsid w:val="3C3E72A5"/>
    <w:rsid w:val="3C55A3F4"/>
    <w:rsid w:val="3C6AE2C5"/>
    <w:rsid w:val="3CA7B8EB"/>
    <w:rsid w:val="3CB88A34"/>
    <w:rsid w:val="3CFF088B"/>
    <w:rsid w:val="3D03613E"/>
    <w:rsid w:val="3D144A97"/>
    <w:rsid w:val="3D18E44E"/>
    <w:rsid w:val="3D278DA1"/>
    <w:rsid w:val="3D28A37E"/>
    <w:rsid w:val="3D2B05B1"/>
    <w:rsid w:val="3D3F2736"/>
    <w:rsid w:val="3D670CA0"/>
    <w:rsid w:val="3D749369"/>
    <w:rsid w:val="3D78794D"/>
    <w:rsid w:val="3DADCBF9"/>
    <w:rsid w:val="3DCCAEFE"/>
    <w:rsid w:val="3DCF5020"/>
    <w:rsid w:val="3E0A531C"/>
    <w:rsid w:val="3E1D1CA4"/>
    <w:rsid w:val="3E63A8D3"/>
    <w:rsid w:val="3E67A4E2"/>
    <w:rsid w:val="3E895E7B"/>
    <w:rsid w:val="3E9FB808"/>
    <w:rsid w:val="3EB91BFC"/>
    <w:rsid w:val="3EC5415D"/>
    <w:rsid w:val="3EEC74E0"/>
    <w:rsid w:val="3EF40E08"/>
    <w:rsid w:val="3F007489"/>
    <w:rsid w:val="3F127472"/>
    <w:rsid w:val="3F2E5CFE"/>
    <w:rsid w:val="3F37F57F"/>
    <w:rsid w:val="3F4F4E82"/>
    <w:rsid w:val="3F687F5F"/>
    <w:rsid w:val="3F6FDF80"/>
    <w:rsid w:val="3F9751B8"/>
    <w:rsid w:val="3F9B49F0"/>
    <w:rsid w:val="3FB06C96"/>
    <w:rsid w:val="3FC4966E"/>
    <w:rsid w:val="3FE27341"/>
    <w:rsid w:val="3FF3BA4C"/>
    <w:rsid w:val="4036A94D"/>
    <w:rsid w:val="403A8F76"/>
    <w:rsid w:val="403B8869"/>
    <w:rsid w:val="4043C48E"/>
    <w:rsid w:val="40491DBC"/>
    <w:rsid w:val="406DE5A7"/>
    <w:rsid w:val="407050D6"/>
    <w:rsid w:val="407CC532"/>
    <w:rsid w:val="408E87EC"/>
    <w:rsid w:val="40B09434"/>
    <w:rsid w:val="40BE2039"/>
    <w:rsid w:val="40DA03B6"/>
    <w:rsid w:val="40E7A626"/>
    <w:rsid w:val="40F531E2"/>
    <w:rsid w:val="40FB85FC"/>
    <w:rsid w:val="4112A4B6"/>
    <w:rsid w:val="412D4B97"/>
    <w:rsid w:val="414C142B"/>
    <w:rsid w:val="41629C23"/>
    <w:rsid w:val="418A09FF"/>
    <w:rsid w:val="41A7F9D4"/>
    <w:rsid w:val="41A968A8"/>
    <w:rsid w:val="41D279AE"/>
    <w:rsid w:val="41D31BA5"/>
    <w:rsid w:val="41DA279A"/>
    <w:rsid w:val="41E31D0D"/>
    <w:rsid w:val="420D009D"/>
    <w:rsid w:val="422A301E"/>
    <w:rsid w:val="424EDD0E"/>
    <w:rsid w:val="426AB811"/>
    <w:rsid w:val="428B360E"/>
    <w:rsid w:val="42C103BB"/>
    <w:rsid w:val="42D83CEF"/>
    <w:rsid w:val="42F177D8"/>
    <w:rsid w:val="430400E9"/>
    <w:rsid w:val="4317E995"/>
    <w:rsid w:val="4347AA8C"/>
    <w:rsid w:val="434DB38D"/>
    <w:rsid w:val="4365DC42"/>
    <w:rsid w:val="4375F7FB"/>
    <w:rsid w:val="439B6428"/>
    <w:rsid w:val="439B9B0C"/>
    <w:rsid w:val="43BD30B6"/>
    <w:rsid w:val="43BE82D5"/>
    <w:rsid w:val="43CE30CA"/>
    <w:rsid w:val="441F7C23"/>
    <w:rsid w:val="44317531"/>
    <w:rsid w:val="44517CB8"/>
    <w:rsid w:val="4453637F"/>
    <w:rsid w:val="4455815D"/>
    <w:rsid w:val="4459FC5B"/>
    <w:rsid w:val="446844D7"/>
    <w:rsid w:val="4470D6CB"/>
    <w:rsid w:val="4475B438"/>
    <w:rsid w:val="447E71A4"/>
    <w:rsid w:val="448A012A"/>
    <w:rsid w:val="44AB3CF7"/>
    <w:rsid w:val="44B3B9F6"/>
    <w:rsid w:val="44C1AAC1"/>
    <w:rsid w:val="44E16EAD"/>
    <w:rsid w:val="44F89FFF"/>
    <w:rsid w:val="44FD0FFA"/>
    <w:rsid w:val="450A1A70"/>
    <w:rsid w:val="4517392F"/>
    <w:rsid w:val="451B6DA0"/>
    <w:rsid w:val="45226B05"/>
    <w:rsid w:val="4534D6B8"/>
    <w:rsid w:val="455D5D9F"/>
    <w:rsid w:val="4562C5C4"/>
    <w:rsid w:val="4591915C"/>
    <w:rsid w:val="45BF1742"/>
    <w:rsid w:val="45C2D6D0"/>
    <w:rsid w:val="45DD2059"/>
    <w:rsid w:val="45E93193"/>
    <w:rsid w:val="45ED1B34"/>
    <w:rsid w:val="45ED449C"/>
    <w:rsid w:val="45F151BE"/>
    <w:rsid w:val="460562C2"/>
    <w:rsid w:val="461DB98C"/>
    <w:rsid w:val="461E27AD"/>
    <w:rsid w:val="46470D58"/>
    <w:rsid w:val="465454E7"/>
    <w:rsid w:val="465D7B22"/>
    <w:rsid w:val="4681D16E"/>
    <w:rsid w:val="46868629"/>
    <w:rsid w:val="4692D27D"/>
    <w:rsid w:val="469826C9"/>
    <w:rsid w:val="46D744A9"/>
    <w:rsid w:val="46F87E9B"/>
    <w:rsid w:val="470348E5"/>
    <w:rsid w:val="471375F6"/>
    <w:rsid w:val="472BD40A"/>
    <w:rsid w:val="4734993A"/>
    <w:rsid w:val="47441BD8"/>
    <w:rsid w:val="476AA68C"/>
    <w:rsid w:val="479BD378"/>
    <w:rsid w:val="47A09F4E"/>
    <w:rsid w:val="47D731FF"/>
    <w:rsid w:val="482E2698"/>
    <w:rsid w:val="485A4150"/>
    <w:rsid w:val="48AE80F7"/>
    <w:rsid w:val="48B1CC95"/>
    <w:rsid w:val="48B6519A"/>
    <w:rsid w:val="48C2CDF1"/>
    <w:rsid w:val="48C3F1B3"/>
    <w:rsid w:val="48DE7BEF"/>
    <w:rsid w:val="48E1883E"/>
    <w:rsid w:val="48F75E90"/>
    <w:rsid w:val="48F7F730"/>
    <w:rsid w:val="48FA7792"/>
    <w:rsid w:val="48FF7A3F"/>
    <w:rsid w:val="491397E9"/>
    <w:rsid w:val="495D0CAB"/>
    <w:rsid w:val="496D7573"/>
    <w:rsid w:val="4972319C"/>
    <w:rsid w:val="49730260"/>
    <w:rsid w:val="49CD547F"/>
    <w:rsid w:val="49CDCEE8"/>
    <w:rsid w:val="49D84A6C"/>
    <w:rsid w:val="49EC9D5D"/>
    <w:rsid w:val="49F0BBC1"/>
    <w:rsid w:val="49FE49A5"/>
    <w:rsid w:val="4A077CCA"/>
    <w:rsid w:val="4A080814"/>
    <w:rsid w:val="4A0D037A"/>
    <w:rsid w:val="4A232802"/>
    <w:rsid w:val="4A263EF5"/>
    <w:rsid w:val="4A35D3A9"/>
    <w:rsid w:val="4A3ECF9A"/>
    <w:rsid w:val="4A4AD94F"/>
    <w:rsid w:val="4A55EEB0"/>
    <w:rsid w:val="4A61F08C"/>
    <w:rsid w:val="4A76D3DE"/>
    <w:rsid w:val="4A861287"/>
    <w:rsid w:val="4A91BF04"/>
    <w:rsid w:val="4A9C1F2F"/>
    <w:rsid w:val="4AA4116A"/>
    <w:rsid w:val="4AA471AE"/>
    <w:rsid w:val="4AA6CEAC"/>
    <w:rsid w:val="4AAD5DD7"/>
    <w:rsid w:val="4AADA98A"/>
    <w:rsid w:val="4AD3743A"/>
    <w:rsid w:val="4B03455D"/>
    <w:rsid w:val="4B566393"/>
    <w:rsid w:val="4B741ACD"/>
    <w:rsid w:val="4B859A80"/>
    <w:rsid w:val="4BAF09B6"/>
    <w:rsid w:val="4BD35DB9"/>
    <w:rsid w:val="4BF2EFB7"/>
    <w:rsid w:val="4BFDABD0"/>
    <w:rsid w:val="4BFDC0ED"/>
    <w:rsid w:val="4C0BC176"/>
    <w:rsid w:val="4C13A368"/>
    <w:rsid w:val="4C5268BE"/>
    <w:rsid w:val="4C52BF04"/>
    <w:rsid w:val="4C6C0075"/>
    <w:rsid w:val="4C762D10"/>
    <w:rsid w:val="4C7D3EBF"/>
    <w:rsid w:val="4C8495F6"/>
    <w:rsid w:val="4C859D09"/>
    <w:rsid w:val="4CAAA322"/>
    <w:rsid w:val="4CBDC8D9"/>
    <w:rsid w:val="4CE35F63"/>
    <w:rsid w:val="4CE633A9"/>
    <w:rsid w:val="4D066732"/>
    <w:rsid w:val="4D086039"/>
    <w:rsid w:val="4D1CFBE2"/>
    <w:rsid w:val="4D2D7CEA"/>
    <w:rsid w:val="4D619F95"/>
    <w:rsid w:val="4D6C5088"/>
    <w:rsid w:val="4DA490C7"/>
    <w:rsid w:val="4DAEBC1E"/>
    <w:rsid w:val="4DB30E5C"/>
    <w:rsid w:val="4DC7EAF6"/>
    <w:rsid w:val="4DC9F8CD"/>
    <w:rsid w:val="4DDDAE9D"/>
    <w:rsid w:val="4DDF755C"/>
    <w:rsid w:val="4DE0652B"/>
    <w:rsid w:val="4DE975C4"/>
    <w:rsid w:val="4DEFA53A"/>
    <w:rsid w:val="4DF1EDB6"/>
    <w:rsid w:val="4E14BDE0"/>
    <w:rsid w:val="4E206D72"/>
    <w:rsid w:val="4E325761"/>
    <w:rsid w:val="4E56EB8A"/>
    <w:rsid w:val="4E59AD16"/>
    <w:rsid w:val="4E610544"/>
    <w:rsid w:val="4E94CED0"/>
    <w:rsid w:val="4E9E49F6"/>
    <w:rsid w:val="4EAE001A"/>
    <w:rsid w:val="4EB14A81"/>
    <w:rsid w:val="4EE3E91C"/>
    <w:rsid w:val="4EE48128"/>
    <w:rsid w:val="4EE83910"/>
    <w:rsid w:val="4EFD6FF6"/>
    <w:rsid w:val="4F01FF1D"/>
    <w:rsid w:val="4F0DDB04"/>
    <w:rsid w:val="4F0E7DF6"/>
    <w:rsid w:val="4F270FA2"/>
    <w:rsid w:val="4F42CA68"/>
    <w:rsid w:val="4F934538"/>
    <w:rsid w:val="4F954F24"/>
    <w:rsid w:val="4FA1BAE2"/>
    <w:rsid w:val="4FB64525"/>
    <w:rsid w:val="4FF39B61"/>
    <w:rsid w:val="4FFC1F64"/>
    <w:rsid w:val="50124BCB"/>
    <w:rsid w:val="50183B9E"/>
    <w:rsid w:val="5031A02E"/>
    <w:rsid w:val="506A62D9"/>
    <w:rsid w:val="5098D11B"/>
    <w:rsid w:val="509FFCBC"/>
    <w:rsid w:val="50A9AB65"/>
    <w:rsid w:val="50BA1AD3"/>
    <w:rsid w:val="50C3057F"/>
    <w:rsid w:val="5116E31F"/>
    <w:rsid w:val="51255F7C"/>
    <w:rsid w:val="512CBAF9"/>
    <w:rsid w:val="51348711"/>
    <w:rsid w:val="51414370"/>
    <w:rsid w:val="5152CFF5"/>
    <w:rsid w:val="515D293F"/>
    <w:rsid w:val="5161A6AE"/>
    <w:rsid w:val="5178B770"/>
    <w:rsid w:val="518E8C4C"/>
    <w:rsid w:val="519181CB"/>
    <w:rsid w:val="51AB2018"/>
    <w:rsid w:val="51B6D581"/>
    <w:rsid w:val="51C5CDA2"/>
    <w:rsid w:val="51C76F37"/>
    <w:rsid w:val="5208020D"/>
    <w:rsid w:val="52135CBD"/>
    <w:rsid w:val="523854D2"/>
    <w:rsid w:val="5255EB34"/>
    <w:rsid w:val="525B94C9"/>
    <w:rsid w:val="525ED5E0"/>
    <w:rsid w:val="527A75F2"/>
    <w:rsid w:val="5295FAF2"/>
    <w:rsid w:val="5298B834"/>
    <w:rsid w:val="52AC8565"/>
    <w:rsid w:val="52BF6F41"/>
    <w:rsid w:val="52D7598D"/>
    <w:rsid w:val="52DD13D1"/>
    <w:rsid w:val="52E8E474"/>
    <w:rsid w:val="52ED03CA"/>
    <w:rsid w:val="52F858DB"/>
    <w:rsid w:val="5313487A"/>
    <w:rsid w:val="531E3569"/>
    <w:rsid w:val="5343EBB0"/>
    <w:rsid w:val="534480B4"/>
    <w:rsid w:val="53780E74"/>
    <w:rsid w:val="538ED48E"/>
    <w:rsid w:val="53A9D441"/>
    <w:rsid w:val="53EC37B2"/>
    <w:rsid w:val="53F33604"/>
    <w:rsid w:val="54222846"/>
    <w:rsid w:val="542DE5A1"/>
    <w:rsid w:val="543C4F6D"/>
    <w:rsid w:val="543D5838"/>
    <w:rsid w:val="54437E5F"/>
    <w:rsid w:val="54562F0D"/>
    <w:rsid w:val="54655212"/>
    <w:rsid w:val="546BB680"/>
    <w:rsid w:val="546D2F5F"/>
    <w:rsid w:val="548E04F0"/>
    <w:rsid w:val="54A1C786"/>
    <w:rsid w:val="54A33C80"/>
    <w:rsid w:val="54B0BD3E"/>
    <w:rsid w:val="54B43016"/>
    <w:rsid w:val="54CCE764"/>
    <w:rsid w:val="55049A54"/>
    <w:rsid w:val="5513DED5"/>
    <w:rsid w:val="5528CDB7"/>
    <w:rsid w:val="553B5BEE"/>
    <w:rsid w:val="5548CBAB"/>
    <w:rsid w:val="556117A2"/>
    <w:rsid w:val="5576C37B"/>
    <w:rsid w:val="5578CF9C"/>
    <w:rsid w:val="557D1C88"/>
    <w:rsid w:val="559924D3"/>
    <w:rsid w:val="55BDA0B3"/>
    <w:rsid w:val="55BDF8A7"/>
    <w:rsid w:val="55CA2692"/>
    <w:rsid w:val="55CC909A"/>
    <w:rsid w:val="55E5B36C"/>
    <w:rsid w:val="55EA04A2"/>
    <w:rsid w:val="55F67AC0"/>
    <w:rsid w:val="563053DE"/>
    <w:rsid w:val="563AA4C0"/>
    <w:rsid w:val="5687B6AB"/>
    <w:rsid w:val="56B5736C"/>
    <w:rsid w:val="56D30DEB"/>
    <w:rsid w:val="56E68B1C"/>
    <w:rsid w:val="56F0626C"/>
    <w:rsid w:val="56FC5601"/>
    <w:rsid w:val="5730D7F5"/>
    <w:rsid w:val="574CB63D"/>
    <w:rsid w:val="576B8AB4"/>
    <w:rsid w:val="576C2957"/>
    <w:rsid w:val="5774F8FA"/>
    <w:rsid w:val="57938881"/>
    <w:rsid w:val="579A2F7E"/>
    <w:rsid w:val="579B3C82"/>
    <w:rsid w:val="57A4BCDA"/>
    <w:rsid w:val="57C564AD"/>
    <w:rsid w:val="57CED097"/>
    <w:rsid w:val="57DA4152"/>
    <w:rsid w:val="57E2DF0B"/>
    <w:rsid w:val="57E584E9"/>
    <w:rsid w:val="57E7F8F4"/>
    <w:rsid w:val="57EE5866"/>
    <w:rsid w:val="580B987A"/>
    <w:rsid w:val="5813FA57"/>
    <w:rsid w:val="584834D5"/>
    <w:rsid w:val="584F6591"/>
    <w:rsid w:val="586ACE14"/>
    <w:rsid w:val="58801923"/>
    <w:rsid w:val="58867CDD"/>
    <w:rsid w:val="5886DB37"/>
    <w:rsid w:val="589935ED"/>
    <w:rsid w:val="589C37DF"/>
    <w:rsid w:val="58AEEA8A"/>
    <w:rsid w:val="58CB641D"/>
    <w:rsid w:val="58CFDDE5"/>
    <w:rsid w:val="59053C76"/>
    <w:rsid w:val="590668D3"/>
    <w:rsid w:val="5910C95B"/>
    <w:rsid w:val="59147312"/>
    <w:rsid w:val="591F75B7"/>
    <w:rsid w:val="593B3AFE"/>
    <w:rsid w:val="593C1957"/>
    <w:rsid w:val="593ED5D3"/>
    <w:rsid w:val="593F164A"/>
    <w:rsid w:val="594C5555"/>
    <w:rsid w:val="5951D9C4"/>
    <w:rsid w:val="59730C1E"/>
    <w:rsid w:val="5981554A"/>
    <w:rsid w:val="598C3883"/>
    <w:rsid w:val="59B560DC"/>
    <w:rsid w:val="59D62203"/>
    <w:rsid w:val="59EB35F2"/>
    <w:rsid w:val="5A017F69"/>
    <w:rsid w:val="5A1096CD"/>
    <w:rsid w:val="5A288A72"/>
    <w:rsid w:val="5A3142EC"/>
    <w:rsid w:val="5A4E30AD"/>
    <w:rsid w:val="5A50D522"/>
    <w:rsid w:val="5A671CDC"/>
    <w:rsid w:val="5A6BAE46"/>
    <w:rsid w:val="5A8B5AF2"/>
    <w:rsid w:val="5AA9DB0C"/>
    <w:rsid w:val="5AB86ECC"/>
    <w:rsid w:val="5AE69A88"/>
    <w:rsid w:val="5B250991"/>
    <w:rsid w:val="5B327D17"/>
    <w:rsid w:val="5B618D2E"/>
    <w:rsid w:val="5B861C6C"/>
    <w:rsid w:val="5B884858"/>
    <w:rsid w:val="5BC4AEF3"/>
    <w:rsid w:val="5BD3D8A1"/>
    <w:rsid w:val="5BDE7188"/>
    <w:rsid w:val="5BE39BB9"/>
    <w:rsid w:val="5C552C51"/>
    <w:rsid w:val="5C7ABDB3"/>
    <w:rsid w:val="5C7BB08C"/>
    <w:rsid w:val="5C861DB1"/>
    <w:rsid w:val="5C96B239"/>
    <w:rsid w:val="5CAE8AE1"/>
    <w:rsid w:val="5CB6502E"/>
    <w:rsid w:val="5CB973AB"/>
    <w:rsid w:val="5CBB40F1"/>
    <w:rsid w:val="5CC001EB"/>
    <w:rsid w:val="5CC14255"/>
    <w:rsid w:val="5CC23976"/>
    <w:rsid w:val="5CCC22C1"/>
    <w:rsid w:val="5CCDC6D3"/>
    <w:rsid w:val="5CD67256"/>
    <w:rsid w:val="5CDBEE05"/>
    <w:rsid w:val="5CDF1BF1"/>
    <w:rsid w:val="5CED7B97"/>
    <w:rsid w:val="5CF5F28C"/>
    <w:rsid w:val="5D277DF2"/>
    <w:rsid w:val="5D37BC16"/>
    <w:rsid w:val="5D3E3F37"/>
    <w:rsid w:val="5D602B34"/>
    <w:rsid w:val="5D6929D8"/>
    <w:rsid w:val="5D82C0E1"/>
    <w:rsid w:val="5D9915B0"/>
    <w:rsid w:val="5D9B6182"/>
    <w:rsid w:val="5DAF378C"/>
    <w:rsid w:val="5DC51DD4"/>
    <w:rsid w:val="5DCB3DDD"/>
    <w:rsid w:val="5DD42413"/>
    <w:rsid w:val="5DEC0F1C"/>
    <w:rsid w:val="5DF826AD"/>
    <w:rsid w:val="5E1B2D15"/>
    <w:rsid w:val="5E4A5B42"/>
    <w:rsid w:val="5EA2510F"/>
    <w:rsid w:val="5ECE0A12"/>
    <w:rsid w:val="5EDA9859"/>
    <w:rsid w:val="5EE4B7D3"/>
    <w:rsid w:val="5EFBD35C"/>
    <w:rsid w:val="5EFD996B"/>
    <w:rsid w:val="5F1DDA54"/>
    <w:rsid w:val="5F3313DB"/>
    <w:rsid w:val="5F69BF0B"/>
    <w:rsid w:val="5F73B410"/>
    <w:rsid w:val="5F795E02"/>
    <w:rsid w:val="5F84FF8A"/>
    <w:rsid w:val="5F86A2D0"/>
    <w:rsid w:val="5F87DF7D"/>
    <w:rsid w:val="5F88FC23"/>
    <w:rsid w:val="5F9040A5"/>
    <w:rsid w:val="5FBA0BAB"/>
    <w:rsid w:val="5FC334B9"/>
    <w:rsid w:val="5FCEABC8"/>
    <w:rsid w:val="5FE866AD"/>
    <w:rsid w:val="5FEDF1B3"/>
    <w:rsid w:val="5FFC7070"/>
    <w:rsid w:val="600C81B2"/>
    <w:rsid w:val="60311F88"/>
    <w:rsid w:val="603A85EB"/>
    <w:rsid w:val="60480317"/>
    <w:rsid w:val="604C6114"/>
    <w:rsid w:val="60507E84"/>
    <w:rsid w:val="607202AB"/>
    <w:rsid w:val="60769A92"/>
    <w:rsid w:val="6079F031"/>
    <w:rsid w:val="607D98D6"/>
    <w:rsid w:val="608904B8"/>
    <w:rsid w:val="6090CDE6"/>
    <w:rsid w:val="60ACC8FA"/>
    <w:rsid w:val="60B751A7"/>
    <w:rsid w:val="60E6D84E"/>
    <w:rsid w:val="60FA9C76"/>
    <w:rsid w:val="612C1106"/>
    <w:rsid w:val="616B1BAD"/>
    <w:rsid w:val="616D5D32"/>
    <w:rsid w:val="616F3D2A"/>
    <w:rsid w:val="6175B2DD"/>
    <w:rsid w:val="618DF02E"/>
    <w:rsid w:val="61CCEFE9"/>
    <w:rsid w:val="61EE5F69"/>
    <w:rsid w:val="61F1CB59"/>
    <w:rsid w:val="61F69B1F"/>
    <w:rsid w:val="6206CE90"/>
    <w:rsid w:val="6208E311"/>
    <w:rsid w:val="621FD3F9"/>
    <w:rsid w:val="628366AB"/>
    <w:rsid w:val="62865140"/>
    <w:rsid w:val="62B6C984"/>
    <w:rsid w:val="62C1B85D"/>
    <w:rsid w:val="62DA426B"/>
    <w:rsid w:val="63092D93"/>
    <w:rsid w:val="63149C8D"/>
    <w:rsid w:val="6328A7EC"/>
    <w:rsid w:val="6329C08F"/>
    <w:rsid w:val="632DBEA0"/>
    <w:rsid w:val="6332072C"/>
    <w:rsid w:val="6367A59A"/>
    <w:rsid w:val="6368D27B"/>
    <w:rsid w:val="63761190"/>
    <w:rsid w:val="638F97D6"/>
    <w:rsid w:val="63931D5B"/>
    <w:rsid w:val="63B35087"/>
    <w:rsid w:val="63D1115C"/>
    <w:rsid w:val="63E010BE"/>
    <w:rsid w:val="63E3A54B"/>
    <w:rsid w:val="63FCC1DB"/>
    <w:rsid w:val="64114754"/>
    <w:rsid w:val="6418B791"/>
    <w:rsid w:val="641954A5"/>
    <w:rsid w:val="642221A1"/>
    <w:rsid w:val="642FBE95"/>
    <w:rsid w:val="6446D870"/>
    <w:rsid w:val="64548BA8"/>
    <w:rsid w:val="64660B45"/>
    <w:rsid w:val="64670F36"/>
    <w:rsid w:val="646D7845"/>
    <w:rsid w:val="646DAFCF"/>
    <w:rsid w:val="64A78230"/>
    <w:rsid w:val="64AF4145"/>
    <w:rsid w:val="64B85C51"/>
    <w:rsid w:val="64C53486"/>
    <w:rsid w:val="64C98F01"/>
    <w:rsid w:val="64CF3EB3"/>
    <w:rsid w:val="64F0A0AF"/>
    <w:rsid w:val="64F4A08D"/>
    <w:rsid w:val="650AC07D"/>
    <w:rsid w:val="65119293"/>
    <w:rsid w:val="652A0FAB"/>
    <w:rsid w:val="654573CE"/>
    <w:rsid w:val="656C40F5"/>
    <w:rsid w:val="659C9804"/>
    <w:rsid w:val="65B37E3A"/>
    <w:rsid w:val="65DE7A0A"/>
    <w:rsid w:val="65EBBB89"/>
    <w:rsid w:val="65F1221C"/>
    <w:rsid w:val="662F590B"/>
    <w:rsid w:val="663B5180"/>
    <w:rsid w:val="66595820"/>
    <w:rsid w:val="666DDAE8"/>
    <w:rsid w:val="667E4A56"/>
    <w:rsid w:val="66C76D2B"/>
    <w:rsid w:val="66D9A110"/>
    <w:rsid w:val="66EBB3D6"/>
    <w:rsid w:val="670B14AA"/>
    <w:rsid w:val="672909E6"/>
    <w:rsid w:val="6735FCA6"/>
    <w:rsid w:val="67764C19"/>
    <w:rsid w:val="68012FC3"/>
    <w:rsid w:val="681194DC"/>
    <w:rsid w:val="6817C2E8"/>
    <w:rsid w:val="682E2B43"/>
    <w:rsid w:val="687D6A51"/>
    <w:rsid w:val="689AF8E4"/>
    <w:rsid w:val="68AA7F62"/>
    <w:rsid w:val="68C1A692"/>
    <w:rsid w:val="68D9D118"/>
    <w:rsid w:val="68DD3BCA"/>
    <w:rsid w:val="68FC402E"/>
    <w:rsid w:val="690C5FBC"/>
    <w:rsid w:val="6927C3C6"/>
    <w:rsid w:val="6934BE15"/>
    <w:rsid w:val="693EA268"/>
    <w:rsid w:val="696C93BA"/>
    <w:rsid w:val="6982B268"/>
    <w:rsid w:val="69990213"/>
    <w:rsid w:val="69A773E8"/>
    <w:rsid w:val="69B127BD"/>
    <w:rsid w:val="69C9FBA4"/>
    <w:rsid w:val="69DE7A95"/>
    <w:rsid w:val="69F2AA93"/>
    <w:rsid w:val="69F735C1"/>
    <w:rsid w:val="6A4BDFE5"/>
    <w:rsid w:val="6A95E0A7"/>
    <w:rsid w:val="6AA3BF11"/>
    <w:rsid w:val="6AB4FE01"/>
    <w:rsid w:val="6AB68A10"/>
    <w:rsid w:val="6AECFD3A"/>
    <w:rsid w:val="6B0E403A"/>
    <w:rsid w:val="6B1379A8"/>
    <w:rsid w:val="6B1AA30D"/>
    <w:rsid w:val="6B434449"/>
    <w:rsid w:val="6B446298"/>
    <w:rsid w:val="6B80D417"/>
    <w:rsid w:val="6B97850B"/>
    <w:rsid w:val="6BA798DF"/>
    <w:rsid w:val="6BB4B552"/>
    <w:rsid w:val="6BD28822"/>
    <w:rsid w:val="6BD502DD"/>
    <w:rsid w:val="6BD7B6E7"/>
    <w:rsid w:val="6BDBBB3D"/>
    <w:rsid w:val="6BDD0FCC"/>
    <w:rsid w:val="6BDEC70D"/>
    <w:rsid w:val="6BF789C8"/>
    <w:rsid w:val="6C0AC17A"/>
    <w:rsid w:val="6C1191E4"/>
    <w:rsid w:val="6C184E19"/>
    <w:rsid w:val="6C1DA271"/>
    <w:rsid w:val="6C217934"/>
    <w:rsid w:val="6C32E60A"/>
    <w:rsid w:val="6C5F805E"/>
    <w:rsid w:val="6C7255E5"/>
    <w:rsid w:val="6C7F6656"/>
    <w:rsid w:val="6C864D52"/>
    <w:rsid w:val="6C88CD9B"/>
    <w:rsid w:val="6CA20767"/>
    <w:rsid w:val="6CAAC19F"/>
    <w:rsid w:val="6CB52FB5"/>
    <w:rsid w:val="6CBC8E01"/>
    <w:rsid w:val="6CCA65BC"/>
    <w:rsid w:val="6CDD1C6C"/>
    <w:rsid w:val="6CDF14AA"/>
    <w:rsid w:val="6CE8C87F"/>
    <w:rsid w:val="6CFD5B11"/>
    <w:rsid w:val="6D02CAC2"/>
    <w:rsid w:val="6D17F614"/>
    <w:rsid w:val="6D1AC4C3"/>
    <w:rsid w:val="6D1DA097"/>
    <w:rsid w:val="6D223639"/>
    <w:rsid w:val="6D24F8CC"/>
    <w:rsid w:val="6D2F0D35"/>
    <w:rsid w:val="6D4F9812"/>
    <w:rsid w:val="6D58D083"/>
    <w:rsid w:val="6D6B5E4D"/>
    <w:rsid w:val="6D74B477"/>
    <w:rsid w:val="6D86FBBC"/>
    <w:rsid w:val="6D905A2B"/>
    <w:rsid w:val="6DB41E7A"/>
    <w:rsid w:val="6DCD9B8B"/>
    <w:rsid w:val="6E099C22"/>
    <w:rsid w:val="6E0CB644"/>
    <w:rsid w:val="6E1863E9"/>
    <w:rsid w:val="6E189C02"/>
    <w:rsid w:val="6E330DCF"/>
    <w:rsid w:val="6E45E0FC"/>
    <w:rsid w:val="6E45EEE0"/>
    <w:rsid w:val="6E537719"/>
    <w:rsid w:val="6E5C236B"/>
    <w:rsid w:val="6E684069"/>
    <w:rsid w:val="6E7AE50B"/>
    <w:rsid w:val="6E810E44"/>
    <w:rsid w:val="6E827253"/>
    <w:rsid w:val="6E8498E0"/>
    <w:rsid w:val="6E9D6CC7"/>
    <w:rsid w:val="6EA05F65"/>
    <w:rsid w:val="6EA667C5"/>
    <w:rsid w:val="6EB78017"/>
    <w:rsid w:val="6ED1BF20"/>
    <w:rsid w:val="6EDDFA6A"/>
    <w:rsid w:val="6EF820E8"/>
    <w:rsid w:val="6EF98A44"/>
    <w:rsid w:val="6F0715CA"/>
    <w:rsid w:val="6F27E63C"/>
    <w:rsid w:val="6F36FFB4"/>
    <w:rsid w:val="6F3E9B22"/>
    <w:rsid w:val="6F41A8A5"/>
    <w:rsid w:val="6F554333"/>
    <w:rsid w:val="6F71CA80"/>
    <w:rsid w:val="6F81AECF"/>
    <w:rsid w:val="6F841EAB"/>
    <w:rsid w:val="6FB70718"/>
    <w:rsid w:val="6FC7196B"/>
    <w:rsid w:val="6FD1208A"/>
    <w:rsid w:val="6FDD2DC5"/>
    <w:rsid w:val="6FE46851"/>
    <w:rsid w:val="6FF23227"/>
    <w:rsid w:val="700DA9CE"/>
    <w:rsid w:val="7025A497"/>
    <w:rsid w:val="702E0A19"/>
    <w:rsid w:val="70327C92"/>
    <w:rsid w:val="7093F149"/>
    <w:rsid w:val="709ED5B7"/>
    <w:rsid w:val="70A54559"/>
    <w:rsid w:val="70AB7EB2"/>
    <w:rsid w:val="70B9C72E"/>
    <w:rsid w:val="70DD3D74"/>
    <w:rsid w:val="70E36B37"/>
    <w:rsid w:val="70EB9CE7"/>
    <w:rsid w:val="70F11394"/>
    <w:rsid w:val="70F94D44"/>
    <w:rsid w:val="7100A72E"/>
    <w:rsid w:val="7104E99E"/>
    <w:rsid w:val="71057599"/>
    <w:rsid w:val="7130691A"/>
    <w:rsid w:val="71311CED"/>
    <w:rsid w:val="71557F2A"/>
    <w:rsid w:val="715A4779"/>
    <w:rsid w:val="71654629"/>
    <w:rsid w:val="718038B2"/>
    <w:rsid w:val="71996CBC"/>
    <w:rsid w:val="71A81209"/>
    <w:rsid w:val="71A870D7"/>
    <w:rsid w:val="71B08D8F"/>
    <w:rsid w:val="71C2DDAD"/>
    <w:rsid w:val="71E313B3"/>
    <w:rsid w:val="71E456E3"/>
    <w:rsid w:val="721AF5F3"/>
    <w:rsid w:val="7226C8A1"/>
    <w:rsid w:val="723C5D80"/>
    <w:rsid w:val="72469A6C"/>
    <w:rsid w:val="726ECE74"/>
    <w:rsid w:val="7286F52B"/>
    <w:rsid w:val="729CEB2C"/>
    <w:rsid w:val="72B4BFF0"/>
    <w:rsid w:val="72D52B0C"/>
    <w:rsid w:val="72EA70C7"/>
    <w:rsid w:val="72F22C01"/>
    <w:rsid w:val="72F78CF0"/>
    <w:rsid w:val="7301168A"/>
    <w:rsid w:val="730E4D95"/>
    <w:rsid w:val="7327EA6F"/>
    <w:rsid w:val="732F948E"/>
    <w:rsid w:val="733640E8"/>
    <w:rsid w:val="734E562E"/>
    <w:rsid w:val="735F8F06"/>
    <w:rsid w:val="736E33CD"/>
    <w:rsid w:val="7370DDEA"/>
    <w:rsid w:val="7373D088"/>
    <w:rsid w:val="73861B91"/>
    <w:rsid w:val="7389CF5C"/>
    <w:rsid w:val="738E90DD"/>
    <w:rsid w:val="739DD4F1"/>
    <w:rsid w:val="73B52C35"/>
    <w:rsid w:val="73C2C2F3"/>
    <w:rsid w:val="73CB920B"/>
    <w:rsid w:val="73F167F0"/>
    <w:rsid w:val="741B0BF9"/>
    <w:rsid w:val="743C8A60"/>
    <w:rsid w:val="74476B5E"/>
    <w:rsid w:val="745506E8"/>
    <w:rsid w:val="74A7658E"/>
    <w:rsid w:val="74CA79E3"/>
    <w:rsid w:val="74EA268F"/>
    <w:rsid w:val="74EBE8DD"/>
    <w:rsid w:val="7506ACE7"/>
    <w:rsid w:val="750CAE4B"/>
    <w:rsid w:val="7519D4F6"/>
    <w:rsid w:val="751BF7A5"/>
    <w:rsid w:val="751C85A2"/>
    <w:rsid w:val="75259FBD"/>
    <w:rsid w:val="75620E2D"/>
    <w:rsid w:val="75777015"/>
    <w:rsid w:val="75C19AD9"/>
    <w:rsid w:val="75D3F50C"/>
    <w:rsid w:val="75DF58F4"/>
    <w:rsid w:val="760BDED3"/>
    <w:rsid w:val="761396E9"/>
    <w:rsid w:val="7646F364"/>
    <w:rsid w:val="768B4B1C"/>
    <w:rsid w:val="76A8B010"/>
    <w:rsid w:val="76A9699F"/>
    <w:rsid w:val="76B381FA"/>
    <w:rsid w:val="76B7C806"/>
    <w:rsid w:val="76E478C8"/>
    <w:rsid w:val="76E916E7"/>
    <w:rsid w:val="76F2390C"/>
    <w:rsid w:val="7724F691"/>
    <w:rsid w:val="772C3440"/>
    <w:rsid w:val="77389D1F"/>
    <w:rsid w:val="773F357F"/>
    <w:rsid w:val="774FFAB6"/>
    <w:rsid w:val="77B749B1"/>
    <w:rsid w:val="77C5C6AA"/>
    <w:rsid w:val="77D817B8"/>
    <w:rsid w:val="77EB2AEC"/>
    <w:rsid w:val="77FC8FFE"/>
    <w:rsid w:val="7801159D"/>
    <w:rsid w:val="781A8CA1"/>
    <w:rsid w:val="781E4516"/>
    <w:rsid w:val="783AEFAE"/>
    <w:rsid w:val="785E74A6"/>
    <w:rsid w:val="78B1B675"/>
    <w:rsid w:val="78B8C208"/>
    <w:rsid w:val="78D0A4A4"/>
    <w:rsid w:val="792E0421"/>
    <w:rsid w:val="794BA7FD"/>
    <w:rsid w:val="797802D0"/>
    <w:rsid w:val="799D49BD"/>
    <w:rsid w:val="79B77338"/>
    <w:rsid w:val="79B9EDE3"/>
    <w:rsid w:val="79BFF721"/>
    <w:rsid w:val="79C05B93"/>
    <w:rsid w:val="79DA66CA"/>
    <w:rsid w:val="79DA6999"/>
    <w:rsid w:val="79F008BF"/>
    <w:rsid w:val="7A347F8D"/>
    <w:rsid w:val="7A3F8073"/>
    <w:rsid w:val="7A6A14FD"/>
    <w:rsid w:val="7AA732F3"/>
    <w:rsid w:val="7AE2C28F"/>
    <w:rsid w:val="7AE5CAC2"/>
    <w:rsid w:val="7AF1021A"/>
    <w:rsid w:val="7AF602D3"/>
    <w:rsid w:val="7AFF8271"/>
    <w:rsid w:val="7B082C60"/>
    <w:rsid w:val="7B0B3BA7"/>
    <w:rsid w:val="7BAD1C31"/>
    <w:rsid w:val="7BC3A65E"/>
    <w:rsid w:val="7BC5AA2F"/>
    <w:rsid w:val="7BCBC226"/>
    <w:rsid w:val="7BDFF8FA"/>
    <w:rsid w:val="7BE19D7A"/>
    <w:rsid w:val="7BF062CA"/>
    <w:rsid w:val="7C1E3415"/>
    <w:rsid w:val="7C3EB931"/>
    <w:rsid w:val="7C568A65"/>
    <w:rsid w:val="7C72AADF"/>
    <w:rsid w:val="7C74F929"/>
    <w:rsid w:val="7C7873CD"/>
    <w:rsid w:val="7C8348BF"/>
    <w:rsid w:val="7C98573F"/>
    <w:rsid w:val="7CAD6138"/>
    <w:rsid w:val="7CCAFB48"/>
    <w:rsid w:val="7CCF442D"/>
    <w:rsid w:val="7CD11482"/>
    <w:rsid w:val="7CDE3325"/>
    <w:rsid w:val="7CE22CDF"/>
    <w:rsid w:val="7D0344AF"/>
    <w:rsid w:val="7D178945"/>
    <w:rsid w:val="7D1A4DC1"/>
    <w:rsid w:val="7D23D832"/>
    <w:rsid w:val="7D3C09DB"/>
    <w:rsid w:val="7D5F76BF"/>
    <w:rsid w:val="7D6F5075"/>
    <w:rsid w:val="7D81AB70"/>
    <w:rsid w:val="7D8B226D"/>
    <w:rsid w:val="7DA2981F"/>
    <w:rsid w:val="7DB95804"/>
    <w:rsid w:val="7DC2F114"/>
    <w:rsid w:val="7DD52547"/>
    <w:rsid w:val="7DDC867F"/>
    <w:rsid w:val="7DF86FBB"/>
    <w:rsid w:val="7E06460D"/>
    <w:rsid w:val="7E0F3FA4"/>
    <w:rsid w:val="7E276D0F"/>
    <w:rsid w:val="7E2844EE"/>
    <w:rsid w:val="7E7D512C"/>
    <w:rsid w:val="7E9F4660"/>
    <w:rsid w:val="7EABFBFA"/>
    <w:rsid w:val="7EC389BA"/>
    <w:rsid w:val="7ED7DA3C"/>
    <w:rsid w:val="7F314C83"/>
    <w:rsid w:val="7F3E6880"/>
    <w:rsid w:val="7F46E1EB"/>
    <w:rsid w:val="7F4D3FF7"/>
    <w:rsid w:val="7F5310B7"/>
    <w:rsid w:val="7F571377"/>
    <w:rsid w:val="7FAD6A6E"/>
    <w:rsid w:val="7FE9B562"/>
    <w:rsid w:val="7FF507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5AFBA"/>
  <w15:chartTrackingRefBased/>
  <w15:docId w15:val="{8256BCBB-7F12-4AE9-894D-6558A5B8E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4423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4423CE"/>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423CE"/>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4423CE"/>
    <w:rPr>
      <w:rFonts w:ascii="Times New Roman" w:eastAsia="Times New Roman" w:hAnsi="Times New Roman" w:cs="Times New Roman"/>
      <w:b/>
      <w:bCs/>
      <w:sz w:val="36"/>
      <w:szCs w:val="36"/>
      <w:lang w:eastAsia="pt-BR"/>
    </w:rPr>
  </w:style>
  <w:style w:type="paragraph" w:customStyle="1" w:styleId="msonormal0">
    <w:name w:val="msonormal"/>
    <w:basedOn w:val="Normal"/>
    <w:rsid w:val="004423C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4423C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423CE"/>
    <w:rPr>
      <w:b/>
      <w:bCs/>
    </w:rPr>
  </w:style>
  <w:style w:type="paragraph" w:customStyle="1" w:styleId="numerado">
    <w:name w:val="numerado"/>
    <w:basedOn w:val="Normal"/>
    <w:rsid w:val="004423C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4423CE"/>
    <w:rPr>
      <w:i/>
      <w:iCs/>
    </w:rPr>
  </w:style>
  <w:style w:type="character" w:styleId="Hyperlink">
    <w:name w:val="Hyperlink"/>
    <w:basedOn w:val="Fontepargpadro"/>
    <w:uiPriority w:val="99"/>
    <w:unhideWhenUsed/>
    <w:rsid w:val="004423CE"/>
    <w:rPr>
      <w:color w:val="0000FF"/>
      <w:u w:val="single"/>
    </w:rPr>
  </w:style>
  <w:style w:type="character" w:styleId="HiperlinkVisitado">
    <w:name w:val="FollowedHyperlink"/>
    <w:basedOn w:val="Fontepargpadro"/>
    <w:uiPriority w:val="99"/>
    <w:semiHidden/>
    <w:unhideWhenUsed/>
    <w:rsid w:val="004423CE"/>
    <w:rPr>
      <w:color w:val="800080"/>
      <w:u w:val="single"/>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pPr>
      <w:ind w:left="720"/>
      <w:contextualSpacing/>
    </w:p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7534A9"/>
    <w:rPr>
      <w:b/>
      <w:bCs/>
    </w:rPr>
  </w:style>
  <w:style w:type="character" w:customStyle="1" w:styleId="AssuntodocomentrioChar">
    <w:name w:val="Assunto do comentário Char"/>
    <w:basedOn w:val="TextodecomentrioChar"/>
    <w:link w:val="Assuntodocomentrio"/>
    <w:uiPriority w:val="99"/>
    <w:semiHidden/>
    <w:rsid w:val="007534A9"/>
    <w:rPr>
      <w:b/>
      <w:bCs/>
      <w:sz w:val="20"/>
      <w:szCs w:val="20"/>
    </w:rPr>
  </w:style>
  <w:style w:type="character" w:customStyle="1" w:styleId="UnresolvedMention">
    <w:name w:val="Unresolved Mention"/>
    <w:basedOn w:val="Fontepargpadro"/>
    <w:uiPriority w:val="99"/>
    <w:semiHidden/>
    <w:unhideWhenUsed/>
    <w:rsid w:val="007534A9"/>
    <w:rPr>
      <w:color w:val="605E5C"/>
      <w:shd w:val="clear" w:color="auto" w:fill="E1DFDD"/>
    </w:rPr>
  </w:style>
  <w:style w:type="paragraph" w:customStyle="1" w:styleId="paragraph">
    <w:name w:val="paragraph"/>
    <w:basedOn w:val="Normal"/>
    <w:rsid w:val="00EE20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EE2020"/>
  </w:style>
  <w:style w:type="character" w:customStyle="1" w:styleId="eop">
    <w:name w:val="eop"/>
    <w:basedOn w:val="Fontepargpadro"/>
    <w:rsid w:val="00EE2020"/>
  </w:style>
  <w:style w:type="paragraph" w:styleId="Reviso">
    <w:name w:val="Revision"/>
    <w:hidden/>
    <w:uiPriority w:val="99"/>
    <w:semiHidden/>
    <w:rsid w:val="006C1E88"/>
    <w:pPr>
      <w:spacing w:after="0" w:line="240" w:lineRule="auto"/>
    </w:pPr>
  </w:style>
  <w:style w:type="character" w:customStyle="1" w:styleId="CabealhoChar">
    <w:name w:val="Cabeçalho Char"/>
    <w:basedOn w:val="Fontepargpadro"/>
    <w:link w:val="Cabealho"/>
    <w:uiPriority w:val="99"/>
    <w:rsid w:val="006E78FA"/>
  </w:style>
  <w:style w:type="paragraph" w:styleId="Cabealho">
    <w:name w:val="header"/>
    <w:basedOn w:val="Normal"/>
    <w:link w:val="CabealhoChar"/>
    <w:uiPriority w:val="99"/>
    <w:unhideWhenUsed/>
    <w:rsid w:val="006E78FA"/>
    <w:pPr>
      <w:tabs>
        <w:tab w:val="center" w:pos="4680"/>
        <w:tab w:val="right" w:pos="9360"/>
      </w:tabs>
      <w:spacing w:after="0" w:line="240" w:lineRule="auto"/>
    </w:pPr>
  </w:style>
  <w:style w:type="character" w:customStyle="1" w:styleId="CabealhoChar1">
    <w:name w:val="Cabeçalho Char1"/>
    <w:basedOn w:val="Fontepargpadro"/>
    <w:uiPriority w:val="99"/>
    <w:semiHidden/>
    <w:rsid w:val="006E78FA"/>
  </w:style>
  <w:style w:type="character" w:customStyle="1" w:styleId="RodapChar">
    <w:name w:val="Rodapé Char"/>
    <w:basedOn w:val="Fontepargpadro"/>
    <w:link w:val="Rodap"/>
    <w:uiPriority w:val="99"/>
    <w:rsid w:val="006E78FA"/>
  </w:style>
  <w:style w:type="paragraph" w:styleId="Rodap">
    <w:name w:val="footer"/>
    <w:basedOn w:val="Normal"/>
    <w:link w:val="RodapChar"/>
    <w:uiPriority w:val="99"/>
    <w:unhideWhenUsed/>
    <w:rsid w:val="006E78FA"/>
    <w:pPr>
      <w:tabs>
        <w:tab w:val="center" w:pos="4680"/>
        <w:tab w:val="right" w:pos="9360"/>
      </w:tabs>
      <w:spacing w:after="0" w:line="240" w:lineRule="auto"/>
    </w:pPr>
  </w:style>
  <w:style w:type="character" w:customStyle="1" w:styleId="RodapChar1">
    <w:name w:val="Rodapé Char1"/>
    <w:basedOn w:val="Fontepargpadro"/>
    <w:uiPriority w:val="99"/>
    <w:semiHidden/>
    <w:rsid w:val="006E7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760309">
      <w:bodyDiv w:val="1"/>
      <w:marLeft w:val="0"/>
      <w:marRight w:val="0"/>
      <w:marTop w:val="0"/>
      <w:marBottom w:val="0"/>
      <w:divBdr>
        <w:top w:val="none" w:sz="0" w:space="0" w:color="auto"/>
        <w:left w:val="none" w:sz="0" w:space="0" w:color="auto"/>
        <w:bottom w:val="none" w:sz="0" w:space="0" w:color="auto"/>
        <w:right w:val="none" w:sz="0" w:space="0" w:color="auto"/>
      </w:divBdr>
      <w:divsChild>
        <w:div w:id="1492330437">
          <w:blockQuote w:val="1"/>
          <w:marLeft w:val="720"/>
          <w:marRight w:val="0"/>
          <w:marTop w:val="0"/>
          <w:marBottom w:val="48"/>
          <w:divBdr>
            <w:top w:val="none" w:sz="0" w:space="0" w:color="auto"/>
            <w:left w:val="none" w:sz="0" w:space="0" w:color="auto"/>
            <w:bottom w:val="none" w:sz="0" w:space="0" w:color="auto"/>
            <w:right w:val="none" w:sz="0" w:space="0" w:color="auto"/>
          </w:divBdr>
        </w:div>
        <w:div w:id="1049845145">
          <w:blockQuote w:val="1"/>
          <w:marLeft w:val="720"/>
          <w:marRight w:val="0"/>
          <w:marTop w:val="0"/>
          <w:marBottom w:val="48"/>
          <w:divBdr>
            <w:top w:val="none" w:sz="0" w:space="0" w:color="auto"/>
            <w:left w:val="none" w:sz="0" w:space="0" w:color="auto"/>
            <w:bottom w:val="none" w:sz="0" w:space="0" w:color="auto"/>
            <w:right w:val="none" w:sz="0" w:space="0" w:color="auto"/>
          </w:divBdr>
        </w:div>
        <w:div w:id="1736468445">
          <w:blockQuote w:val="1"/>
          <w:marLeft w:val="720"/>
          <w:marRight w:val="0"/>
          <w:marTop w:val="0"/>
          <w:marBottom w:val="48"/>
          <w:divBdr>
            <w:top w:val="none" w:sz="0" w:space="0" w:color="auto"/>
            <w:left w:val="none" w:sz="0" w:space="0" w:color="auto"/>
            <w:bottom w:val="none" w:sz="0" w:space="0" w:color="auto"/>
            <w:right w:val="none" w:sz="0" w:space="0" w:color="auto"/>
          </w:divBdr>
        </w:div>
        <w:div w:id="727000787">
          <w:blockQuote w:val="1"/>
          <w:marLeft w:val="720"/>
          <w:marRight w:val="0"/>
          <w:marTop w:val="0"/>
          <w:marBottom w:val="48"/>
          <w:divBdr>
            <w:top w:val="none" w:sz="0" w:space="0" w:color="auto"/>
            <w:left w:val="none" w:sz="0" w:space="0" w:color="auto"/>
            <w:bottom w:val="none" w:sz="0" w:space="0" w:color="auto"/>
            <w:right w:val="none" w:sz="0" w:space="0" w:color="auto"/>
          </w:divBdr>
        </w:div>
        <w:div w:id="9733664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95443682">
      <w:bodyDiv w:val="1"/>
      <w:marLeft w:val="0"/>
      <w:marRight w:val="0"/>
      <w:marTop w:val="0"/>
      <w:marBottom w:val="0"/>
      <w:divBdr>
        <w:top w:val="none" w:sz="0" w:space="0" w:color="auto"/>
        <w:left w:val="none" w:sz="0" w:space="0" w:color="auto"/>
        <w:bottom w:val="none" w:sz="0" w:space="0" w:color="auto"/>
        <w:right w:val="none" w:sz="0" w:space="0" w:color="auto"/>
      </w:divBdr>
      <w:divsChild>
        <w:div w:id="2037730311">
          <w:blockQuote w:val="1"/>
          <w:marLeft w:val="720"/>
          <w:marRight w:val="0"/>
          <w:marTop w:val="0"/>
          <w:marBottom w:val="48"/>
          <w:divBdr>
            <w:top w:val="none" w:sz="0" w:space="0" w:color="auto"/>
            <w:left w:val="none" w:sz="0" w:space="0" w:color="auto"/>
            <w:bottom w:val="none" w:sz="0" w:space="0" w:color="auto"/>
            <w:right w:val="none" w:sz="0" w:space="0" w:color="auto"/>
          </w:divBdr>
        </w:div>
        <w:div w:id="634064890">
          <w:blockQuote w:val="1"/>
          <w:marLeft w:val="720"/>
          <w:marRight w:val="0"/>
          <w:marTop w:val="0"/>
          <w:marBottom w:val="48"/>
          <w:divBdr>
            <w:top w:val="none" w:sz="0" w:space="0" w:color="auto"/>
            <w:left w:val="none" w:sz="0" w:space="0" w:color="auto"/>
            <w:bottom w:val="none" w:sz="0" w:space="0" w:color="auto"/>
            <w:right w:val="none" w:sz="0" w:space="0" w:color="auto"/>
          </w:divBdr>
        </w:div>
        <w:div w:id="117188746">
          <w:marLeft w:val="0"/>
          <w:marRight w:val="0"/>
          <w:marTop w:val="0"/>
          <w:marBottom w:val="0"/>
          <w:divBdr>
            <w:top w:val="none" w:sz="0" w:space="0" w:color="auto"/>
            <w:left w:val="none" w:sz="0" w:space="0" w:color="auto"/>
            <w:bottom w:val="none" w:sz="0" w:space="0" w:color="auto"/>
            <w:right w:val="none" w:sz="0" w:space="0" w:color="auto"/>
          </w:divBdr>
        </w:div>
        <w:div w:id="1315910328">
          <w:blockQuote w:val="1"/>
          <w:marLeft w:val="720"/>
          <w:marRight w:val="0"/>
          <w:marTop w:val="0"/>
          <w:marBottom w:val="48"/>
          <w:divBdr>
            <w:top w:val="none" w:sz="0" w:space="0" w:color="auto"/>
            <w:left w:val="none" w:sz="0" w:space="0" w:color="auto"/>
            <w:bottom w:val="none" w:sz="0" w:space="0" w:color="auto"/>
            <w:right w:val="none" w:sz="0" w:space="0" w:color="auto"/>
          </w:divBdr>
        </w:div>
        <w:div w:id="1187210073">
          <w:blockQuote w:val="1"/>
          <w:marLeft w:val="720"/>
          <w:marRight w:val="0"/>
          <w:marTop w:val="0"/>
          <w:marBottom w:val="48"/>
          <w:divBdr>
            <w:top w:val="none" w:sz="0" w:space="0" w:color="auto"/>
            <w:left w:val="none" w:sz="0" w:space="0" w:color="auto"/>
            <w:bottom w:val="none" w:sz="0" w:space="0" w:color="auto"/>
            <w:right w:val="none" w:sz="0" w:space="0" w:color="auto"/>
          </w:divBdr>
        </w:div>
        <w:div w:id="1959100244">
          <w:blockQuote w:val="1"/>
          <w:marLeft w:val="720"/>
          <w:marRight w:val="0"/>
          <w:marTop w:val="0"/>
          <w:marBottom w:val="48"/>
          <w:divBdr>
            <w:top w:val="none" w:sz="0" w:space="0" w:color="auto"/>
            <w:left w:val="none" w:sz="0" w:space="0" w:color="auto"/>
            <w:bottom w:val="none" w:sz="0" w:space="0" w:color="auto"/>
            <w:right w:val="none" w:sz="0" w:space="0" w:color="auto"/>
          </w:divBdr>
        </w:div>
        <w:div w:id="1798600003">
          <w:blockQuote w:val="1"/>
          <w:marLeft w:val="720"/>
          <w:marRight w:val="0"/>
          <w:marTop w:val="0"/>
          <w:marBottom w:val="48"/>
          <w:divBdr>
            <w:top w:val="none" w:sz="0" w:space="0" w:color="auto"/>
            <w:left w:val="none" w:sz="0" w:space="0" w:color="auto"/>
            <w:bottom w:val="none" w:sz="0" w:space="0" w:color="auto"/>
            <w:right w:val="none" w:sz="0" w:space="0" w:color="auto"/>
          </w:divBdr>
        </w:div>
        <w:div w:id="1156528599">
          <w:blockQuote w:val="1"/>
          <w:marLeft w:val="720"/>
          <w:marRight w:val="0"/>
          <w:marTop w:val="0"/>
          <w:marBottom w:val="48"/>
          <w:divBdr>
            <w:top w:val="none" w:sz="0" w:space="0" w:color="auto"/>
            <w:left w:val="none" w:sz="0" w:space="0" w:color="auto"/>
            <w:bottom w:val="none" w:sz="0" w:space="0" w:color="auto"/>
            <w:right w:val="none" w:sz="0" w:space="0" w:color="auto"/>
          </w:divBdr>
        </w:div>
        <w:div w:id="1710185643">
          <w:blockQuote w:val="1"/>
          <w:marLeft w:val="720"/>
          <w:marRight w:val="0"/>
          <w:marTop w:val="0"/>
          <w:marBottom w:val="48"/>
          <w:divBdr>
            <w:top w:val="none" w:sz="0" w:space="0" w:color="auto"/>
            <w:left w:val="none" w:sz="0" w:space="0" w:color="auto"/>
            <w:bottom w:val="none" w:sz="0" w:space="0" w:color="auto"/>
            <w:right w:val="none" w:sz="0" w:space="0" w:color="auto"/>
          </w:divBdr>
        </w:div>
        <w:div w:id="734663822">
          <w:blockQuote w:val="1"/>
          <w:marLeft w:val="720"/>
          <w:marRight w:val="0"/>
          <w:marTop w:val="0"/>
          <w:marBottom w:val="48"/>
          <w:divBdr>
            <w:top w:val="none" w:sz="0" w:space="0" w:color="auto"/>
            <w:left w:val="none" w:sz="0" w:space="0" w:color="auto"/>
            <w:bottom w:val="none" w:sz="0" w:space="0" w:color="auto"/>
            <w:right w:val="none" w:sz="0" w:space="0" w:color="auto"/>
          </w:divBdr>
        </w:div>
        <w:div w:id="671420832">
          <w:blockQuote w:val="1"/>
          <w:marLeft w:val="720"/>
          <w:marRight w:val="0"/>
          <w:marTop w:val="0"/>
          <w:marBottom w:val="48"/>
          <w:divBdr>
            <w:top w:val="none" w:sz="0" w:space="0" w:color="auto"/>
            <w:left w:val="none" w:sz="0" w:space="0" w:color="auto"/>
            <w:bottom w:val="none" w:sz="0" w:space="0" w:color="auto"/>
            <w:right w:val="none" w:sz="0" w:space="0" w:color="auto"/>
          </w:divBdr>
        </w:div>
        <w:div w:id="953750632">
          <w:blockQuote w:val="1"/>
          <w:marLeft w:val="720"/>
          <w:marRight w:val="0"/>
          <w:marTop w:val="0"/>
          <w:marBottom w:val="48"/>
          <w:divBdr>
            <w:top w:val="none" w:sz="0" w:space="0" w:color="auto"/>
            <w:left w:val="none" w:sz="0" w:space="0" w:color="auto"/>
            <w:bottom w:val="none" w:sz="0" w:space="0" w:color="auto"/>
            <w:right w:val="none" w:sz="0" w:space="0" w:color="auto"/>
          </w:divBdr>
        </w:div>
        <w:div w:id="1964186538">
          <w:blockQuote w:val="1"/>
          <w:marLeft w:val="720"/>
          <w:marRight w:val="0"/>
          <w:marTop w:val="0"/>
          <w:marBottom w:val="48"/>
          <w:divBdr>
            <w:top w:val="none" w:sz="0" w:space="0" w:color="auto"/>
            <w:left w:val="none" w:sz="0" w:space="0" w:color="auto"/>
            <w:bottom w:val="none" w:sz="0" w:space="0" w:color="auto"/>
            <w:right w:val="none" w:sz="0" w:space="0" w:color="auto"/>
          </w:divBdr>
        </w:div>
        <w:div w:id="1423182919">
          <w:blockQuote w:val="1"/>
          <w:marLeft w:val="720"/>
          <w:marRight w:val="0"/>
          <w:marTop w:val="0"/>
          <w:marBottom w:val="48"/>
          <w:divBdr>
            <w:top w:val="none" w:sz="0" w:space="0" w:color="auto"/>
            <w:left w:val="none" w:sz="0" w:space="0" w:color="auto"/>
            <w:bottom w:val="none" w:sz="0" w:space="0" w:color="auto"/>
            <w:right w:val="none" w:sz="0" w:space="0" w:color="auto"/>
          </w:divBdr>
        </w:div>
        <w:div w:id="125895438">
          <w:blockQuote w:val="1"/>
          <w:marLeft w:val="720"/>
          <w:marRight w:val="0"/>
          <w:marTop w:val="0"/>
          <w:marBottom w:val="48"/>
          <w:divBdr>
            <w:top w:val="none" w:sz="0" w:space="0" w:color="auto"/>
            <w:left w:val="none" w:sz="0" w:space="0" w:color="auto"/>
            <w:bottom w:val="none" w:sz="0" w:space="0" w:color="auto"/>
            <w:right w:val="none" w:sz="0" w:space="0" w:color="auto"/>
          </w:divBdr>
        </w:div>
        <w:div w:id="1195844661">
          <w:blockQuote w:val="1"/>
          <w:marLeft w:val="720"/>
          <w:marRight w:val="0"/>
          <w:marTop w:val="0"/>
          <w:marBottom w:val="48"/>
          <w:divBdr>
            <w:top w:val="none" w:sz="0" w:space="0" w:color="auto"/>
            <w:left w:val="none" w:sz="0" w:space="0" w:color="auto"/>
            <w:bottom w:val="none" w:sz="0" w:space="0" w:color="auto"/>
            <w:right w:val="none" w:sz="0" w:space="0" w:color="auto"/>
          </w:divBdr>
        </w:div>
        <w:div w:id="355430597">
          <w:blockQuote w:val="1"/>
          <w:marLeft w:val="720"/>
          <w:marRight w:val="0"/>
          <w:marTop w:val="0"/>
          <w:marBottom w:val="48"/>
          <w:divBdr>
            <w:top w:val="none" w:sz="0" w:space="0" w:color="auto"/>
            <w:left w:val="none" w:sz="0" w:space="0" w:color="auto"/>
            <w:bottom w:val="none" w:sz="0" w:space="0" w:color="auto"/>
            <w:right w:val="none" w:sz="0" w:space="0" w:color="auto"/>
          </w:divBdr>
        </w:div>
        <w:div w:id="1367218506">
          <w:blockQuote w:val="1"/>
          <w:marLeft w:val="720"/>
          <w:marRight w:val="0"/>
          <w:marTop w:val="0"/>
          <w:marBottom w:val="48"/>
          <w:divBdr>
            <w:top w:val="none" w:sz="0" w:space="0" w:color="auto"/>
            <w:left w:val="none" w:sz="0" w:space="0" w:color="auto"/>
            <w:bottom w:val="none" w:sz="0" w:space="0" w:color="auto"/>
            <w:right w:val="none" w:sz="0" w:space="0" w:color="auto"/>
          </w:divBdr>
        </w:div>
        <w:div w:id="1177189804">
          <w:blockQuote w:val="1"/>
          <w:marLeft w:val="720"/>
          <w:marRight w:val="0"/>
          <w:marTop w:val="0"/>
          <w:marBottom w:val="48"/>
          <w:divBdr>
            <w:top w:val="none" w:sz="0" w:space="0" w:color="auto"/>
            <w:left w:val="none" w:sz="0" w:space="0" w:color="auto"/>
            <w:bottom w:val="none" w:sz="0" w:space="0" w:color="auto"/>
            <w:right w:val="none" w:sz="0" w:space="0" w:color="auto"/>
          </w:divBdr>
        </w:div>
        <w:div w:id="1506553039">
          <w:blockQuote w:val="1"/>
          <w:marLeft w:val="720"/>
          <w:marRight w:val="0"/>
          <w:marTop w:val="0"/>
          <w:marBottom w:val="48"/>
          <w:divBdr>
            <w:top w:val="none" w:sz="0" w:space="0" w:color="auto"/>
            <w:left w:val="none" w:sz="0" w:space="0" w:color="auto"/>
            <w:bottom w:val="none" w:sz="0" w:space="0" w:color="auto"/>
            <w:right w:val="none" w:sz="0" w:space="0" w:color="auto"/>
          </w:divBdr>
        </w:div>
        <w:div w:id="220019468">
          <w:blockQuote w:val="1"/>
          <w:marLeft w:val="720"/>
          <w:marRight w:val="0"/>
          <w:marTop w:val="0"/>
          <w:marBottom w:val="48"/>
          <w:divBdr>
            <w:top w:val="none" w:sz="0" w:space="0" w:color="auto"/>
            <w:left w:val="none" w:sz="0" w:space="0" w:color="auto"/>
            <w:bottom w:val="none" w:sz="0" w:space="0" w:color="auto"/>
            <w:right w:val="none" w:sz="0" w:space="0" w:color="auto"/>
          </w:divBdr>
        </w:div>
        <w:div w:id="1654992729">
          <w:blockQuote w:val="1"/>
          <w:marLeft w:val="720"/>
          <w:marRight w:val="0"/>
          <w:marTop w:val="0"/>
          <w:marBottom w:val="48"/>
          <w:divBdr>
            <w:top w:val="none" w:sz="0" w:space="0" w:color="auto"/>
            <w:left w:val="none" w:sz="0" w:space="0" w:color="auto"/>
            <w:bottom w:val="none" w:sz="0" w:space="0" w:color="auto"/>
            <w:right w:val="none" w:sz="0" w:space="0" w:color="auto"/>
          </w:divBdr>
        </w:div>
        <w:div w:id="2076271943">
          <w:blockQuote w:val="1"/>
          <w:marLeft w:val="720"/>
          <w:marRight w:val="0"/>
          <w:marTop w:val="0"/>
          <w:marBottom w:val="48"/>
          <w:divBdr>
            <w:top w:val="none" w:sz="0" w:space="0" w:color="auto"/>
            <w:left w:val="none" w:sz="0" w:space="0" w:color="auto"/>
            <w:bottom w:val="none" w:sz="0" w:space="0" w:color="auto"/>
            <w:right w:val="none" w:sz="0" w:space="0" w:color="auto"/>
          </w:divBdr>
        </w:div>
        <w:div w:id="1774592497">
          <w:blockQuote w:val="1"/>
          <w:marLeft w:val="720"/>
          <w:marRight w:val="0"/>
          <w:marTop w:val="0"/>
          <w:marBottom w:val="48"/>
          <w:divBdr>
            <w:top w:val="none" w:sz="0" w:space="0" w:color="auto"/>
            <w:left w:val="none" w:sz="0" w:space="0" w:color="auto"/>
            <w:bottom w:val="none" w:sz="0" w:space="0" w:color="auto"/>
            <w:right w:val="none" w:sz="0" w:space="0" w:color="auto"/>
          </w:divBdr>
        </w:div>
        <w:div w:id="662322515">
          <w:marLeft w:val="0"/>
          <w:marRight w:val="0"/>
          <w:marTop w:val="0"/>
          <w:marBottom w:val="0"/>
          <w:divBdr>
            <w:top w:val="none" w:sz="0" w:space="0" w:color="auto"/>
            <w:left w:val="none" w:sz="0" w:space="0" w:color="auto"/>
            <w:bottom w:val="none" w:sz="0" w:space="0" w:color="auto"/>
            <w:right w:val="none" w:sz="0" w:space="0" w:color="auto"/>
          </w:divBdr>
        </w:div>
        <w:div w:id="1752199414">
          <w:marLeft w:val="0"/>
          <w:marRight w:val="0"/>
          <w:marTop w:val="0"/>
          <w:marBottom w:val="0"/>
          <w:divBdr>
            <w:top w:val="none" w:sz="0" w:space="0" w:color="auto"/>
            <w:left w:val="none" w:sz="0" w:space="0" w:color="auto"/>
            <w:bottom w:val="none" w:sz="0" w:space="0" w:color="auto"/>
            <w:right w:val="none" w:sz="0" w:space="0" w:color="auto"/>
          </w:divBdr>
          <w:divsChild>
            <w:div w:id="682367778">
              <w:marLeft w:val="0"/>
              <w:marRight w:val="0"/>
              <w:marTop w:val="0"/>
              <w:marBottom w:val="0"/>
              <w:divBdr>
                <w:top w:val="none" w:sz="0" w:space="0" w:color="auto"/>
                <w:left w:val="none" w:sz="0" w:space="0" w:color="auto"/>
                <w:bottom w:val="none" w:sz="0" w:space="0" w:color="auto"/>
                <w:right w:val="none" w:sz="0" w:space="0" w:color="auto"/>
              </w:divBdr>
            </w:div>
            <w:div w:id="1717701115">
              <w:marLeft w:val="0"/>
              <w:marRight w:val="0"/>
              <w:marTop w:val="0"/>
              <w:marBottom w:val="0"/>
              <w:divBdr>
                <w:top w:val="none" w:sz="0" w:space="0" w:color="auto"/>
                <w:left w:val="none" w:sz="0" w:space="0" w:color="auto"/>
                <w:bottom w:val="none" w:sz="0" w:space="0" w:color="auto"/>
                <w:right w:val="none" w:sz="0" w:space="0" w:color="auto"/>
              </w:divBdr>
            </w:div>
          </w:divsChild>
        </w:div>
        <w:div w:id="644286233">
          <w:marLeft w:val="0"/>
          <w:marRight w:val="0"/>
          <w:marTop w:val="0"/>
          <w:marBottom w:val="0"/>
          <w:divBdr>
            <w:top w:val="none" w:sz="0" w:space="0" w:color="auto"/>
            <w:left w:val="none" w:sz="0" w:space="0" w:color="auto"/>
            <w:bottom w:val="none" w:sz="0" w:space="0" w:color="auto"/>
            <w:right w:val="none" w:sz="0" w:space="0" w:color="auto"/>
          </w:divBdr>
        </w:div>
        <w:div w:id="346054815">
          <w:marLeft w:val="0"/>
          <w:marRight w:val="0"/>
          <w:marTop w:val="0"/>
          <w:marBottom w:val="0"/>
          <w:divBdr>
            <w:top w:val="none" w:sz="0" w:space="0" w:color="auto"/>
            <w:left w:val="none" w:sz="0" w:space="0" w:color="auto"/>
            <w:bottom w:val="none" w:sz="0" w:space="0" w:color="auto"/>
            <w:right w:val="none" w:sz="0" w:space="0" w:color="auto"/>
          </w:divBdr>
        </w:div>
        <w:div w:id="1286692205">
          <w:marLeft w:val="0"/>
          <w:marRight w:val="0"/>
          <w:marTop w:val="0"/>
          <w:marBottom w:val="0"/>
          <w:divBdr>
            <w:top w:val="none" w:sz="0" w:space="0" w:color="auto"/>
            <w:left w:val="none" w:sz="0" w:space="0" w:color="auto"/>
            <w:bottom w:val="none" w:sz="0" w:space="0" w:color="auto"/>
            <w:right w:val="none" w:sz="0" w:space="0" w:color="auto"/>
          </w:divBdr>
        </w:div>
        <w:div w:id="687297630">
          <w:marLeft w:val="0"/>
          <w:marRight w:val="0"/>
          <w:marTop w:val="0"/>
          <w:marBottom w:val="0"/>
          <w:divBdr>
            <w:top w:val="none" w:sz="0" w:space="0" w:color="auto"/>
            <w:left w:val="none" w:sz="0" w:space="0" w:color="auto"/>
            <w:bottom w:val="none" w:sz="0" w:space="0" w:color="auto"/>
            <w:right w:val="none" w:sz="0" w:space="0" w:color="auto"/>
          </w:divBdr>
        </w:div>
        <w:div w:id="1184976510">
          <w:blockQuote w:val="1"/>
          <w:marLeft w:val="720"/>
          <w:marRight w:val="0"/>
          <w:marTop w:val="0"/>
          <w:marBottom w:val="48"/>
          <w:divBdr>
            <w:top w:val="none" w:sz="0" w:space="0" w:color="auto"/>
            <w:left w:val="none" w:sz="0" w:space="0" w:color="auto"/>
            <w:bottom w:val="none" w:sz="0" w:space="0" w:color="auto"/>
            <w:right w:val="none" w:sz="0" w:space="0" w:color="auto"/>
          </w:divBdr>
        </w:div>
        <w:div w:id="1186292236">
          <w:blockQuote w:val="1"/>
          <w:marLeft w:val="720"/>
          <w:marRight w:val="0"/>
          <w:marTop w:val="0"/>
          <w:marBottom w:val="48"/>
          <w:divBdr>
            <w:top w:val="none" w:sz="0" w:space="0" w:color="auto"/>
            <w:left w:val="none" w:sz="0" w:space="0" w:color="auto"/>
            <w:bottom w:val="none" w:sz="0" w:space="0" w:color="auto"/>
            <w:right w:val="none" w:sz="0" w:space="0" w:color="auto"/>
          </w:divBdr>
        </w:div>
        <w:div w:id="2138840688">
          <w:blockQuote w:val="1"/>
          <w:marLeft w:val="720"/>
          <w:marRight w:val="0"/>
          <w:marTop w:val="0"/>
          <w:marBottom w:val="48"/>
          <w:divBdr>
            <w:top w:val="none" w:sz="0" w:space="0" w:color="auto"/>
            <w:left w:val="none" w:sz="0" w:space="0" w:color="auto"/>
            <w:bottom w:val="none" w:sz="0" w:space="0" w:color="auto"/>
            <w:right w:val="none" w:sz="0" w:space="0" w:color="auto"/>
          </w:divBdr>
        </w:div>
        <w:div w:id="1085155267">
          <w:blockQuote w:val="1"/>
          <w:marLeft w:val="720"/>
          <w:marRight w:val="0"/>
          <w:marTop w:val="0"/>
          <w:marBottom w:val="48"/>
          <w:divBdr>
            <w:top w:val="none" w:sz="0" w:space="0" w:color="auto"/>
            <w:left w:val="none" w:sz="0" w:space="0" w:color="auto"/>
            <w:bottom w:val="none" w:sz="0" w:space="0" w:color="auto"/>
            <w:right w:val="none" w:sz="0" w:space="0" w:color="auto"/>
          </w:divBdr>
        </w:div>
        <w:div w:id="2038114347">
          <w:blockQuote w:val="1"/>
          <w:marLeft w:val="720"/>
          <w:marRight w:val="0"/>
          <w:marTop w:val="0"/>
          <w:marBottom w:val="48"/>
          <w:divBdr>
            <w:top w:val="none" w:sz="0" w:space="0" w:color="auto"/>
            <w:left w:val="none" w:sz="0" w:space="0" w:color="auto"/>
            <w:bottom w:val="none" w:sz="0" w:space="0" w:color="auto"/>
            <w:right w:val="none" w:sz="0" w:space="0" w:color="auto"/>
          </w:divBdr>
        </w:div>
        <w:div w:id="509107695">
          <w:blockQuote w:val="1"/>
          <w:marLeft w:val="720"/>
          <w:marRight w:val="0"/>
          <w:marTop w:val="0"/>
          <w:marBottom w:val="48"/>
          <w:divBdr>
            <w:top w:val="none" w:sz="0" w:space="0" w:color="auto"/>
            <w:left w:val="none" w:sz="0" w:space="0" w:color="auto"/>
            <w:bottom w:val="none" w:sz="0" w:space="0" w:color="auto"/>
            <w:right w:val="none" w:sz="0" w:space="0" w:color="auto"/>
          </w:divBdr>
        </w:div>
        <w:div w:id="1226648505">
          <w:blockQuote w:val="1"/>
          <w:marLeft w:val="720"/>
          <w:marRight w:val="0"/>
          <w:marTop w:val="0"/>
          <w:marBottom w:val="48"/>
          <w:divBdr>
            <w:top w:val="none" w:sz="0" w:space="0" w:color="auto"/>
            <w:left w:val="none" w:sz="0" w:space="0" w:color="auto"/>
            <w:bottom w:val="none" w:sz="0" w:space="0" w:color="auto"/>
            <w:right w:val="none" w:sz="0" w:space="0" w:color="auto"/>
          </w:divBdr>
        </w:div>
        <w:div w:id="2049792090">
          <w:blockQuote w:val="1"/>
          <w:marLeft w:val="720"/>
          <w:marRight w:val="0"/>
          <w:marTop w:val="0"/>
          <w:marBottom w:val="48"/>
          <w:divBdr>
            <w:top w:val="none" w:sz="0" w:space="0" w:color="auto"/>
            <w:left w:val="none" w:sz="0" w:space="0" w:color="auto"/>
            <w:bottom w:val="none" w:sz="0" w:space="0" w:color="auto"/>
            <w:right w:val="none" w:sz="0" w:space="0" w:color="auto"/>
          </w:divBdr>
        </w:div>
        <w:div w:id="169374234">
          <w:blockQuote w:val="1"/>
          <w:marLeft w:val="720"/>
          <w:marRight w:val="0"/>
          <w:marTop w:val="0"/>
          <w:marBottom w:val="48"/>
          <w:divBdr>
            <w:top w:val="none" w:sz="0" w:space="0" w:color="auto"/>
            <w:left w:val="none" w:sz="0" w:space="0" w:color="auto"/>
            <w:bottom w:val="none" w:sz="0" w:space="0" w:color="auto"/>
            <w:right w:val="none" w:sz="0" w:space="0" w:color="auto"/>
          </w:divBdr>
        </w:div>
        <w:div w:id="2014066775">
          <w:blockQuote w:val="1"/>
          <w:marLeft w:val="720"/>
          <w:marRight w:val="0"/>
          <w:marTop w:val="0"/>
          <w:marBottom w:val="48"/>
          <w:divBdr>
            <w:top w:val="none" w:sz="0" w:space="0" w:color="auto"/>
            <w:left w:val="none" w:sz="0" w:space="0" w:color="auto"/>
            <w:bottom w:val="none" w:sz="0" w:space="0" w:color="auto"/>
            <w:right w:val="none" w:sz="0" w:space="0" w:color="auto"/>
          </w:divBdr>
        </w:div>
        <w:div w:id="1978140446">
          <w:blockQuote w:val="1"/>
          <w:marLeft w:val="720"/>
          <w:marRight w:val="0"/>
          <w:marTop w:val="0"/>
          <w:marBottom w:val="48"/>
          <w:divBdr>
            <w:top w:val="none" w:sz="0" w:space="0" w:color="auto"/>
            <w:left w:val="none" w:sz="0" w:space="0" w:color="auto"/>
            <w:bottom w:val="none" w:sz="0" w:space="0" w:color="auto"/>
            <w:right w:val="none" w:sz="0" w:space="0" w:color="auto"/>
          </w:divBdr>
        </w:div>
        <w:div w:id="386804275">
          <w:blockQuote w:val="1"/>
          <w:marLeft w:val="720"/>
          <w:marRight w:val="0"/>
          <w:marTop w:val="0"/>
          <w:marBottom w:val="48"/>
          <w:divBdr>
            <w:top w:val="none" w:sz="0" w:space="0" w:color="auto"/>
            <w:left w:val="none" w:sz="0" w:space="0" w:color="auto"/>
            <w:bottom w:val="none" w:sz="0" w:space="0" w:color="auto"/>
            <w:right w:val="none" w:sz="0" w:space="0" w:color="auto"/>
          </w:divBdr>
        </w:div>
        <w:div w:id="2019916388">
          <w:blockQuote w:val="1"/>
          <w:marLeft w:val="720"/>
          <w:marRight w:val="0"/>
          <w:marTop w:val="0"/>
          <w:marBottom w:val="48"/>
          <w:divBdr>
            <w:top w:val="none" w:sz="0" w:space="0" w:color="auto"/>
            <w:left w:val="none" w:sz="0" w:space="0" w:color="auto"/>
            <w:bottom w:val="none" w:sz="0" w:space="0" w:color="auto"/>
            <w:right w:val="none" w:sz="0" w:space="0" w:color="auto"/>
          </w:divBdr>
        </w:div>
        <w:div w:id="2108310108">
          <w:blockQuote w:val="1"/>
          <w:marLeft w:val="720"/>
          <w:marRight w:val="0"/>
          <w:marTop w:val="0"/>
          <w:marBottom w:val="48"/>
          <w:divBdr>
            <w:top w:val="none" w:sz="0" w:space="0" w:color="auto"/>
            <w:left w:val="none" w:sz="0" w:space="0" w:color="auto"/>
            <w:bottom w:val="none" w:sz="0" w:space="0" w:color="auto"/>
            <w:right w:val="none" w:sz="0" w:space="0" w:color="auto"/>
          </w:divBdr>
        </w:div>
        <w:div w:id="1543324483">
          <w:blockQuote w:val="1"/>
          <w:marLeft w:val="720"/>
          <w:marRight w:val="0"/>
          <w:marTop w:val="0"/>
          <w:marBottom w:val="48"/>
          <w:divBdr>
            <w:top w:val="none" w:sz="0" w:space="0" w:color="auto"/>
            <w:left w:val="none" w:sz="0" w:space="0" w:color="auto"/>
            <w:bottom w:val="none" w:sz="0" w:space="0" w:color="auto"/>
            <w:right w:val="none" w:sz="0" w:space="0" w:color="auto"/>
          </w:divBdr>
        </w:div>
        <w:div w:id="1905289315">
          <w:blockQuote w:val="1"/>
          <w:marLeft w:val="720"/>
          <w:marRight w:val="0"/>
          <w:marTop w:val="0"/>
          <w:marBottom w:val="48"/>
          <w:divBdr>
            <w:top w:val="none" w:sz="0" w:space="0" w:color="auto"/>
            <w:left w:val="none" w:sz="0" w:space="0" w:color="auto"/>
            <w:bottom w:val="none" w:sz="0" w:space="0" w:color="auto"/>
            <w:right w:val="none" w:sz="0" w:space="0" w:color="auto"/>
          </w:divBdr>
        </w:div>
        <w:div w:id="1176113726">
          <w:blockQuote w:val="1"/>
          <w:marLeft w:val="720"/>
          <w:marRight w:val="0"/>
          <w:marTop w:val="0"/>
          <w:marBottom w:val="48"/>
          <w:divBdr>
            <w:top w:val="none" w:sz="0" w:space="0" w:color="auto"/>
            <w:left w:val="none" w:sz="0" w:space="0" w:color="auto"/>
            <w:bottom w:val="none" w:sz="0" w:space="0" w:color="auto"/>
            <w:right w:val="none" w:sz="0" w:space="0" w:color="auto"/>
          </w:divBdr>
        </w:div>
        <w:div w:id="1820540261">
          <w:blockQuote w:val="1"/>
          <w:marLeft w:val="720"/>
          <w:marRight w:val="0"/>
          <w:marTop w:val="0"/>
          <w:marBottom w:val="48"/>
          <w:divBdr>
            <w:top w:val="none" w:sz="0" w:space="0" w:color="auto"/>
            <w:left w:val="none" w:sz="0" w:space="0" w:color="auto"/>
            <w:bottom w:val="none" w:sz="0" w:space="0" w:color="auto"/>
            <w:right w:val="none" w:sz="0" w:space="0" w:color="auto"/>
          </w:divBdr>
        </w:div>
        <w:div w:id="2013213138">
          <w:blockQuote w:val="1"/>
          <w:marLeft w:val="720"/>
          <w:marRight w:val="0"/>
          <w:marTop w:val="0"/>
          <w:marBottom w:val="48"/>
          <w:divBdr>
            <w:top w:val="none" w:sz="0" w:space="0" w:color="auto"/>
            <w:left w:val="none" w:sz="0" w:space="0" w:color="auto"/>
            <w:bottom w:val="none" w:sz="0" w:space="0" w:color="auto"/>
            <w:right w:val="none" w:sz="0" w:space="0" w:color="auto"/>
          </w:divBdr>
        </w:div>
        <w:div w:id="1436706242">
          <w:blockQuote w:val="1"/>
          <w:marLeft w:val="720"/>
          <w:marRight w:val="0"/>
          <w:marTop w:val="0"/>
          <w:marBottom w:val="48"/>
          <w:divBdr>
            <w:top w:val="none" w:sz="0" w:space="0" w:color="auto"/>
            <w:left w:val="none" w:sz="0" w:space="0" w:color="auto"/>
            <w:bottom w:val="none" w:sz="0" w:space="0" w:color="auto"/>
            <w:right w:val="none" w:sz="0" w:space="0" w:color="auto"/>
          </w:divBdr>
        </w:div>
        <w:div w:id="1584487827">
          <w:blockQuote w:val="1"/>
          <w:marLeft w:val="720"/>
          <w:marRight w:val="0"/>
          <w:marTop w:val="0"/>
          <w:marBottom w:val="48"/>
          <w:divBdr>
            <w:top w:val="none" w:sz="0" w:space="0" w:color="auto"/>
            <w:left w:val="none" w:sz="0" w:space="0" w:color="auto"/>
            <w:bottom w:val="none" w:sz="0" w:space="0" w:color="auto"/>
            <w:right w:val="none" w:sz="0" w:space="0" w:color="auto"/>
          </w:divBdr>
        </w:div>
        <w:div w:id="1988626341">
          <w:blockQuote w:val="1"/>
          <w:marLeft w:val="720"/>
          <w:marRight w:val="0"/>
          <w:marTop w:val="0"/>
          <w:marBottom w:val="48"/>
          <w:divBdr>
            <w:top w:val="none" w:sz="0" w:space="0" w:color="auto"/>
            <w:left w:val="none" w:sz="0" w:space="0" w:color="auto"/>
            <w:bottom w:val="none" w:sz="0" w:space="0" w:color="auto"/>
            <w:right w:val="none" w:sz="0" w:space="0" w:color="auto"/>
          </w:divBdr>
        </w:div>
        <w:div w:id="1068069676">
          <w:blockQuote w:val="1"/>
          <w:marLeft w:val="720"/>
          <w:marRight w:val="0"/>
          <w:marTop w:val="0"/>
          <w:marBottom w:val="48"/>
          <w:divBdr>
            <w:top w:val="none" w:sz="0" w:space="0" w:color="auto"/>
            <w:left w:val="none" w:sz="0" w:space="0" w:color="auto"/>
            <w:bottom w:val="none" w:sz="0" w:space="0" w:color="auto"/>
            <w:right w:val="none" w:sz="0" w:space="0" w:color="auto"/>
          </w:divBdr>
        </w:div>
        <w:div w:id="2055155">
          <w:blockQuote w:val="1"/>
          <w:marLeft w:val="720"/>
          <w:marRight w:val="0"/>
          <w:marTop w:val="0"/>
          <w:marBottom w:val="48"/>
          <w:divBdr>
            <w:top w:val="none" w:sz="0" w:space="0" w:color="auto"/>
            <w:left w:val="none" w:sz="0" w:space="0" w:color="auto"/>
            <w:bottom w:val="none" w:sz="0" w:space="0" w:color="auto"/>
            <w:right w:val="none" w:sz="0" w:space="0" w:color="auto"/>
          </w:divBdr>
        </w:div>
        <w:div w:id="353307481">
          <w:blockQuote w:val="1"/>
          <w:marLeft w:val="720"/>
          <w:marRight w:val="0"/>
          <w:marTop w:val="0"/>
          <w:marBottom w:val="48"/>
          <w:divBdr>
            <w:top w:val="none" w:sz="0" w:space="0" w:color="auto"/>
            <w:left w:val="none" w:sz="0" w:space="0" w:color="auto"/>
            <w:bottom w:val="none" w:sz="0" w:space="0" w:color="auto"/>
            <w:right w:val="none" w:sz="0" w:space="0" w:color="auto"/>
          </w:divBdr>
        </w:div>
        <w:div w:id="1930457902">
          <w:blockQuote w:val="1"/>
          <w:marLeft w:val="720"/>
          <w:marRight w:val="0"/>
          <w:marTop w:val="0"/>
          <w:marBottom w:val="48"/>
          <w:divBdr>
            <w:top w:val="none" w:sz="0" w:space="0" w:color="auto"/>
            <w:left w:val="none" w:sz="0" w:space="0" w:color="auto"/>
            <w:bottom w:val="none" w:sz="0" w:space="0" w:color="auto"/>
            <w:right w:val="none" w:sz="0" w:space="0" w:color="auto"/>
          </w:divBdr>
        </w:div>
        <w:div w:id="1352030636">
          <w:blockQuote w:val="1"/>
          <w:marLeft w:val="720"/>
          <w:marRight w:val="0"/>
          <w:marTop w:val="0"/>
          <w:marBottom w:val="48"/>
          <w:divBdr>
            <w:top w:val="none" w:sz="0" w:space="0" w:color="auto"/>
            <w:left w:val="none" w:sz="0" w:space="0" w:color="auto"/>
            <w:bottom w:val="none" w:sz="0" w:space="0" w:color="auto"/>
            <w:right w:val="none" w:sz="0" w:space="0" w:color="auto"/>
          </w:divBdr>
        </w:div>
        <w:div w:id="1326545637">
          <w:blockQuote w:val="1"/>
          <w:marLeft w:val="720"/>
          <w:marRight w:val="0"/>
          <w:marTop w:val="0"/>
          <w:marBottom w:val="48"/>
          <w:divBdr>
            <w:top w:val="none" w:sz="0" w:space="0" w:color="auto"/>
            <w:left w:val="none" w:sz="0" w:space="0" w:color="auto"/>
            <w:bottom w:val="none" w:sz="0" w:space="0" w:color="auto"/>
            <w:right w:val="none" w:sz="0" w:space="0" w:color="auto"/>
          </w:divBdr>
        </w:div>
        <w:div w:id="1216355779">
          <w:blockQuote w:val="1"/>
          <w:marLeft w:val="720"/>
          <w:marRight w:val="0"/>
          <w:marTop w:val="0"/>
          <w:marBottom w:val="48"/>
          <w:divBdr>
            <w:top w:val="none" w:sz="0" w:space="0" w:color="auto"/>
            <w:left w:val="none" w:sz="0" w:space="0" w:color="auto"/>
            <w:bottom w:val="none" w:sz="0" w:space="0" w:color="auto"/>
            <w:right w:val="none" w:sz="0" w:space="0" w:color="auto"/>
          </w:divBdr>
        </w:div>
        <w:div w:id="1098717952">
          <w:blockQuote w:val="1"/>
          <w:marLeft w:val="720"/>
          <w:marRight w:val="0"/>
          <w:marTop w:val="0"/>
          <w:marBottom w:val="48"/>
          <w:divBdr>
            <w:top w:val="none" w:sz="0" w:space="0" w:color="auto"/>
            <w:left w:val="none" w:sz="0" w:space="0" w:color="auto"/>
            <w:bottom w:val="none" w:sz="0" w:space="0" w:color="auto"/>
            <w:right w:val="none" w:sz="0" w:space="0" w:color="auto"/>
          </w:divBdr>
        </w:div>
        <w:div w:id="1339115276">
          <w:blockQuote w:val="1"/>
          <w:marLeft w:val="720"/>
          <w:marRight w:val="0"/>
          <w:marTop w:val="0"/>
          <w:marBottom w:val="48"/>
          <w:divBdr>
            <w:top w:val="none" w:sz="0" w:space="0" w:color="auto"/>
            <w:left w:val="none" w:sz="0" w:space="0" w:color="auto"/>
            <w:bottom w:val="none" w:sz="0" w:space="0" w:color="auto"/>
            <w:right w:val="none" w:sz="0" w:space="0" w:color="auto"/>
          </w:divBdr>
        </w:div>
        <w:div w:id="156462257">
          <w:marLeft w:val="0"/>
          <w:marRight w:val="0"/>
          <w:marTop w:val="0"/>
          <w:marBottom w:val="0"/>
          <w:divBdr>
            <w:top w:val="none" w:sz="0" w:space="0" w:color="auto"/>
            <w:left w:val="none" w:sz="0" w:space="0" w:color="auto"/>
            <w:bottom w:val="none" w:sz="0" w:space="0" w:color="auto"/>
            <w:right w:val="none" w:sz="0" w:space="0" w:color="auto"/>
          </w:divBdr>
        </w:div>
        <w:div w:id="1564439399">
          <w:marLeft w:val="0"/>
          <w:marRight w:val="0"/>
          <w:marTop w:val="0"/>
          <w:marBottom w:val="0"/>
          <w:divBdr>
            <w:top w:val="none" w:sz="0" w:space="0" w:color="auto"/>
            <w:left w:val="none" w:sz="0" w:space="0" w:color="auto"/>
            <w:bottom w:val="none" w:sz="0" w:space="0" w:color="auto"/>
            <w:right w:val="none" w:sz="0" w:space="0" w:color="auto"/>
          </w:divBdr>
        </w:div>
        <w:div w:id="559829168">
          <w:marLeft w:val="0"/>
          <w:marRight w:val="0"/>
          <w:marTop w:val="0"/>
          <w:marBottom w:val="0"/>
          <w:divBdr>
            <w:top w:val="none" w:sz="0" w:space="0" w:color="auto"/>
            <w:left w:val="none" w:sz="0" w:space="0" w:color="auto"/>
            <w:bottom w:val="none" w:sz="0" w:space="0" w:color="auto"/>
            <w:right w:val="none" w:sz="0" w:space="0" w:color="auto"/>
          </w:divBdr>
        </w:div>
        <w:div w:id="1040937422">
          <w:marLeft w:val="0"/>
          <w:marRight w:val="0"/>
          <w:marTop w:val="0"/>
          <w:marBottom w:val="0"/>
          <w:divBdr>
            <w:top w:val="none" w:sz="0" w:space="0" w:color="auto"/>
            <w:left w:val="none" w:sz="0" w:space="0" w:color="auto"/>
            <w:bottom w:val="none" w:sz="0" w:space="0" w:color="auto"/>
            <w:right w:val="none" w:sz="0" w:space="0" w:color="auto"/>
          </w:divBdr>
        </w:div>
        <w:div w:id="444274685">
          <w:blockQuote w:val="1"/>
          <w:marLeft w:val="720"/>
          <w:marRight w:val="0"/>
          <w:marTop w:val="0"/>
          <w:marBottom w:val="48"/>
          <w:divBdr>
            <w:top w:val="none" w:sz="0" w:space="0" w:color="auto"/>
            <w:left w:val="none" w:sz="0" w:space="0" w:color="auto"/>
            <w:bottom w:val="none" w:sz="0" w:space="0" w:color="auto"/>
            <w:right w:val="none" w:sz="0" w:space="0" w:color="auto"/>
          </w:divBdr>
        </w:div>
        <w:div w:id="1689798135">
          <w:blockQuote w:val="1"/>
          <w:marLeft w:val="720"/>
          <w:marRight w:val="0"/>
          <w:marTop w:val="0"/>
          <w:marBottom w:val="48"/>
          <w:divBdr>
            <w:top w:val="none" w:sz="0" w:space="0" w:color="auto"/>
            <w:left w:val="none" w:sz="0" w:space="0" w:color="auto"/>
            <w:bottom w:val="none" w:sz="0" w:space="0" w:color="auto"/>
            <w:right w:val="none" w:sz="0" w:space="0" w:color="auto"/>
          </w:divBdr>
        </w:div>
        <w:div w:id="1067415162">
          <w:blockQuote w:val="1"/>
          <w:marLeft w:val="720"/>
          <w:marRight w:val="0"/>
          <w:marTop w:val="0"/>
          <w:marBottom w:val="48"/>
          <w:divBdr>
            <w:top w:val="none" w:sz="0" w:space="0" w:color="auto"/>
            <w:left w:val="none" w:sz="0" w:space="0" w:color="auto"/>
            <w:bottom w:val="none" w:sz="0" w:space="0" w:color="auto"/>
            <w:right w:val="none" w:sz="0" w:space="0" w:color="auto"/>
          </w:divBdr>
        </w:div>
        <w:div w:id="1049954851">
          <w:blockQuote w:val="1"/>
          <w:marLeft w:val="720"/>
          <w:marRight w:val="0"/>
          <w:marTop w:val="0"/>
          <w:marBottom w:val="48"/>
          <w:divBdr>
            <w:top w:val="none" w:sz="0" w:space="0" w:color="auto"/>
            <w:left w:val="none" w:sz="0" w:space="0" w:color="auto"/>
            <w:bottom w:val="none" w:sz="0" w:space="0" w:color="auto"/>
            <w:right w:val="none" w:sz="0" w:space="0" w:color="auto"/>
          </w:divBdr>
        </w:div>
        <w:div w:id="1855150912">
          <w:blockQuote w:val="1"/>
          <w:marLeft w:val="720"/>
          <w:marRight w:val="0"/>
          <w:marTop w:val="0"/>
          <w:marBottom w:val="48"/>
          <w:divBdr>
            <w:top w:val="none" w:sz="0" w:space="0" w:color="auto"/>
            <w:left w:val="none" w:sz="0" w:space="0" w:color="auto"/>
            <w:bottom w:val="none" w:sz="0" w:space="0" w:color="auto"/>
            <w:right w:val="none" w:sz="0" w:space="0" w:color="auto"/>
          </w:divBdr>
        </w:div>
        <w:div w:id="1364987812">
          <w:blockQuote w:val="1"/>
          <w:marLeft w:val="720"/>
          <w:marRight w:val="0"/>
          <w:marTop w:val="0"/>
          <w:marBottom w:val="48"/>
          <w:divBdr>
            <w:top w:val="none" w:sz="0" w:space="0" w:color="auto"/>
            <w:left w:val="none" w:sz="0" w:space="0" w:color="auto"/>
            <w:bottom w:val="none" w:sz="0" w:space="0" w:color="auto"/>
            <w:right w:val="none" w:sz="0" w:space="0" w:color="auto"/>
          </w:divBdr>
        </w:div>
        <w:div w:id="563641589">
          <w:blockQuote w:val="1"/>
          <w:marLeft w:val="720"/>
          <w:marRight w:val="0"/>
          <w:marTop w:val="0"/>
          <w:marBottom w:val="48"/>
          <w:divBdr>
            <w:top w:val="none" w:sz="0" w:space="0" w:color="auto"/>
            <w:left w:val="none" w:sz="0" w:space="0" w:color="auto"/>
            <w:bottom w:val="none" w:sz="0" w:space="0" w:color="auto"/>
            <w:right w:val="none" w:sz="0" w:space="0" w:color="auto"/>
          </w:divBdr>
        </w:div>
        <w:div w:id="1778139745">
          <w:blockQuote w:val="1"/>
          <w:marLeft w:val="720"/>
          <w:marRight w:val="0"/>
          <w:marTop w:val="0"/>
          <w:marBottom w:val="48"/>
          <w:divBdr>
            <w:top w:val="none" w:sz="0" w:space="0" w:color="auto"/>
            <w:left w:val="none" w:sz="0" w:space="0" w:color="auto"/>
            <w:bottom w:val="none" w:sz="0" w:space="0" w:color="auto"/>
            <w:right w:val="none" w:sz="0" w:space="0" w:color="auto"/>
          </w:divBdr>
        </w:div>
        <w:div w:id="1119296275">
          <w:marLeft w:val="0"/>
          <w:marRight w:val="0"/>
          <w:marTop w:val="0"/>
          <w:marBottom w:val="0"/>
          <w:divBdr>
            <w:top w:val="none" w:sz="0" w:space="0" w:color="auto"/>
            <w:left w:val="none" w:sz="0" w:space="0" w:color="auto"/>
            <w:bottom w:val="none" w:sz="0" w:space="0" w:color="auto"/>
            <w:right w:val="none" w:sz="0" w:space="0" w:color="auto"/>
          </w:divBdr>
          <w:divsChild>
            <w:div w:id="1160997036">
              <w:marLeft w:val="0"/>
              <w:marRight w:val="0"/>
              <w:marTop w:val="0"/>
              <w:marBottom w:val="0"/>
              <w:divBdr>
                <w:top w:val="none" w:sz="0" w:space="0" w:color="auto"/>
                <w:left w:val="none" w:sz="0" w:space="0" w:color="auto"/>
                <w:bottom w:val="none" w:sz="0" w:space="0" w:color="auto"/>
                <w:right w:val="none" w:sz="0" w:space="0" w:color="auto"/>
              </w:divBdr>
            </w:div>
          </w:divsChild>
        </w:div>
        <w:div w:id="1089697532">
          <w:blockQuote w:val="1"/>
          <w:marLeft w:val="720"/>
          <w:marRight w:val="0"/>
          <w:marTop w:val="0"/>
          <w:marBottom w:val="48"/>
          <w:divBdr>
            <w:top w:val="none" w:sz="0" w:space="0" w:color="auto"/>
            <w:left w:val="none" w:sz="0" w:space="0" w:color="auto"/>
            <w:bottom w:val="none" w:sz="0" w:space="0" w:color="auto"/>
            <w:right w:val="none" w:sz="0" w:space="0" w:color="auto"/>
          </w:divBdr>
        </w:div>
        <w:div w:id="1540700935">
          <w:blockQuote w:val="1"/>
          <w:marLeft w:val="720"/>
          <w:marRight w:val="0"/>
          <w:marTop w:val="0"/>
          <w:marBottom w:val="48"/>
          <w:divBdr>
            <w:top w:val="none" w:sz="0" w:space="0" w:color="auto"/>
            <w:left w:val="none" w:sz="0" w:space="0" w:color="auto"/>
            <w:bottom w:val="none" w:sz="0" w:space="0" w:color="auto"/>
            <w:right w:val="none" w:sz="0" w:space="0" w:color="auto"/>
          </w:divBdr>
        </w:div>
        <w:div w:id="130026362">
          <w:blockQuote w:val="1"/>
          <w:marLeft w:val="720"/>
          <w:marRight w:val="0"/>
          <w:marTop w:val="0"/>
          <w:marBottom w:val="48"/>
          <w:divBdr>
            <w:top w:val="none" w:sz="0" w:space="0" w:color="auto"/>
            <w:left w:val="none" w:sz="0" w:space="0" w:color="auto"/>
            <w:bottom w:val="none" w:sz="0" w:space="0" w:color="auto"/>
            <w:right w:val="none" w:sz="0" w:space="0" w:color="auto"/>
          </w:divBdr>
        </w:div>
        <w:div w:id="1550603360">
          <w:blockQuote w:val="1"/>
          <w:marLeft w:val="720"/>
          <w:marRight w:val="0"/>
          <w:marTop w:val="0"/>
          <w:marBottom w:val="48"/>
          <w:divBdr>
            <w:top w:val="none" w:sz="0" w:space="0" w:color="auto"/>
            <w:left w:val="none" w:sz="0" w:space="0" w:color="auto"/>
            <w:bottom w:val="none" w:sz="0" w:space="0" w:color="auto"/>
            <w:right w:val="none" w:sz="0" w:space="0" w:color="auto"/>
          </w:divBdr>
        </w:div>
        <w:div w:id="402265174">
          <w:blockQuote w:val="1"/>
          <w:marLeft w:val="720"/>
          <w:marRight w:val="0"/>
          <w:marTop w:val="0"/>
          <w:marBottom w:val="48"/>
          <w:divBdr>
            <w:top w:val="none" w:sz="0" w:space="0" w:color="auto"/>
            <w:left w:val="none" w:sz="0" w:space="0" w:color="auto"/>
            <w:bottom w:val="none" w:sz="0" w:space="0" w:color="auto"/>
            <w:right w:val="none" w:sz="0" w:space="0" w:color="auto"/>
          </w:divBdr>
        </w:div>
        <w:div w:id="1092051328">
          <w:blockQuote w:val="1"/>
          <w:marLeft w:val="720"/>
          <w:marRight w:val="0"/>
          <w:marTop w:val="0"/>
          <w:marBottom w:val="48"/>
          <w:divBdr>
            <w:top w:val="none" w:sz="0" w:space="0" w:color="auto"/>
            <w:left w:val="none" w:sz="0" w:space="0" w:color="auto"/>
            <w:bottom w:val="none" w:sz="0" w:space="0" w:color="auto"/>
            <w:right w:val="none" w:sz="0" w:space="0" w:color="auto"/>
          </w:divBdr>
        </w:div>
        <w:div w:id="23485004">
          <w:marLeft w:val="0"/>
          <w:marRight w:val="0"/>
          <w:marTop w:val="0"/>
          <w:marBottom w:val="0"/>
          <w:divBdr>
            <w:top w:val="none" w:sz="0" w:space="0" w:color="auto"/>
            <w:left w:val="none" w:sz="0" w:space="0" w:color="auto"/>
            <w:bottom w:val="none" w:sz="0" w:space="0" w:color="auto"/>
            <w:right w:val="none" w:sz="0" w:space="0" w:color="auto"/>
          </w:divBdr>
        </w:div>
        <w:div w:id="779224052">
          <w:blockQuote w:val="1"/>
          <w:marLeft w:val="720"/>
          <w:marRight w:val="0"/>
          <w:marTop w:val="0"/>
          <w:marBottom w:val="48"/>
          <w:divBdr>
            <w:top w:val="none" w:sz="0" w:space="0" w:color="auto"/>
            <w:left w:val="none" w:sz="0" w:space="0" w:color="auto"/>
            <w:bottom w:val="none" w:sz="0" w:space="0" w:color="auto"/>
            <w:right w:val="none" w:sz="0" w:space="0" w:color="auto"/>
          </w:divBdr>
        </w:div>
        <w:div w:id="858399469">
          <w:blockQuote w:val="1"/>
          <w:marLeft w:val="720"/>
          <w:marRight w:val="0"/>
          <w:marTop w:val="0"/>
          <w:marBottom w:val="48"/>
          <w:divBdr>
            <w:top w:val="none" w:sz="0" w:space="0" w:color="auto"/>
            <w:left w:val="none" w:sz="0" w:space="0" w:color="auto"/>
            <w:bottom w:val="none" w:sz="0" w:space="0" w:color="auto"/>
            <w:right w:val="none" w:sz="0" w:space="0" w:color="auto"/>
          </w:divBdr>
        </w:div>
        <w:div w:id="1892186006">
          <w:blockQuote w:val="1"/>
          <w:marLeft w:val="720"/>
          <w:marRight w:val="0"/>
          <w:marTop w:val="0"/>
          <w:marBottom w:val="48"/>
          <w:divBdr>
            <w:top w:val="none" w:sz="0" w:space="0" w:color="auto"/>
            <w:left w:val="none" w:sz="0" w:space="0" w:color="auto"/>
            <w:bottom w:val="none" w:sz="0" w:space="0" w:color="auto"/>
            <w:right w:val="none" w:sz="0" w:space="0" w:color="auto"/>
          </w:divBdr>
        </w:div>
        <w:div w:id="1905140189">
          <w:blockQuote w:val="1"/>
          <w:marLeft w:val="720"/>
          <w:marRight w:val="0"/>
          <w:marTop w:val="0"/>
          <w:marBottom w:val="48"/>
          <w:divBdr>
            <w:top w:val="none" w:sz="0" w:space="0" w:color="auto"/>
            <w:left w:val="none" w:sz="0" w:space="0" w:color="auto"/>
            <w:bottom w:val="none" w:sz="0" w:space="0" w:color="auto"/>
            <w:right w:val="none" w:sz="0" w:space="0" w:color="auto"/>
          </w:divBdr>
        </w:div>
        <w:div w:id="890313461">
          <w:blockQuote w:val="1"/>
          <w:marLeft w:val="720"/>
          <w:marRight w:val="0"/>
          <w:marTop w:val="0"/>
          <w:marBottom w:val="48"/>
          <w:divBdr>
            <w:top w:val="none" w:sz="0" w:space="0" w:color="auto"/>
            <w:left w:val="none" w:sz="0" w:space="0" w:color="auto"/>
            <w:bottom w:val="none" w:sz="0" w:space="0" w:color="auto"/>
            <w:right w:val="none" w:sz="0" w:space="0" w:color="auto"/>
          </w:divBdr>
        </w:div>
        <w:div w:id="677735264">
          <w:blockQuote w:val="1"/>
          <w:marLeft w:val="720"/>
          <w:marRight w:val="0"/>
          <w:marTop w:val="0"/>
          <w:marBottom w:val="48"/>
          <w:divBdr>
            <w:top w:val="none" w:sz="0" w:space="0" w:color="auto"/>
            <w:left w:val="none" w:sz="0" w:space="0" w:color="auto"/>
            <w:bottom w:val="none" w:sz="0" w:space="0" w:color="auto"/>
            <w:right w:val="none" w:sz="0" w:space="0" w:color="auto"/>
          </w:divBdr>
        </w:div>
        <w:div w:id="1843810663">
          <w:blockQuote w:val="1"/>
          <w:marLeft w:val="720"/>
          <w:marRight w:val="0"/>
          <w:marTop w:val="0"/>
          <w:marBottom w:val="48"/>
          <w:divBdr>
            <w:top w:val="none" w:sz="0" w:space="0" w:color="auto"/>
            <w:left w:val="none" w:sz="0" w:space="0" w:color="auto"/>
            <w:bottom w:val="none" w:sz="0" w:space="0" w:color="auto"/>
            <w:right w:val="none" w:sz="0" w:space="0" w:color="auto"/>
          </w:divBdr>
        </w:div>
        <w:div w:id="1980524982">
          <w:blockQuote w:val="1"/>
          <w:marLeft w:val="720"/>
          <w:marRight w:val="0"/>
          <w:marTop w:val="0"/>
          <w:marBottom w:val="48"/>
          <w:divBdr>
            <w:top w:val="none" w:sz="0" w:space="0" w:color="auto"/>
            <w:left w:val="none" w:sz="0" w:space="0" w:color="auto"/>
            <w:bottom w:val="none" w:sz="0" w:space="0" w:color="auto"/>
            <w:right w:val="none" w:sz="0" w:space="0" w:color="auto"/>
          </w:divBdr>
        </w:div>
        <w:div w:id="580914493">
          <w:blockQuote w:val="1"/>
          <w:marLeft w:val="720"/>
          <w:marRight w:val="0"/>
          <w:marTop w:val="0"/>
          <w:marBottom w:val="48"/>
          <w:divBdr>
            <w:top w:val="none" w:sz="0" w:space="0" w:color="auto"/>
            <w:left w:val="none" w:sz="0" w:space="0" w:color="auto"/>
            <w:bottom w:val="none" w:sz="0" w:space="0" w:color="auto"/>
            <w:right w:val="none" w:sz="0" w:space="0" w:color="auto"/>
          </w:divBdr>
        </w:div>
        <w:div w:id="1620643978">
          <w:blockQuote w:val="1"/>
          <w:marLeft w:val="720"/>
          <w:marRight w:val="0"/>
          <w:marTop w:val="0"/>
          <w:marBottom w:val="48"/>
          <w:divBdr>
            <w:top w:val="none" w:sz="0" w:space="0" w:color="auto"/>
            <w:left w:val="none" w:sz="0" w:space="0" w:color="auto"/>
            <w:bottom w:val="none" w:sz="0" w:space="0" w:color="auto"/>
            <w:right w:val="none" w:sz="0" w:space="0" w:color="auto"/>
          </w:divBdr>
        </w:div>
        <w:div w:id="2060978255">
          <w:blockQuote w:val="1"/>
          <w:marLeft w:val="720"/>
          <w:marRight w:val="0"/>
          <w:marTop w:val="0"/>
          <w:marBottom w:val="48"/>
          <w:divBdr>
            <w:top w:val="none" w:sz="0" w:space="0" w:color="auto"/>
            <w:left w:val="none" w:sz="0" w:space="0" w:color="auto"/>
            <w:bottom w:val="none" w:sz="0" w:space="0" w:color="auto"/>
            <w:right w:val="none" w:sz="0" w:space="0" w:color="auto"/>
          </w:divBdr>
        </w:div>
        <w:div w:id="1409964028">
          <w:marLeft w:val="0"/>
          <w:marRight w:val="0"/>
          <w:marTop w:val="0"/>
          <w:marBottom w:val="0"/>
          <w:divBdr>
            <w:top w:val="none" w:sz="0" w:space="0" w:color="auto"/>
            <w:left w:val="none" w:sz="0" w:space="0" w:color="auto"/>
            <w:bottom w:val="none" w:sz="0" w:space="0" w:color="auto"/>
            <w:right w:val="none" w:sz="0" w:space="0" w:color="auto"/>
          </w:divBdr>
          <w:divsChild>
            <w:div w:id="1465662269">
              <w:marLeft w:val="0"/>
              <w:marRight w:val="0"/>
              <w:marTop w:val="0"/>
              <w:marBottom w:val="0"/>
              <w:divBdr>
                <w:top w:val="none" w:sz="0" w:space="0" w:color="auto"/>
                <w:left w:val="none" w:sz="0" w:space="0" w:color="auto"/>
                <w:bottom w:val="none" w:sz="0" w:space="0" w:color="auto"/>
                <w:right w:val="none" w:sz="0" w:space="0" w:color="auto"/>
              </w:divBdr>
            </w:div>
            <w:div w:id="1059329898">
              <w:marLeft w:val="0"/>
              <w:marRight w:val="0"/>
              <w:marTop w:val="0"/>
              <w:marBottom w:val="0"/>
              <w:divBdr>
                <w:top w:val="none" w:sz="0" w:space="0" w:color="auto"/>
                <w:left w:val="none" w:sz="0" w:space="0" w:color="auto"/>
                <w:bottom w:val="none" w:sz="0" w:space="0" w:color="auto"/>
                <w:right w:val="none" w:sz="0" w:space="0" w:color="auto"/>
              </w:divBdr>
            </w:div>
          </w:divsChild>
        </w:div>
        <w:div w:id="1005865862">
          <w:marLeft w:val="0"/>
          <w:marRight w:val="0"/>
          <w:marTop w:val="0"/>
          <w:marBottom w:val="0"/>
          <w:divBdr>
            <w:top w:val="none" w:sz="0" w:space="0" w:color="auto"/>
            <w:left w:val="none" w:sz="0" w:space="0" w:color="auto"/>
            <w:bottom w:val="none" w:sz="0" w:space="0" w:color="auto"/>
            <w:right w:val="none" w:sz="0" w:space="0" w:color="auto"/>
          </w:divBdr>
        </w:div>
        <w:div w:id="1215041392">
          <w:marLeft w:val="0"/>
          <w:marRight w:val="0"/>
          <w:marTop w:val="0"/>
          <w:marBottom w:val="0"/>
          <w:divBdr>
            <w:top w:val="none" w:sz="0" w:space="0" w:color="auto"/>
            <w:left w:val="none" w:sz="0" w:space="0" w:color="auto"/>
            <w:bottom w:val="none" w:sz="0" w:space="0" w:color="auto"/>
            <w:right w:val="none" w:sz="0" w:space="0" w:color="auto"/>
          </w:divBdr>
          <w:divsChild>
            <w:div w:id="291523374">
              <w:marLeft w:val="0"/>
              <w:marRight w:val="0"/>
              <w:marTop w:val="0"/>
              <w:marBottom w:val="0"/>
              <w:divBdr>
                <w:top w:val="none" w:sz="0" w:space="0" w:color="auto"/>
                <w:left w:val="none" w:sz="0" w:space="0" w:color="auto"/>
                <w:bottom w:val="none" w:sz="0" w:space="0" w:color="auto"/>
                <w:right w:val="none" w:sz="0" w:space="0" w:color="auto"/>
              </w:divBdr>
            </w:div>
          </w:divsChild>
        </w:div>
        <w:div w:id="1377851881">
          <w:marLeft w:val="0"/>
          <w:marRight w:val="0"/>
          <w:marTop w:val="0"/>
          <w:marBottom w:val="0"/>
          <w:divBdr>
            <w:top w:val="none" w:sz="0" w:space="0" w:color="auto"/>
            <w:left w:val="none" w:sz="0" w:space="0" w:color="auto"/>
            <w:bottom w:val="none" w:sz="0" w:space="0" w:color="auto"/>
            <w:right w:val="none" w:sz="0" w:space="0" w:color="auto"/>
          </w:divBdr>
        </w:div>
        <w:div w:id="1135833949">
          <w:marLeft w:val="0"/>
          <w:marRight w:val="0"/>
          <w:marTop w:val="0"/>
          <w:marBottom w:val="0"/>
          <w:divBdr>
            <w:top w:val="none" w:sz="0" w:space="0" w:color="auto"/>
            <w:left w:val="none" w:sz="0" w:space="0" w:color="auto"/>
            <w:bottom w:val="none" w:sz="0" w:space="0" w:color="auto"/>
            <w:right w:val="none" w:sz="0" w:space="0" w:color="auto"/>
          </w:divBdr>
        </w:div>
        <w:div w:id="1109082970">
          <w:marLeft w:val="0"/>
          <w:marRight w:val="0"/>
          <w:marTop w:val="0"/>
          <w:marBottom w:val="0"/>
          <w:divBdr>
            <w:top w:val="none" w:sz="0" w:space="0" w:color="auto"/>
            <w:left w:val="none" w:sz="0" w:space="0" w:color="auto"/>
            <w:bottom w:val="none" w:sz="0" w:space="0" w:color="auto"/>
            <w:right w:val="none" w:sz="0" w:space="0" w:color="auto"/>
          </w:divBdr>
          <w:divsChild>
            <w:div w:id="2130277776">
              <w:marLeft w:val="0"/>
              <w:marRight w:val="0"/>
              <w:marTop w:val="0"/>
              <w:marBottom w:val="0"/>
              <w:divBdr>
                <w:top w:val="none" w:sz="0" w:space="0" w:color="auto"/>
                <w:left w:val="none" w:sz="0" w:space="0" w:color="auto"/>
                <w:bottom w:val="none" w:sz="0" w:space="0" w:color="auto"/>
                <w:right w:val="none" w:sz="0" w:space="0" w:color="auto"/>
              </w:divBdr>
            </w:div>
          </w:divsChild>
        </w:div>
        <w:div w:id="1916275868">
          <w:blockQuote w:val="1"/>
          <w:marLeft w:val="720"/>
          <w:marRight w:val="0"/>
          <w:marTop w:val="0"/>
          <w:marBottom w:val="48"/>
          <w:divBdr>
            <w:top w:val="none" w:sz="0" w:space="0" w:color="auto"/>
            <w:left w:val="none" w:sz="0" w:space="0" w:color="auto"/>
            <w:bottom w:val="none" w:sz="0" w:space="0" w:color="auto"/>
            <w:right w:val="none" w:sz="0" w:space="0" w:color="auto"/>
          </w:divBdr>
        </w:div>
        <w:div w:id="985010854">
          <w:blockQuote w:val="1"/>
          <w:marLeft w:val="720"/>
          <w:marRight w:val="0"/>
          <w:marTop w:val="0"/>
          <w:marBottom w:val="48"/>
          <w:divBdr>
            <w:top w:val="none" w:sz="0" w:space="0" w:color="auto"/>
            <w:left w:val="none" w:sz="0" w:space="0" w:color="auto"/>
            <w:bottom w:val="none" w:sz="0" w:space="0" w:color="auto"/>
            <w:right w:val="none" w:sz="0" w:space="0" w:color="auto"/>
          </w:divBdr>
        </w:div>
        <w:div w:id="1860006062">
          <w:blockQuote w:val="1"/>
          <w:marLeft w:val="720"/>
          <w:marRight w:val="0"/>
          <w:marTop w:val="0"/>
          <w:marBottom w:val="48"/>
          <w:divBdr>
            <w:top w:val="none" w:sz="0" w:space="0" w:color="auto"/>
            <w:left w:val="none" w:sz="0" w:space="0" w:color="auto"/>
            <w:bottom w:val="none" w:sz="0" w:space="0" w:color="auto"/>
            <w:right w:val="none" w:sz="0" w:space="0" w:color="auto"/>
          </w:divBdr>
        </w:div>
        <w:div w:id="1551839358">
          <w:blockQuote w:val="1"/>
          <w:marLeft w:val="720"/>
          <w:marRight w:val="0"/>
          <w:marTop w:val="0"/>
          <w:marBottom w:val="48"/>
          <w:divBdr>
            <w:top w:val="none" w:sz="0" w:space="0" w:color="auto"/>
            <w:left w:val="none" w:sz="0" w:space="0" w:color="auto"/>
            <w:bottom w:val="none" w:sz="0" w:space="0" w:color="auto"/>
            <w:right w:val="none" w:sz="0" w:space="0" w:color="auto"/>
          </w:divBdr>
        </w:div>
        <w:div w:id="1674259246">
          <w:blockQuote w:val="1"/>
          <w:marLeft w:val="720"/>
          <w:marRight w:val="0"/>
          <w:marTop w:val="0"/>
          <w:marBottom w:val="48"/>
          <w:divBdr>
            <w:top w:val="none" w:sz="0" w:space="0" w:color="auto"/>
            <w:left w:val="none" w:sz="0" w:space="0" w:color="auto"/>
            <w:bottom w:val="none" w:sz="0" w:space="0" w:color="auto"/>
            <w:right w:val="none" w:sz="0" w:space="0" w:color="auto"/>
          </w:divBdr>
        </w:div>
        <w:div w:id="321273416">
          <w:blockQuote w:val="1"/>
          <w:marLeft w:val="720"/>
          <w:marRight w:val="0"/>
          <w:marTop w:val="0"/>
          <w:marBottom w:val="48"/>
          <w:divBdr>
            <w:top w:val="none" w:sz="0" w:space="0" w:color="auto"/>
            <w:left w:val="none" w:sz="0" w:space="0" w:color="auto"/>
            <w:bottom w:val="none" w:sz="0" w:space="0" w:color="auto"/>
            <w:right w:val="none" w:sz="0" w:space="0" w:color="auto"/>
          </w:divBdr>
        </w:div>
        <w:div w:id="1736051639">
          <w:blockQuote w:val="1"/>
          <w:marLeft w:val="720"/>
          <w:marRight w:val="0"/>
          <w:marTop w:val="0"/>
          <w:marBottom w:val="48"/>
          <w:divBdr>
            <w:top w:val="none" w:sz="0" w:space="0" w:color="auto"/>
            <w:left w:val="none" w:sz="0" w:space="0" w:color="auto"/>
            <w:bottom w:val="none" w:sz="0" w:space="0" w:color="auto"/>
            <w:right w:val="none" w:sz="0" w:space="0" w:color="auto"/>
          </w:divBdr>
        </w:div>
        <w:div w:id="1808813387">
          <w:blockQuote w:val="1"/>
          <w:marLeft w:val="720"/>
          <w:marRight w:val="0"/>
          <w:marTop w:val="0"/>
          <w:marBottom w:val="48"/>
          <w:divBdr>
            <w:top w:val="none" w:sz="0" w:space="0" w:color="auto"/>
            <w:left w:val="none" w:sz="0" w:space="0" w:color="auto"/>
            <w:bottom w:val="none" w:sz="0" w:space="0" w:color="auto"/>
            <w:right w:val="none" w:sz="0" w:space="0" w:color="auto"/>
          </w:divBdr>
        </w:div>
        <w:div w:id="1692487654">
          <w:blockQuote w:val="1"/>
          <w:marLeft w:val="720"/>
          <w:marRight w:val="0"/>
          <w:marTop w:val="0"/>
          <w:marBottom w:val="48"/>
          <w:divBdr>
            <w:top w:val="none" w:sz="0" w:space="0" w:color="auto"/>
            <w:left w:val="none" w:sz="0" w:space="0" w:color="auto"/>
            <w:bottom w:val="none" w:sz="0" w:space="0" w:color="auto"/>
            <w:right w:val="none" w:sz="0" w:space="0" w:color="auto"/>
          </w:divBdr>
        </w:div>
        <w:div w:id="1070494931">
          <w:blockQuote w:val="1"/>
          <w:marLeft w:val="720"/>
          <w:marRight w:val="0"/>
          <w:marTop w:val="0"/>
          <w:marBottom w:val="48"/>
          <w:divBdr>
            <w:top w:val="none" w:sz="0" w:space="0" w:color="auto"/>
            <w:left w:val="none" w:sz="0" w:space="0" w:color="auto"/>
            <w:bottom w:val="none" w:sz="0" w:space="0" w:color="auto"/>
            <w:right w:val="none" w:sz="0" w:space="0" w:color="auto"/>
          </w:divBdr>
        </w:div>
        <w:div w:id="2144106653">
          <w:blockQuote w:val="1"/>
          <w:marLeft w:val="720"/>
          <w:marRight w:val="0"/>
          <w:marTop w:val="0"/>
          <w:marBottom w:val="48"/>
          <w:divBdr>
            <w:top w:val="none" w:sz="0" w:space="0" w:color="auto"/>
            <w:left w:val="none" w:sz="0" w:space="0" w:color="auto"/>
            <w:bottom w:val="none" w:sz="0" w:space="0" w:color="auto"/>
            <w:right w:val="none" w:sz="0" w:space="0" w:color="auto"/>
          </w:divBdr>
        </w:div>
        <w:div w:id="1171411332">
          <w:blockQuote w:val="1"/>
          <w:marLeft w:val="720"/>
          <w:marRight w:val="0"/>
          <w:marTop w:val="0"/>
          <w:marBottom w:val="48"/>
          <w:divBdr>
            <w:top w:val="none" w:sz="0" w:space="0" w:color="auto"/>
            <w:left w:val="none" w:sz="0" w:space="0" w:color="auto"/>
            <w:bottom w:val="none" w:sz="0" w:space="0" w:color="auto"/>
            <w:right w:val="none" w:sz="0" w:space="0" w:color="auto"/>
          </w:divBdr>
        </w:div>
        <w:div w:id="1143162809">
          <w:blockQuote w:val="1"/>
          <w:marLeft w:val="720"/>
          <w:marRight w:val="0"/>
          <w:marTop w:val="0"/>
          <w:marBottom w:val="48"/>
          <w:divBdr>
            <w:top w:val="none" w:sz="0" w:space="0" w:color="auto"/>
            <w:left w:val="none" w:sz="0" w:space="0" w:color="auto"/>
            <w:bottom w:val="none" w:sz="0" w:space="0" w:color="auto"/>
            <w:right w:val="none" w:sz="0" w:space="0" w:color="auto"/>
          </w:divBdr>
        </w:div>
        <w:div w:id="333997131">
          <w:blockQuote w:val="1"/>
          <w:marLeft w:val="720"/>
          <w:marRight w:val="0"/>
          <w:marTop w:val="0"/>
          <w:marBottom w:val="48"/>
          <w:divBdr>
            <w:top w:val="none" w:sz="0" w:space="0" w:color="auto"/>
            <w:left w:val="none" w:sz="0" w:space="0" w:color="auto"/>
            <w:bottom w:val="none" w:sz="0" w:space="0" w:color="auto"/>
            <w:right w:val="none" w:sz="0" w:space="0" w:color="auto"/>
          </w:divBdr>
        </w:div>
        <w:div w:id="1330014204">
          <w:blockQuote w:val="1"/>
          <w:marLeft w:val="720"/>
          <w:marRight w:val="0"/>
          <w:marTop w:val="0"/>
          <w:marBottom w:val="48"/>
          <w:divBdr>
            <w:top w:val="none" w:sz="0" w:space="0" w:color="auto"/>
            <w:left w:val="none" w:sz="0" w:space="0" w:color="auto"/>
            <w:bottom w:val="none" w:sz="0" w:space="0" w:color="auto"/>
            <w:right w:val="none" w:sz="0" w:space="0" w:color="auto"/>
          </w:divBdr>
        </w:div>
        <w:div w:id="1373529913">
          <w:marLeft w:val="0"/>
          <w:marRight w:val="0"/>
          <w:marTop w:val="0"/>
          <w:marBottom w:val="0"/>
          <w:divBdr>
            <w:top w:val="none" w:sz="0" w:space="0" w:color="auto"/>
            <w:left w:val="none" w:sz="0" w:space="0" w:color="auto"/>
            <w:bottom w:val="none" w:sz="0" w:space="0" w:color="auto"/>
            <w:right w:val="none" w:sz="0" w:space="0" w:color="auto"/>
          </w:divBdr>
          <w:divsChild>
            <w:div w:id="1027607211">
              <w:blockQuote w:val="1"/>
              <w:marLeft w:val="720"/>
              <w:marRight w:val="0"/>
              <w:marTop w:val="0"/>
              <w:marBottom w:val="48"/>
              <w:divBdr>
                <w:top w:val="none" w:sz="0" w:space="0" w:color="auto"/>
                <w:left w:val="none" w:sz="0" w:space="0" w:color="auto"/>
                <w:bottom w:val="none" w:sz="0" w:space="0" w:color="auto"/>
                <w:right w:val="none" w:sz="0" w:space="0" w:color="auto"/>
              </w:divBdr>
            </w:div>
            <w:div w:id="1555701444">
              <w:blockQuote w:val="1"/>
              <w:marLeft w:val="720"/>
              <w:marRight w:val="0"/>
              <w:marTop w:val="0"/>
              <w:marBottom w:val="48"/>
              <w:divBdr>
                <w:top w:val="none" w:sz="0" w:space="0" w:color="auto"/>
                <w:left w:val="none" w:sz="0" w:space="0" w:color="auto"/>
                <w:bottom w:val="none" w:sz="0" w:space="0" w:color="auto"/>
                <w:right w:val="none" w:sz="0" w:space="0" w:color="auto"/>
              </w:divBdr>
            </w:div>
            <w:div w:id="479078120">
              <w:blockQuote w:val="1"/>
              <w:marLeft w:val="720"/>
              <w:marRight w:val="0"/>
              <w:marTop w:val="0"/>
              <w:marBottom w:val="48"/>
              <w:divBdr>
                <w:top w:val="none" w:sz="0" w:space="0" w:color="auto"/>
                <w:left w:val="none" w:sz="0" w:space="0" w:color="auto"/>
                <w:bottom w:val="none" w:sz="0" w:space="0" w:color="auto"/>
                <w:right w:val="none" w:sz="0" w:space="0" w:color="auto"/>
              </w:divBdr>
            </w:div>
            <w:div w:id="416513350">
              <w:blockQuote w:val="1"/>
              <w:marLeft w:val="720"/>
              <w:marRight w:val="0"/>
              <w:marTop w:val="0"/>
              <w:marBottom w:val="48"/>
              <w:divBdr>
                <w:top w:val="none" w:sz="0" w:space="0" w:color="auto"/>
                <w:left w:val="none" w:sz="0" w:space="0" w:color="auto"/>
                <w:bottom w:val="none" w:sz="0" w:space="0" w:color="auto"/>
                <w:right w:val="none" w:sz="0" w:space="0" w:color="auto"/>
              </w:divBdr>
            </w:div>
            <w:div w:id="6842543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19116981">
          <w:marLeft w:val="0"/>
          <w:marRight w:val="0"/>
          <w:marTop w:val="0"/>
          <w:marBottom w:val="0"/>
          <w:divBdr>
            <w:top w:val="none" w:sz="0" w:space="0" w:color="auto"/>
            <w:left w:val="none" w:sz="0" w:space="0" w:color="auto"/>
            <w:bottom w:val="none" w:sz="0" w:space="0" w:color="auto"/>
            <w:right w:val="none" w:sz="0" w:space="0" w:color="auto"/>
          </w:divBdr>
        </w:div>
        <w:div w:id="1106072041">
          <w:blockQuote w:val="1"/>
          <w:marLeft w:val="720"/>
          <w:marRight w:val="0"/>
          <w:marTop w:val="0"/>
          <w:marBottom w:val="48"/>
          <w:divBdr>
            <w:top w:val="none" w:sz="0" w:space="0" w:color="auto"/>
            <w:left w:val="none" w:sz="0" w:space="0" w:color="auto"/>
            <w:bottom w:val="none" w:sz="0" w:space="0" w:color="auto"/>
            <w:right w:val="none" w:sz="0" w:space="0" w:color="auto"/>
          </w:divBdr>
        </w:div>
        <w:div w:id="97220796">
          <w:blockQuote w:val="1"/>
          <w:marLeft w:val="720"/>
          <w:marRight w:val="0"/>
          <w:marTop w:val="0"/>
          <w:marBottom w:val="48"/>
          <w:divBdr>
            <w:top w:val="none" w:sz="0" w:space="0" w:color="auto"/>
            <w:left w:val="none" w:sz="0" w:space="0" w:color="auto"/>
            <w:bottom w:val="none" w:sz="0" w:space="0" w:color="auto"/>
            <w:right w:val="none" w:sz="0" w:space="0" w:color="auto"/>
          </w:divBdr>
        </w:div>
        <w:div w:id="1914853597">
          <w:blockQuote w:val="1"/>
          <w:marLeft w:val="720"/>
          <w:marRight w:val="0"/>
          <w:marTop w:val="0"/>
          <w:marBottom w:val="48"/>
          <w:divBdr>
            <w:top w:val="none" w:sz="0" w:space="0" w:color="auto"/>
            <w:left w:val="none" w:sz="0" w:space="0" w:color="auto"/>
            <w:bottom w:val="none" w:sz="0" w:space="0" w:color="auto"/>
            <w:right w:val="none" w:sz="0" w:space="0" w:color="auto"/>
          </w:divBdr>
        </w:div>
        <w:div w:id="1975796959">
          <w:marLeft w:val="0"/>
          <w:marRight w:val="0"/>
          <w:marTop w:val="0"/>
          <w:marBottom w:val="0"/>
          <w:divBdr>
            <w:top w:val="none" w:sz="0" w:space="0" w:color="auto"/>
            <w:left w:val="none" w:sz="0" w:space="0" w:color="auto"/>
            <w:bottom w:val="none" w:sz="0" w:space="0" w:color="auto"/>
            <w:right w:val="none" w:sz="0" w:space="0" w:color="auto"/>
          </w:divBdr>
        </w:div>
        <w:div w:id="1894778116">
          <w:marLeft w:val="0"/>
          <w:marRight w:val="0"/>
          <w:marTop w:val="0"/>
          <w:marBottom w:val="0"/>
          <w:divBdr>
            <w:top w:val="none" w:sz="0" w:space="0" w:color="auto"/>
            <w:left w:val="none" w:sz="0" w:space="0" w:color="auto"/>
            <w:bottom w:val="none" w:sz="0" w:space="0" w:color="auto"/>
            <w:right w:val="none" w:sz="0" w:space="0" w:color="auto"/>
          </w:divBdr>
        </w:div>
        <w:div w:id="142505799">
          <w:marLeft w:val="0"/>
          <w:marRight w:val="0"/>
          <w:marTop w:val="0"/>
          <w:marBottom w:val="0"/>
          <w:divBdr>
            <w:top w:val="none" w:sz="0" w:space="0" w:color="auto"/>
            <w:left w:val="none" w:sz="0" w:space="0" w:color="auto"/>
            <w:bottom w:val="none" w:sz="0" w:space="0" w:color="auto"/>
            <w:right w:val="none" w:sz="0" w:space="0" w:color="auto"/>
          </w:divBdr>
        </w:div>
        <w:div w:id="347609622">
          <w:marLeft w:val="0"/>
          <w:marRight w:val="0"/>
          <w:marTop w:val="0"/>
          <w:marBottom w:val="0"/>
          <w:divBdr>
            <w:top w:val="none" w:sz="0" w:space="0" w:color="auto"/>
            <w:left w:val="none" w:sz="0" w:space="0" w:color="auto"/>
            <w:bottom w:val="none" w:sz="0" w:space="0" w:color="auto"/>
            <w:right w:val="none" w:sz="0" w:space="0" w:color="auto"/>
          </w:divBdr>
        </w:div>
      </w:divsChild>
    </w:div>
    <w:div w:id="1198086195">
      <w:bodyDiv w:val="1"/>
      <w:marLeft w:val="0"/>
      <w:marRight w:val="0"/>
      <w:marTop w:val="0"/>
      <w:marBottom w:val="0"/>
      <w:divBdr>
        <w:top w:val="none" w:sz="0" w:space="0" w:color="auto"/>
        <w:left w:val="none" w:sz="0" w:space="0" w:color="auto"/>
        <w:bottom w:val="none" w:sz="0" w:space="0" w:color="auto"/>
        <w:right w:val="none" w:sz="0" w:space="0" w:color="auto"/>
      </w:divBdr>
      <w:divsChild>
        <w:div w:id="261498907">
          <w:marLeft w:val="0"/>
          <w:marRight w:val="0"/>
          <w:marTop w:val="0"/>
          <w:marBottom w:val="0"/>
          <w:divBdr>
            <w:top w:val="none" w:sz="0" w:space="0" w:color="auto"/>
            <w:left w:val="none" w:sz="0" w:space="0" w:color="auto"/>
            <w:bottom w:val="none" w:sz="0" w:space="0" w:color="auto"/>
            <w:right w:val="none" w:sz="0" w:space="0" w:color="auto"/>
          </w:divBdr>
          <w:divsChild>
            <w:div w:id="2077051466">
              <w:marLeft w:val="0"/>
              <w:marRight w:val="0"/>
              <w:marTop w:val="0"/>
              <w:marBottom w:val="0"/>
              <w:divBdr>
                <w:top w:val="none" w:sz="0" w:space="0" w:color="auto"/>
                <w:left w:val="none" w:sz="0" w:space="0" w:color="auto"/>
                <w:bottom w:val="none" w:sz="0" w:space="0" w:color="auto"/>
                <w:right w:val="none" w:sz="0" w:space="0" w:color="auto"/>
              </w:divBdr>
            </w:div>
          </w:divsChild>
        </w:div>
        <w:div w:id="1477717424">
          <w:marLeft w:val="0"/>
          <w:marRight w:val="0"/>
          <w:marTop w:val="0"/>
          <w:marBottom w:val="0"/>
          <w:divBdr>
            <w:top w:val="none" w:sz="0" w:space="0" w:color="auto"/>
            <w:left w:val="none" w:sz="0" w:space="0" w:color="auto"/>
            <w:bottom w:val="none" w:sz="0" w:space="0" w:color="auto"/>
            <w:right w:val="none" w:sz="0" w:space="0" w:color="auto"/>
          </w:divBdr>
          <w:divsChild>
            <w:div w:id="609556681">
              <w:marLeft w:val="0"/>
              <w:marRight w:val="0"/>
              <w:marTop w:val="0"/>
              <w:marBottom w:val="0"/>
              <w:divBdr>
                <w:top w:val="none" w:sz="0" w:space="0" w:color="auto"/>
                <w:left w:val="none" w:sz="0" w:space="0" w:color="auto"/>
                <w:bottom w:val="none" w:sz="0" w:space="0" w:color="auto"/>
                <w:right w:val="none" w:sz="0" w:space="0" w:color="auto"/>
              </w:divBdr>
            </w:div>
            <w:div w:id="1529023458">
              <w:marLeft w:val="0"/>
              <w:marRight w:val="0"/>
              <w:marTop w:val="0"/>
              <w:marBottom w:val="0"/>
              <w:divBdr>
                <w:top w:val="none" w:sz="0" w:space="0" w:color="auto"/>
                <w:left w:val="none" w:sz="0" w:space="0" w:color="auto"/>
                <w:bottom w:val="none" w:sz="0" w:space="0" w:color="auto"/>
                <w:right w:val="none" w:sz="0" w:space="0" w:color="auto"/>
              </w:divBdr>
            </w:div>
            <w:div w:id="1598371013">
              <w:marLeft w:val="0"/>
              <w:marRight w:val="0"/>
              <w:marTop w:val="0"/>
              <w:marBottom w:val="0"/>
              <w:divBdr>
                <w:top w:val="none" w:sz="0" w:space="0" w:color="auto"/>
                <w:left w:val="none" w:sz="0" w:space="0" w:color="auto"/>
                <w:bottom w:val="none" w:sz="0" w:space="0" w:color="auto"/>
                <w:right w:val="none" w:sz="0" w:space="0" w:color="auto"/>
              </w:divBdr>
            </w:div>
            <w:div w:id="134881044">
              <w:marLeft w:val="0"/>
              <w:marRight w:val="0"/>
              <w:marTop w:val="0"/>
              <w:marBottom w:val="0"/>
              <w:divBdr>
                <w:top w:val="none" w:sz="0" w:space="0" w:color="auto"/>
                <w:left w:val="none" w:sz="0" w:space="0" w:color="auto"/>
                <w:bottom w:val="none" w:sz="0" w:space="0" w:color="auto"/>
                <w:right w:val="none" w:sz="0" w:space="0" w:color="auto"/>
              </w:divBdr>
            </w:div>
          </w:divsChild>
        </w:div>
        <w:div w:id="1110927999">
          <w:marLeft w:val="0"/>
          <w:marRight w:val="0"/>
          <w:marTop w:val="0"/>
          <w:marBottom w:val="0"/>
          <w:divBdr>
            <w:top w:val="none" w:sz="0" w:space="0" w:color="auto"/>
            <w:left w:val="none" w:sz="0" w:space="0" w:color="auto"/>
            <w:bottom w:val="none" w:sz="0" w:space="0" w:color="auto"/>
            <w:right w:val="none" w:sz="0" w:space="0" w:color="auto"/>
          </w:divBdr>
          <w:divsChild>
            <w:div w:id="1532065795">
              <w:marLeft w:val="0"/>
              <w:marRight w:val="0"/>
              <w:marTop w:val="0"/>
              <w:marBottom w:val="0"/>
              <w:divBdr>
                <w:top w:val="none" w:sz="0" w:space="0" w:color="auto"/>
                <w:left w:val="none" w:sz="0" w:space="0" w:color="auto"/>
                <w:bottom w:val="none" w:sz="0" w:space="0" w:color="auto"/>
                <w:right w:val="none" w:sz="0" w:space="0" w:color="auto"/>
              </w:divBdr>
            </w:div>
          </w:divsChild>
        </w:div>
        <w:div w:id="1593464542">
          <w:marLeft w:val="0"/>
          <w:marRight w:val="0"/>
          <w:marTop w:val="0"/>
          <w:marBottom w:val="0"/>
          <w:divBdr>
            <w:top w:val="none" w:sz="0" w:space="0" w:color="auto"/>
            <w:left w:val="none" w:sz="0" w:space="0" w:color="auto"/>
            <w:bottom w:val="none" w:sz="0" w:space="0" w:color="auto"/>
            <w:right w:val="none" w:sz="0" w:space="0" w:color="auto"/>
          </w:divBdr>
          <w:divsChild>
            <w:div w:id="996569642">
              <w:marLeft w:val="0"/>
              <w:marRight w:val="0"/>
              <w:marTop w:val="0"/>
              <w:marBottom w:val="0"/>
              <w:divBdr>
                <w:top w:val="none" w:sz="0" w:space="0" w:color="auto"/>
                <w:left w:val="none" w:sz="0" w:space="0" w:color="auto"/>
                <w:bottom w:val="none" w:sz="0" w:space="0" w:color="auto"/>
                <w:right w:val="none" w:sz="0" w:space="0" w:color="auto"/>
              </w:divBdr>
            </w:div>
            <w:div w:id="1399551106">
              <w:marLeft w:val="0"/>
              <w:marRight w:val="0"/>
              <w:marTop w:val="0"/>
              <w:marBottom w:val="0"/>
              <w:divBdr>
                <w:top w:val="none" w:sz="0" w:space="0" w:color="auto"/>
                <w:left w:val="none" w:sz="0" w:space="0" w:color="auto"/>
                <w:bottom w:val="none" w:sz="0" w:space="0" w:color="auto"/>
                <w:right w:val="none" w:sz="0" w:space="0" w:color="auto"/>
              </w:divBdr>
            </w:div>
            <w:div w:id="1283463479">
              <w:marLeft w:val="0"/>
              <w:marRight w:val="0"/>
              <w:marTop w:val="0"/>
              <w:marBottom w:val="0"/>
              <w:divBdr>
                <w:top w:val="none" w:sz="0" w:space="0" w:color="auto"/>
                <w:left w:val="none" w:sz="0" w:space="0" w:color="auto"/>
                <w:bottom w:val="none" w:sz="0" w:space="0" w:color="auto"/>
                <w:right w:val="none" w:sz="0" w:space="0" w:color="auto"/>
              </w:divBdr>
            </w:div>
            <w:div w:id="1618099937">
              <w:marLeft w:val="0"/>
              <w:marRight w:val="0"/>
              <w:marTop w:val="0"/>
              <w:marBottom w:val="0"/>
              <w:divBdr>
                <w:top w:val="none" w:sz="0" w:space="0" w:color="auto"/>
                <w:left w:val="none" w:sz="0" w:space="0" w:color="auto"/>
                <w:bottom w:val="none" w:sz="0" w:space="0" w:color="auto"/>
                <w:right w:val="none" w:sz="0" w:space="0" w:color="auto"/>
              </w:divBdr>
            </w:div>
          </w:divsChild>
        </w:div>
        <w:div w:id="838228107">
          <w:marLeft w:val="0"/>
          <w:marRight w:val="0"/>
          <w:marTop w:val="0"/>
          <w:marBottom w:val="0"/>
          <w:divBdr>
            <w:top w:val="none" w:sz="0" w:space="0" w:color="auto"/>
            <w:left w:val="none" w:sz="0" w:space="0" w:color="auto"/>
            <w:bottom w:val="none" w:sz="0" w:space="0" w:color="auto"/>
            <w:right w:val="none" w:sz="0" w:space="0" w:color="auto"/>
          </w:divBdr>
          <w:divsChild>
            <w:div w:id="895093168">
              <w:marLeft w:val="0"/>
              <w:marRight w:val="0"/>
              <w:marTop w:val="0"/>
              <w:marBottom w:val="0"/>
              <w:divBdr>
                <w:top w:val="none" w:sz="0" w:space="0" w:color="auto"/>
                <w:left w:val="none" w:sz="0" w:space="0" w:color="auto"/>
                <w:bottom w:val="none" w:sz="0" w:space="0" w:color="auto"/>
                <w:right w:val="none" w:sz="0" w:space="0" w:color="auto"/>
              </w:divBdr>
            </w:div>
          </w:divsChild>
        </w:div>
        <w:div w:id="288979749">
          <w:marLeft w:val="0"/>
          <w:marRight w:val="0"/>
          <w:marTop w:val="0"/>
          <w:marBottom w:val="0"/>
          <w:divBdr>
            <w:top w:val="none" w:sz="0" w:space="0" w:color="auto"/>
            <w:left w:val="none" w:sz="0" w:space="0" w:color="auto"/>
            <w:bottom w:val="none" w:sz="0" w:space="0" w:color="auto"/>
            <w:right w:val="none" w:sz="0" w:space="0" w:color="auto"/>
          </w:divBdr>
          <w:divsChild>
            <w:div w:id="25109884">
              <w:marLeft w:val="0"/>
              <w:marRight w:val="0"/>
              <w:marTop w:val="0"/>
              <w:marBottom w:val="0"/>
              <w:divBdr>
                <w:top w:val="none" w:sz="0" w:space="0" w:color="auto"/>
                <w:left w:val="none" w:sz="0" w:space="0" w:color="auto"/>
                <w:bottom w:val="none" w:sz="0" w:space="0" w:color="auto"/>
                <w:right w:val="none" w:sz="0" w:space="0" w:color="auto"/>
              </w:divBdr>
            </w:div>
            <w:div w:id="409161091">
              <w:marLeft w:val="0"/>
              <w:marRight w:val="0"/>
              <w:marTop w:val="0"/>
              <w:marBottom w:val="0"/>
              <w:divBdr>
                <w:top w:val="none" w:sz="0" w:space="0" w:color="auto"/>
                <w:left w:val="none" w:sz="0" w:space="0" w:color="auto"/>
                <w:bottom w:val="none" w:sz="0" w:space="0" w:color="auto"/>
                <w:right w:val="none" w:sz="0" w:space="0" w:color="auto"/>
              </w:divBdr>
            </w:div>
            <w:div w:id="1131823291">
              <w:marLeft w:val="0"/>
              <w:marRight w:val="0"/>
              <w:marTop w:val="0"/>
              <w:marBottom w:val="0"/>
              <w:divBdr>
                <w:top w:val="none" w:sz="0" w:space="0" w:color="auto"/>
                <w:left w:val="none" w:sz="0" w:space="0" w:color="auto"/>
                <w:bottom w:val="none" w:sz="0" w:space="0" w:color="auto"/>
                <w:right w:val="none" w:sz="0" w:space="0" w:color="auto"/>
              </w:divBdr>
            </w:div>
            <w:div w:id="1496799108">
              <w:marLeft w:val="0"/>
              <w:marRight w:val="0"/>
              <w:marTop w:val="0"/>
              <w:marBottom w:val="0"/>
              <w:divBdr>
                <w:top w:val="none" w:sz="0" w:space="0" w:color="auto"/>
                <w:left w:val="none" w:sz="0" w:space="0" w:color="auto"/>
                <w:bottom w:val="none" w:sz="0" w:space="0" w:color="auto"/>
                <w:right w:val="none" w:sz="0" w:space="0" w:color="auto"/>
              </w:divBdr>
            </w:div>
          </w:divsChild>
        </w:div>
        <w:div w:id="942493536">
          <w:marLeft w:val="0"/>
          <w:marRight w:val="0"/>
          <w:marTop w:val="0"/>
          <w:marBottom w:val="0"/>
          <w:divBdr>
            <w:top w:val="none" w:sz="0" w:space="0" w:color="auto"/>
            <w:left w:val="none" w:sz="0" w:space="0" w:color="auto"/>
            <w:bottom w:val="none" w:sz="0" w:space="0" w:color="auto"/>
            <w:right w:val="none" w:sz="0" w:space="0" w:color="auto"/>
          </w:divBdr>
          <w:divsChild>
            <w:div w:id="1690982958">
              <w:marLeft w:val="0"/>
              <w:marRight w:val="0"/>
              <w:marTop w:val="0"/>
              <w:marBottom w:val="0"/>
              <w:divBdr>
                <w:top w:val="none" w:sz="0" w:space="0" w:color="auto"/>
                <w:left w:val="none" w:sz="0" w:space="0" w:color="auto"/>
                <w:bottom w:val="none" w:sz="0" w:space="0" w:color="auto"/>
                <w:right w:val="none" w:sz="0" w:space="0" w:color="auto"/>
              </w:divBdr>
            </w:div>
          </w:divsChild>
        </w:div>
        <w:div w:id="1617448477">
          <w:marLeft w:val="0"/>
          <w:marRight w:val="0"/>
          <w:marTop w:val="0"/>
          <w:marBottom w:val="0"/>
          <w:divBdr>
            <w:top w:val="none" w:sz="0" w:space="0" w:color="auto"/>
            <w:left w:val="none" w:sz="0" w:space="0" w:color="auto"/>
            <w:bottom w:val="none" w:sz="0" w:space="0" w:color="auto"/>
            <w:right w:val="none" w:sz="0" w:space="0" w:color="auto"/>
          </w:divBdr>
          <w:divsChild>
            <w:div w:id="1177885587">
              <w:marLeft w:val="0"/>
              <w:marRight w:val="0"/>
              <w:marTop w:val="0"/>
              <w:marBottom w:val="0"/>
              <w:divBdr>
                <w:top w:val="none" w:sz="0" w:space="0" w:color="auto"/>
                <w:left w:val="none" w:sz="0" w:space="0" w:color="auto"/>
                <w:bottom w:val="none" w:sz="0" w:space="0" w:color="auto"/>
                <w:right w:val="none" w:sz="0" w:space="0" w:color="auto"/>
              </w:divBdr>
            </w:div>
            <w:div w:id="1915315351">
              <w:marLeft w:val="0"/>
              <w:marRight w:val="0"/>
              <w:marTop w:val="0"/>
              <w:marBottom w:val="0"/>
              <w:divBdr>
                <w:top w:val="none" w:sz="0" w:space="0" w:color="auto"/>
                <w:left w:val="none" w:sz="0" w:space="0" w:color="auto"/>
                <w:bottom w:val="none" w:sz="0" w:space="0" w:color="auto"/>
                <w:right w:val="none" w:sz="0" w:space="0" w:color="auto"/>
              </w:divBdr>
            </w:div>
            <w:div w:id="552735062">
              <w:marLeft w:val="0"/>
              <w:marRight w:val="0"/>
              <w:marTop w:val="0"/>
              <w:marBottom w:val="0"/>
              <w:divBdr>
                <w:top w:val="none" w:sz="0" w:space="0" w:color="auto"/>
                <w:left w:val="none" w:sz="0" w:space="0" w:color="auto"/>
                <w:bottom w:val="none" w:sz="0" w:space="0" w:color="auto"/>
                <w:right w:val="none" w:sz="0" w:space="0" w:color="auto"/>
              </w:divBdr>
            </w:div>
            <w:div w:id="401215691">
              <w:marLeft w:val="0"/>
              <w:marRight w:val="0"/>
              <w:marTop w:val="0"/>
              <w:marBottom w:val="0"/>
              <w:divBdr>
                <w:top w:val="none" w:sz="0" w:space="0" w:color="auto"/>
                <w:left w:val="none" w:sz="0" w:space="0" w:color="auto"/>
                <w:bottom w:val="none" w:sz="0" w:space="0" w:color="auto"/>
                <w:right w:val="none" w:sz="0" w:space="0" w:color="auto"/>
              </w:divBdr>
            </w:div>
            <w:div w:id="1512601584">
              <w:marLeft w:val="0"/>
              <w:marRight w:val="0"/>
              <w:marTop w:val="0"/>
              <w:marBottom w:val="0"/>
              <w:divBdr>
                <w:top w:val="none" w:sz="0" w:space="0" w:color="auto"/>
                <w:left w:val="none" w:sz="0" w:space="0" w:color="auto"/>
                <w:bottom w:val="none" w:sz="0" w:space="0" w:color="auto"/>
                <w:right w:val="none" w:sz="0" w:space="0" w:color="auto"/>
              </w:divBdr>
            </w:div>
            <w:div w:id="1463960733">
              <w:marLeft w:val="0"/>
              <w:marRight w:val="0"/>
              <w:marTop w:val="0"/>
              <w:marBottom w:val="0"/>
              <w:divBdr>
                <w:top w:val="none" w:sz="0" w:space="0" w:color="auto"/>
                <w:left w:val="none" w:sz="0" w:space="0" w:color="auto"/>
                <w:bottom w:val="none" w:sz="0" w:space="0" w:color="auto"/>
                <w:right w:val="none" w:sz="0" w:space="0" w:color="auto"/>
              </w:divBdr>
            </w:div>
          </w:divsChild>
        </w:div>
        <w:div w:id="1769302202">
          <w:marLeft w:val="0"/>
          <w:marRight w:val="0"/>
          <w:marTop w:val="0"/>
          <w:marBottom w:val="0"/>
          <w:divBdr>
            <w:top w:val="none" w:sz="0" w:space="0" w:color="auto"/>
            <w:left w:val="none" w:sz="0" w:space="0" w:color="auto"/>
            <w:bottom w:val="none" w:sz="0" w:space="0" w:color="auto"/>
            <w:right w:val="none" w:sz="0" w:space="0" w:color="auto"/>
          </w:divBdr>
          <w:divsChild>
            <w:div w:id="1010061477">
              <w:marLeft w:val="0"/>
              <w:marRight w:val="0"/>
              <w:marTop w:val="0"/>
              <w:marBottom w:val="0"/>
              <w:divBdr>
                <w:top w:val="none" w:sz="0" w:space="0" w:color="auto"/>
                <w:left w:val="none" w:sz="0" w:space="0" w:color="auto"/>
                <w:bottom w:val="none" w:sz="0" w:space="0" w:color="auto"/>
                <w:right w:val="none" w:sz="0" w:space="0" w:color="auto"/>
              </w:divBdr>
            </w:div>
          </w:divsChild>
        </w:div>
        <w:div w:id="358511056">
          <w:marLeft w:val="0"/>
          <w:marRight w:val="0"/>
          <w:marTop w:val="0"/>
          <w:marBottom w:val="0"/>
          <w:divBdr>
            <w:top w:val="none" w:sz="0" w:space="0" w:color="auto"/>
            <w:left w:val="none" w:sz="0" w:space="0" w:color="auto"/>
            <w:bottom w:val="none" w:sz="0" w:space="0" w:color="auto"/>
            <w:right w:val="none" w:sz="0" w:space="0" w:color="auto"/>
          </w:divBdr>
          <w:divsChild>
            <w:div w:id="1585995337">
              <w:marLeft w:val="0"/>
              <w:marRight w:val="0"/>
              <w:marTop w:val="0"/>
              <w:marBottom w:val="0"/>
              <w:divBdr>
                <w:top w:val="none" w:sz="0" w:space="0" w:color="auto"/>
                <w:left w:val="none" w:sz="0" w:space="0" w:color="auto"/>
                <w:bottom w:val="none" w:sz="0" w:space="0" w:color="auto"/>
                <w:right w:val="none" w:sz="0" w:space="0" w:color="auto"/>
              </w:divBdr>
            </w:div>
            <w:div w:id="709111361">
              <w:marLeft w:val="0"/>
              <w:marRight w:val="0"/>
              <w:marTop w:val="0"/>
              <w:marBottom w:val="0"/>
              <w:divBdr>
                <w:top w:val="none" w:sz="0" w:space="0" w:color="auto"/>
                <w:left w:val="none" w:sz="0" w:space="0" w:color="auto"/>
                <w:bottom w:val="none" w:sz="0" w:space="0" w:color="auto"/>
                <w:right w:val="none" w:sz="0" w:space="0" w:color="auto"/>
              </w:divBdr>
            </w:div>
            <w:div w:id="12348445">
              <w:marLeft w:val="0"/>
              <w:marRight w:val="0"/>
              <w:marTop w:val="0"/>
              <w:marBottom w:val="0"/>
              <w:divBdr>
                <w:top w:val="none" w:sz="0" w:space="0" w:color="auto"/>
                <w:left w:val="none" w:sz="0" w:space="0" w:color="auto"/>
                <w:bottom w:val="none" w:sz="0" w:space="0" w:color="auto"/>
                <w:right w:val="none" w:sz="0" w:space="0" w:color="auto"/>
              </w:divBdr>
            </w:div>
            <w:div w:id="1109163848">
              <w:marLeft w:val="0"/>
              <w:marRight w:val="0"/>
              <w:marTop w:val="0"/>
              <w:marBottom w:val="0"/>
              <w:divBdr>
                <w:top w:val="none" w:sz="0" w:space="0" w:color="auto"/>
                <w:left w:val="none" w:sz="0" w:space="0" w:color="auto"/>
                <w:bottom w:val="none" w:sz="0" w:space="0" w:color="auto"/>
                <w:right w:val="none" w:sz="0" w:space="0" w:color="auto"/>
              </w:divBdr>
            </w:div>
            <w:div w:id="678891858">
              <w:marLeft w:val="0"/>
              <w:marRight w:val="0"/>
              <w:marTop w:val="0"/>
              <w:marBottom w:val="0"/>
              <w:divBdr>
                <w:top w:val="none" w:sz="0" w:space="0" w:color="auto"/>
                <w:left w:val="none" w:sz="0" w:space="0" w:color="auto"/>
                <w:bottom w:val="none" w:sz="0" w:space="0" w:color="auto"/>
                <w:right w:val="none" w:sz="0" w:space="0" w:color="auto"/>
              </w:divBdr>
            </w:div>
          </w:divsChild>
        </w:div>
        <w:div w:id="1449465426">
          <w:marLeft w:val="0"/>
          <w:marRight w:val="0"/>
          <w:marTop w:val="0"/>
          <w:marBottom w:val="0"/>
          <w:divBdr>
            <w:top w:val="none" w:sz="0" w:space="0" w:color="auto"/>
            <w:left w:val="none" w:sz="0" w:space="0" w:color="auto"/>
            <w:bottom w:val="none" w:sz="0" w:space="0" w:color="auto"/>
            <w:right w:val="none" w:sz="0" w:space="0" w:color="auto"/>
          </w:divBdr>
          <w:divsChild>
            <w:div w:id="1558322528">
              <w:marLeft w:val="0"/>
              <w:marRight w:val="0"/>
              <w:marTop w:val="0"/>
              <w:marBottom w:val="0"/>
              <w:divBdr>
                <w:top w:val="none" w:sz="0" w:space="0" w:color="auto"/>
                <w:left w:val="none" w:sz="0" w:space="0" w:color="auto"/>
                <w:bottom w:val="none" w:sz="0" w:space="0" w:color="auto"/>
                <w:right w:val="none" w:sz="0" w:space="0" w:color="auto"/>
              </w:divBdr>
            </w:div>
            <w:div w:id="2052222379">
              <w:marLeft w:val="0"/>
              <w:marRight w:val="0"/>
              <w:marTop w:val="0"/>
              <w:marBottom w:val="0"/>
              <w:divBdr>
                <w:top w:val="none" w:sz="0" w:space="0" w:color="auto"/>
                <w:left w:val="none" w:sz="0" w:space="0" w:color="auto"/>
                <w:bottom w:val="none" w:sz="0" w:space="0" w:color="auto"/>
                <w:right w:val="none" w:sz="0" w:space="0" w:color="auto"/>
              </w:divBdr>
            </w:div>
          </w:divsChild>
        </w:div>
        <w:div w:id="1878006770">
          <w:marLeft w:val="0"/>
          <w:marRight w:val="0"/>
          <w:marTop w:val="0"/>
          <w:marBottom w:val="0"/>
          <w:divBdr>
            <w:top w:val="none" w:sz="0" w:space="0" w:color="auto"/>
            <w:left w:val="none" w:sz="0" w:space="0" w:color="auto"/>
            <w:bottom w:val="none" w:sz="0" w:space="0" w:color="auto"/>
            <w:right w:val="none" w:sz="0" w:space="0" w:color="auto"/>
          </w:divBdr>
          <w:divsChild>
            <w:div w:id="1707172047">
              <w:marLeft w:val="0"/>
              <w:marRight w:val="0"/>
              <w:marTop w:val="0"/>
              <w:marBottom w:val="0"/>
              <w:divBdr>
                <w:top w:val="none" w:sz="0" w:space="0" w:color="auto"/>
                <w:left w:val="none" w:sz="0" w:space="0" w:color="auto"/>
                <w:bottom w:val="none" w:sz="0" w:space="0" w:color="auto"/>
                <w:right w:val="none" w:sz="0" w:space="0" w:color="auto"/>
              </w:divBdr>
            </w:div>
            <w:div w:id="471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image" Target="media/image5.png"/><Relationship Id="rId26" Type="http://schemas.openxmlformats.org/officeDocument/2006/relationships/image" Target="media/image8.wmf"/><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gov.br/agu/pt-br/composicao/cgu/cgu/modelos/licitacoesecontratos/14133" TargetMode="External"/><Relationship Id="rId25" Type="http://schemas.openxmlformats.org/officeDocument/2006/relationships/hyperlink" Target="mailto:consultoria.pgf@agu.gov.br" TargetMode="External"/><Relationship Id="rId33" Type="http://schemas.openxmlformats.org/officeDocument/2006/relationships/hyperlink" Target="https://www.gov.br/compras/pt-br/acesso-a-informacao/legislacao/portarias/portaria-no-179-de-22-de-abril-de-2019" TargetMode="External"/><Relationship Id="rId2" Type="http://schemas.openxmlformats.org/officeDocument/2006/relationships/customXml" Target="../customXml/item2.xml"/><Relationship Id="rId16" Type="http://schemas.openxmlformats.org/officeDocument/2006/relationships/hyperlink" Target="https://www.gov.br/agu/pt-br/composicao/cgu/cgu/modelos/licitacoesecontratos/14133" TargetMode="External"/><Relationship Id="rId20" Type="http://schemas.openxmlformats.org/officeDocument/2006/relationships/hyperlink" Target="https://www.youtube.com/watch?v=V-tgX6ueHY4" TargetMode="External"/><Relationship Id="rId29"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consultoria.pgf@agu.gov.br" TargetMode="External"/><Relationship Id="rId32" Type="http://schemas.openxmlformats.org/officeDocument/2006/relationships/hyperlink" Target="https://www.gov.br/compras/pt-br/acesso-a-informacao/legislacao/portarias/portaria-no-179-de-22-de-abril-de-2019"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0.png"/><Relationship Id="rId23" Type="http://schemas.openxmlformats.org/officeDocument/2006/relationships/image" Target="media/image70.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0.png"/><Relationship Id="rId31" Type="http://schemas.openxmlformats.org/officeDocument/2006/relationships/hyperlink" Target="https://www.gov.br/compras/pt-br/acesso-a-informacao/legislacao/portarias/portaria-me-no-7-828-de-30-de-agosto-de-2022" TargetMode="External"/><Relationship Id="rId44"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80.wmf"/><Relationship Id="rId30" Type="http://schemas.openxmlformats.org/officeDocument/2006/relationships/hyperlink" Target="https://www.gov.br/compras/pt-br/acesso-a-informacao/legislacao/portarias/portaria-me-no-7-828-de-30-de-agosto-de-2022"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9" ma:contentTypeDescription="Create a new document." ma:contentTypeScope="" ma:versionID="51641b259090f51af9b68396b4110bd2">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7b51ae0a11f56263e402bbe872819d29"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Observa_x00e7__x00f5_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Observa_x00e7__x00f5_es" ma:index="24" nillable="true" ma:displayName="Observações" ma:format="Dropdown" ma:internalName="Observa_x00e7__x00f5_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SharedWithUsers xmlns="597230be-81b2-49ee-a851-bc0bfffacec1">
      <UserInfo>
        <DisplayName/>
        <AccountId xsi:nil="true"/>
        <AccountType/>
      </UserInfo>
    </SharedWithUsers>
    <MediaLengthInSeconds xmlns="a43e49fb-bdc2-4760-8452-31999e19643b" xsi:nil="true"/>
    <Observa_x00e7__x00f5_es xmlns="a43e49fb-bdc2-4760-8452-31999e19643b" xsi:nil="true"/>
  </documentManagement>
</p:properties>
</file>

<file path=customXml/itemProps1.xml><?xml version="1.0" encoding="utf-8"?>
<ds:datastoreItem xmlns:ds="http://schemas.openxmlformats.org/officeDocument/2006/customXml" ds:itemID="{23E5A2B3-73EC-4B6C-B1DF-967C172EB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227B4C-1D31-4499-96CF-CF4F8E111135}">
  <ds:schemaRefs>
    <ds:schemaRef ds:uri="http://schemas.microsoft.com/sharepoint/v3/contenttype/forms"/>
  </ds:schemaRefs>
</ds:datastoreItem>
</file>

<file path=customXml/itemProps3.xml><?xml version="1.0" encoding="utf-8"?>
<ds:datastoreItem xmlns:ds="http://schemas.openxmlformats.org/officeDocument/2006/customXml" ds:itemID="{1B98A2EF-E423-4534-8D85-1076A66E5A69}">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15271</Words>
  <Characters>82469</Characters>
  <Application>Microsoft Office Word</Application>
  <DocSecurity>0</DocSecurity>
  <Lines>687</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Reginaldo Pereira Gomes Filho</dc:creator>
  <cp:keywords/>
  <dc:description/>
  <cp:lastModifiedBy>Marcela Ali Tarif Roque</cp:lastModifiedBy>
  <cp:revision>6</cp:revision>
  <cp:lastPrinted>2023-04-28T12:55:00Z</cp:lastPrinted>
  <dcterms:created xsi:type="dcterms:W3CDTF">2024-06-12T20:02:00Z</dcterms:created>
  <dcterms:modified xsi:type="dcterms:W3CDTF">2024-06-13T21:44:00Z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Order">
    <vt:r8>241700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