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8B84" w14:textId="77777777" w:rsidR="00C87B02" w:rsidRPr="00826906" w:rsidRDefault="00C87B02" w:rsidP="004706CC">
      <w:pPr>
        <w:pStyle w:val="Cabealho"/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MINISTÉRIO DA AGRICULTURA, PECUÁRIA E ABASTECIMENTO</w:t>
      </w:r>
    </w:p>
    <w:p w14:paraId="0012FA22" w14:textId="77777777"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Secretaria de Relações Internacionais do Agronegócio</w:t>
      </w:r>
    </w:p>
    <w:p w14:paraId="7312A026" w14:textId="77777777" w:rsidR="00C87B02" w:rsidRPr="00826906" w:rsidRDefault="00C87B02">
      <w:pPr>
        <w:pStyle w:val="Ttulo1"/>
        <w:rPr>
          <w:rFonts w:ascii="Arial" w:hAnsi="Arial" w:cs="Arial"/>
          <w:sz w:val="20"/>
          <w:szCs w:val="20"/>
        </w:rPr>
      </w:pPr>
    </w:p>
    <w:p w14:paraId="2C96BBAE" w14:textId="64A9A59A" w:rsidR="00C87B02" w:rsidRPr="00826906" w:rsidRDefault="00C87B02">
      <w:pPr>
        <w:pStyle w:val="Ttulo1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Balança Comercial do Agronegócio – </w:t>
      </w:r>
      <w:proofErr w:type="gramStart"/>
      <w:r w:rsidR="004706CC">
        <w:rPr>
          <w:rFonts w:ascii="Arial" w:hAnsi="Arial" w:cs="Arial"/>
          <w:sz w:val="20"/>
          <w:szCs w:val="20"/>
        </w:rPr>
        <w:t>Setembro</w:t>
      </w:r>
      <w:proofErr w:type="gramEnd"/>
      <w:r w:rsidR="007763E5">
        <w:rPr>
          <w:rFonts w:ascii="Arial" w:hAnsi="Arial" w:cs="Arial"/>
          <w:sz w:val="20"/>
          <w:szCs w:val="20"/>
        </w:rPr>
        <w:t>/</w:t>
      </w:r>
      <w:r w:rsidR="007C6628">
        <w:rPr>
          <w:rFonts w:ascii="Arial" w:hAnsi="Arial" w:cs="Arial"/>
          <w:sz w:val="20"/>
          <w:szCs w:val="20"/>
        </w:rPr>
        <w:t>2019</w:t>
      </w:r>
    </w:p>
    <w:p w14:paraId="2DAADCA7" w14:textId="77777777" w:rsidR="008035E6" w:rsidRPr="00826906" w:rsidRDefault="008035E6" w:rsidP="008035E6">
      <w:pPr>
        <w:rPr>
          <w:rFonts w:ascii="Arial" w:hAnsi="Arial" w:cs="Arial"/>
        </w:rPr>
      </w:pPr>
    </w:p>
    <w:p w14:paraId="0EDFAF5D" w14:textId="25A9595A" w:rsidR="008035E6" w:rsidRPr="00826906" w:rsidRDefault="000309CC" w:rsidP="008035E6">
      <w:pPr>
        <w:rPr>
          <w:rFonts w:ascii="Arial" w:hAnsi="Arial" w:cs="Arial"/>
        </w:rPr>
      </w:pPr>
      <w:r w:rsidRPr="000309CC">
        <w:rPr>
          <w:noProof/>
        </w:rPr>
        <w:drawing>
          <wp:inline distT="0" distB="0" distL="0" distR="0" wp14:anchorId="6CD58C10" wp14:editId="5173867D">
            <wp:extent cx="6480175" cy="3051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73B35" w14:textId="77777777" w:rsidR="00C87B02" w:rsidRPr="00826906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4B87317A" w14:textId="77777777" w:rsidR="00E04FAF" w:rsidRPr="00826906" w:rsidRDefault="00E04FAF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1C81EB44" w14:textId="482279FD" w:rsidR="003E2A9B" w:rsidRDefault="003E2A9B" w:rsidP="003E2A9B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I – Resultados do mês (comparativo </w:t>
      </w:r>
      <w:proofErr w:type="gramStart"/>
      <w:r w:rsidR="004706CC">
        <w:rPr>
          <w:rFonts w:ascii="Arial" w:hAnsi="Arial" w:cs="Arial"/>
          <w:sz w:val="20"/>
          <w:szCs w:val="20"/>
        </w:rPr>
        <w:t>Setembro</w:t>
      </w:r>
      <w:proofErr w:type="gramEnd"/>
      <w:r>
        <w:rPr>
          <w:rFonts w:ascii="Arial" w:hAnsi="Arial" w:cs="Arial"/>
          <w:sz w:val="20"/>
          <w:szCs w:val="20"/>
        </w:rPr>
        <w:t>/</w:t>
      </w:r>
      <w:r w:rsidR="007C6628">
        <w:rPr>
          <w:rFonts w:ascii="Arial" w:hAnsi="Arial" w:cs="Arial"/>
          <w:sz w:val="20"/>
          <w:szCs w:val="20"/>
        </w:rPr>
        <w:t>2019</w:t>
      </w:r>
      <w:r w:rsidRPr="00826906">
        <w:rPr>
          <w:rFonts w:ascii="Arial" w:hAnsi="Arial" w:cs="Arial"/>
          <w:sz w:val="20"/>
          <w:szCs w:val="20"/>
        </w:rPr>
        <w:t xml:space="preserve"> – </w:t>
      </w:r>
      <w:r w:rsidR="004706CC">
        <w:rPr>
          <w:rFonts w:ascii="Arial" w:hAnsi="Arial" w:cs="Arial"/>
          <w:sz w:val="20"/>
          <w:szCs w:val="20"/>
        </w:rPr>
        <w:t>Setembro</w:t>
      </w:r>
      <w:r w:rsidRPr="00826906">
        <w:rPr>
          <w:rFonts w:ascii="Arial" w:hAnsi="Arial" w:cs="Arial"/>
          <w:sz w:val="20"/>
          <w:szCs w:val="20"/>
        </w:rPr>
        <w:t>/</w:t>
      </w:r>
      <w:r w:rsidR="007C6628">
        <w:rPr>
          <w:rFonts w:ascii="Arial" w:hAnsi="Arial" w:cs="Arial"/>
          <w:sz w:val="20"/>
          <w:szCs w:val="20"/>
        </w:rPr>
        <w:t>2018</w:t>
      </w:r>
      <w:r w:rsidRPr="00826906">
        <w:rPr>
          <w:rFonts w:ascii="Arial" w:hAnsi="Arial" w:cs="Arial"/>
          <w:sz w:val="20"/>
          <w:szCs w:val="20"/>
        </w:rPr>
        <w:t>)</w:t>
      </w:r>
    </w:p>
    <w:p w14:paraId="3F2B504B" w14:textId="77777777" w:rsidR="003E2A9B" w:rsidRDefault="003E2A9B" w:rsidP="003E2A9B"/>
    <w:p w14:paraId="09831EE3" w14:textId="77777777" w:rsidR="008C5A28" w:rsidRDefault="008C5A28" w:rsidP="00544B78">
      <w:pPr>
        <w:pStyle w:val="Recuodecorpodetexto"/>
      </w:pPr>
      <w:r>
        <w:t>Em setembro de 2019, as exportações do agronegócio foram de US$ 7,75 bilhões. Este valor foi 3,9% inferior em relação aos US$ 8,06 exportados pelo agronegócio em setembro de 2018. A queda das exportações ocorreu em função da redução dos índices de preços dos produtos do agronegócio exportados pelo Brasil, que registraram recuo médio de 4,5%.  Por outro lado, o índice de quantum aumentou 0,7% na comparação entre setembro de 2019 e setembro de 2018, ajudando a abrandar a queda no valor exportado.</w:t>
      </w:r>
    </w:p>
    <w:p w14:paraId="60805306" w14:textId="77777777" w:rsidR="008C5A28" w:rsidRDefault="008C5A28" w:rsidP="00544B78">
      <w:pPr>
        <w:pStyle w:val="Recuodecorpodetexto"/>
      </w:pPr>
    </w:p>
    <w:p w14:paraId="0644A4EA" w14:textId="59991325" w:rsidR="008C5A28" w:rsidRDefault="008C5A28" w:rsidP="00544B78">
      <w:pPr>
        <w:pStyle w:val="Recuodecorpodetexto"/>
      </w:pPr>
      <w:r>
        <w:t>Com os US$ 7,75 bilhões exportados, o agronegócio participou com 41,4% do valor total exportado pelo Brasil, que foi de US$ 18,74 bilhões. No mesmo mês de setembro de 2018, as exportações do agronegócio tiveram participação de 42,0% nas exportações totais.</w:t>
      </w:r>
    </w:p>
    <w:p w14:paraId="66D3776A" w14:textId="77777777" w:rsidR="008C5A28" w:rsidRDefault="008C5A28" w:rsidP="00544B78">
      <w:pPr>
        <w:pStyle w:val="Recuodecorpodetexto"/>
      </w:pPr>
    </w:p>
    <w:p w14:paraId="12774C33" w14:textId="77777777" w:rsidR="008C5A28" w:rsidRDefault="008C5A28" w:rsidP="00544B78">
      <w:pPr>
        <w:pStyle w:val="Recuodecorpodetexto"/>
      </w:pPr>
      <w:r>
        <w:t>As importações de produtos do agronegócio também apresentaram queda no valor importado, passando de US$ 1,07 bilhão em setembro de 2018 para US$ 1,05 bilhão em setembro de 2019 (-2,1%).</w:t>
      </w:r>
    </w:p>
    <w:p w14:paraId="46D9A4DB" w14:textId="64EE8514" w:rsidR="003E2A9B" w:rsidRDefault="003E2A9B" w:rsidP="00455FAB">
      <w:pPr>
        <w:pStyle w:val="Recuodecorpodetexto"/>
        <w:rPr>
          <w:rFonts w:ascii="Arial" w:hAnsi="Arial" w:cs="Arial"/>
          <w:sz w:val="20"/>
          <w:szCs w:val="20"/>
        </w:rPr>
      </w:pPr>
    </w:p>
    <w:p w14:paraId="26964EFC" w14:textId="77777777" w:rsidR="003E2A9B" w:rsidRPr="00826906" w:rsidRDefault="003E2A9B" w:rsidP="003E2A9B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F60E2D3" w14:textId="77777777" w:rsidR="003E2A9B" w:rsidRDefault="003E2A9B" w:rsidP="003E2A9B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14:paraId="72EAAB37" w14:textId="77777777" w:rsidR="003E2A9B" w:rsidRPr="00522768" w:rsidRDefault="003E2A9B" w:rsidP="003E2A9B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14:paraId="2C780C69" w14:textId="6DD1D57C" w:rsidR="008C5A28" w:rsidRDefault="008C5A28" w:rsidP="00544B78">
      <w:pPr>
        <w:pStyle w:val="Recuodecorpodetexto"/>
      </w:pPr>
      <w:r>
        <w:t>Os cinco principais setores exportadores foram responsáveis por 77,8% das exportações do agronegócio em setembro de 2019. A participação de cada um desses cinco setores foi: complexo soja (27,0%); carnes (16,8%); cereais, farinhas e preparações (14,9%); produtos florestais (11,4%); e complexo sucroalcooleiro (7,8%). Em setembro de 2018, a participação dos mesmos cinco setores foi de 79,0%. Ou seja, houve uma desconcentração das exportações do agronegócio brasileiro entre os períodos de análise.</w:t>
      </w:r>
    </w:p>
    <w:p w14:paraId="25F7EAB6" w14:textId="77777777" w:rsidR="008C5A28" w:rsidRDefault="008C5A28" w:rsidP="00544B78">
      <w:pPr>
        <w:pStyle w:val="Recuodecorpodetexto"/>
      </w:pPr>
    </w:p>
    <w:p w14:paraId="1480EED7" w14:textId="32F41AEA" w:rsidR="008C5A28" w:rsidRDefault="008C5A28" w:rsidP="00544B78">
      <w:pPr>
        <w:pStyle w:val="Recuodecorpodetexto"/>
      </w:pPr>
      <w:r>
        <w:t xml:space="preserve">O complexo soja foi o principal setor exportador do agronegócio brasileiro em setembro de 2019 com US$ 2,10 bilhão (-11,6%).  Os preços médios de exportação dos produtos do setor caíram 10,7% na comparação entre setembro de 2019 e setembro de 2018.  Essa queda de preço foi o principal fator que gerou a redução do valor exportado, todavia, houve também uma redução de 1,0% no </w:t>
      </w:r>
      <w:r w:rsidRPr="00544B78">
        <w:t xml:space="preserve">quantum </w:t>
      </w:r>
      <w:r>
        <w:t xml:space="preserve">exportado pelo setor. </w:t>
      </w:r>
    </w:p>
    <w:p w14:paraId="59B951D5" w14:textId="77777777" w:rsidR="008C5A28" w:rsidRDefault="008C5A28" w:rsidP="00544B78">
      <w:pPr>
        <w:pStyle w:val="Recuodecorpodetexto"/>
      </w:pPr>
    </w:p>
    <w:p w14:paraId="315767A7" w14:textId="35853584" w:rsidR="008C5A28" w:rsidRDefault="008C5A28" w:rsidP="00544B78">
      <w:pPr>
        <w:pStyle w:val="Recuodecorpodetexto"/>
      </w:pPr>
      <w:r>
        <w:t xml:space="preserve">As exportações de soja em grão foram de 4,45 milhões de toneladas em setembro de 2019 (-2,4%). Os preços médios de exportação da soja em grão brasileira caíram 9,6%, atingindo US$ 359 por tonelada </w:t>
      </w:r>
      <w:r>
        <w:lastRenderedPageBreak/>
        <w:t xml:space="preserve">exportada. Com a queda na quantidade exportada e no preço médio de exportação, o valor exportado de soja em grão caiu 11,8%, chegando a US$ 1,60 bilhão. Além da queda no valor exportado de soja em grão, houve queda também nas exportações de farelo de soja, que foram de US$ 435,64 milhões (-12,1%). Por sua vez, as exportações de óleo de soja subiram 0,5%, atingindo US$ 62,52 milhões. </w:t>
      </w:r>
    </w:p>
    <w:p w14:paraId="5262DA53" w14:textId="77777777" w:rsidR="008C5A28" w:rsidRDefault="008C5A28" w:rsidP="00544B78">
      <w:pPr>
        <w:pStyle w:val="Recuodecorpodetexto"/>
      </w:pPr>
    </w:p>
    <w:p w14:paraId="01303854" w14:textId="355E8608" w:rsidR="008C5A28" w:rsidRDefault="008C5A28" w:rsidP="00544B78">
      <w:pPr>
        <w:pStyle w:val="Recuodecorpodetexto"/>
      </w:pPr>
      <w:r>
        <w:t>O desempenho do setor de carnes também foi negativo. As exportações diminuíram de US$ 1,41 bilhão em setembro de 2018 para US$ 1,30 bilhão em setembro de 2019 (-8,1%). É interessante observar que foi um dos poucos setores que apresentou elevação nos preços médios de exportação, que subiram 5,0%. Não obstante a elevação dos preços médios de exportação, a volume de carne exportada nesse mês de setembro foi 12,5% inferior ao de setembro de 2018, chegando a 537,93 mil toneladas.</w:t>
      </w:r>
    </w:p>
    <w:p w14:paraId="0648BF9F" w14:textId="77777777" w:rsidR="008C5A28" w:rsidRDefault="008C5A28" w:rsidP="00544B78">
      <w:pPr>
        <w:pStyle w:val="Recuodecorpodetexto"/>
      </w:pPr>
    </w:p>
    <w:p w14:paraId="31EDAD02" w14:textId="2FEBDAA7" w:rsidR="008C5A28" w:rsidRDefault="008C5A28" w:rsidP="00544B78">
      <w:pPr>
        <w:pStyle w:val="Recuodecorpodetexto"/>
      </w:pPr>
      <w:r>
        <w:t xml:space="preserve">A carne de bovinos foi a principal carne exportada, com registros de US$ 607,16 milhões em exportações (-13,1%). O preço médio de exportação da carne bovina incrementou 6,9% enquanto o volume de exportação caiu 18,7%. As vendas externas de carne de frango tiveram comportamental parecido com o da carne bovina, com os preços subiram 4,5% e queda de 11,4% no volume médio exportado. Como resultado da queda do volume exportado, as exportações de carne de frango caíram para US$ 530,15 milhões. </w:t>
      </w:r>
    </w:p>
    <w:p w14:paraId="063012BC" w14:textId="77777777" w:rsidR="008C5A28" w:rsidRDefault="008C5A28" w:rsidP="00544B78">
      <w:pPr>
        <w:pStyle w:val="Recuodecorpodetexto"/>
      </w:pPr>
    </w:p>
    <w:p w14:paraId="0612EBF0" w14:textId="7D4B7682" w:rsidR="008C5A28" w:rsidRDefault="008C5A28" w:rsidP="00544B78">
      <w:pPr>
        <w:pStyle w:val="Recuodecorpodetexto"/>
      </w:pPr>
      <w:r>
        <w:t xml:space="preserve">A única carne de apresentou expansão no valor exportado foi a carne suína. As exportações subiram de US$ 93,71 milhões em setembro de 2018 para US$ 123,28 milhões em setembro de 2019 (+31,6). O surto de febre suína africana na Ásia tem afetado o preço internacional do produto, que subiu 28,2% entre setembro de 2018 e setembro de 2019. Esses preços mais elevados ajudaram na expansão das exportações brasileiras, que também registrou incremento de 2,6% no volume exportado. </w:t>
      </w:r>
    </w:p>
    <w:p w14:paraId="530E4C9E" w14:textId="77777777" w:rsidR="008C5A28" w:rsidRDefault="008C5A28" w:rsidP="00544B78">
      <w:pPr>
        <w:pStyle w:val="Recuodecorpodetexto"/>
      </w:pPr>
    </w:p>
    <w:p w14:paraId="1EF21CBC" w14:textId="3A9A7A6E" w:rsidR="008C5A28" w:rsidRDefault="008C5A28" w:rsidP="00544B78">
      <w:pPr>
        <w:pStyle w:val="Recuodecorpodetexto"/>
      </w:pPr>
      <w:r>
        <w:t xml:space="preserve">Os cereais, farinhas e preparações subiram para a terceira posição dentre os principais setores exportadores do agronegócio brasileiro, atingindo US$ 1,15 bilhão em vendas externas, o que significou 75,2% de incremento no valor exportado. O principal produto responsável por essas exportações foi o milho. A safra de milho brasileira 2018/2019 foi recorde, fato que aumentou a oferta do cereal e ampliou a existência de excedente exportável. Nessas condições, as exportações de milho foram recorde histórico para os meses de setembro, tanto em valor quanto em quantidade, com 6,5 milhões de toneladas exportadas (+93,4%) e US$ 1,1 </w:t>
      </w:r>
      <w:r w:rsidR="009531F5">
        <w:t xml:space="preserve">bilhão </w:t>
      </w:r>
      <w:bookmarkStart w:id="0" w:name="_GoBack"/>
      <w:bookmarkEnd w:id="0"/>
      <w:r>
        <w:t>de registro de exportação (+85,5%).</w:t>
      </w:r>
    </w:p>
    <w:p w14:paraId="5A283EF0" w14:textId="77777777" w:rsidR="008C5A28" w:rsidRDefault="008C5A28" w:rsidP="00544B78">
      <w:pPr>
        <w:pStyle w:val="Recuodecorpodetexto"/>
      </w:pPr>
    </w:p>
    <w:p w14:paraId="7C56B767" w14:textId="77777777" w:rsidR="008C5A28" w:rsidRDefault="008C5A28" w:rsidP="00544B78">
      <w:pPr>
        <w:pStyle w:val="Recuodecorpodetexto"/>
      </w:pPr>
      <w:r>
        <w:t>As exportações de produtos florestais atingiram US$ 880,95 milhões em setembro de 2019 (-22,4%). O principal produto exportado pelo setor é a celulose. Em setembro de 2019, as exportações de celulose foram de US$ 480,14 milhões (-25,9%). Os elevados estoques de celulose nos principais mercados importadores pressionaram os preços para baixo (-17,5%).  Houve, também, redução do volume exportado pelo Brasil (-10,2%). Além da queda nas exportações de celulose, houve diminuição nas exportações dos outros dois produtos do setor: madeira e suas obras (US$ 254 milhões; -18,9%) e papel (US$ 146 milhões; -15,7%).</w:t>
      </w:r>
    </w:p>
    <w:p w14:paraId="49451F84" w14:textId="55035813" w:rsidR="008C5A28" w:rsidRDefault="008C5A28" w:rsidP="00544B78">
      <w:pPr>
        <w:pStyle w:val="Recuodecorpodetexto"/>
      </w:pPr>
      <w:r>
        <w:t xml:space="preserve"> </w:t>
      </w:r>
    </w:p>
    <w:p w14:paraId="7BD6EA85" w14:textId="25C6D6D7" w:rsidR="008C5A28" w:rsidRDefault="008C5A28" w:rsidP="00544B78">
      <w:pPr>
        <w:pStyle w:val="Recuodecorpodetexto"/>
      </w:pPr>
      <w:r>
        <w:t>A quinta posição entre os principais setores exportadores do agronegócio ficou com o complexo sucroalcooleiro.  O setor exportou US$ 603,96 milhões (-24,0%). As exportações de açúcar foram de US$ 483,57 milhões (-31,8%), em função de uma redução no volume exportado de 2,52 milhões de toneladas em setembro de 2018 para 1,72 milhões de toneladas em setembro de 2019 (-31,8%). As exportações de álcool, por sua vez, subiram 41,5%, atingindo US$ 119,37 milhões em setembro de 2019.</w:t>
      </w:r>
    </w:p>
    <w:p w14:paraId="582CC9A6" w14:textId="77777777" w:rsidR="008C5A28" w:rsidRDefault="008C5A28" w:rsidP="00544B78">
      <w:pPr>
        <w:pStyle w:val="Recuodecorpodetexto"/>
      </w:pPr>
    </w:p>
    <w:p w14:paraId="7EEFF77C" w14:textId="4940D373" w:rsidR="008C5A28" w:rsidRDefault="008C5A28" w:rsidP="00544B78">
      <w:pPr>
        <w:pStyle w:val="Recuodecorpodetexto"/>
      </w:pPr>
      <w:r>
        <w:t>Esses cinco setores acima mencionados foram responsáveis por 77,8% das exportações do agronegócio em setembro de 2019. Os vinte demais setores exportadores venderam ao exterior US$ 1,72 bilhão em setembro de 2019 ou 22,2% do total exportado. No mês de setembro de 2018, esses mesmos vinte setores exportaram US$ 1,69 bilhão. O incremento do valor exportado por esses vinte setores ocorreu em virtude, principalmente, da expansão das exportações de algodão não cardado nem penteado, que aumentou as vendas externas de US$ 152,82 milhões em setembro de 2018 para US$ 228,80 milhões em setembro de 2019 (+49,7%), e do fumo não manufaturado, que ampliou as vendas externas de US$ 153,94 milhões em setembro de 2018 para US$ 260,65 milhões em setembro de 2019 (+69,3%).</w:t>
      </w:r>
    </w:p>
    <w:p w14:paraId="56FCBD11" w14:textId="77777777" w:rsidR="008C5A28" w:rsidRDefault="008C5A28" w:rsidP="00544B78">
      <w:pPr>
        <w:pStyle w:val="Recuodecorpodetexto"/>
      </w:pPr>
    </w:p>
    <w:p w14:paraId="56F643F6" w14:textId="77777777" w:rsidR="008C5A28" w:rsidRDefault="008C5A28" w:rsidP="00544B78">
      <w:pPr>
        <w:pStyle w:val="Recuodecorpodetexto"/>
      </w:pPr>
      <w:r>
        <w:t xml:space="preserve">As importações de produtos do agronegócio foram de US$ 1,05 bilhão em setembro de 2019 (-2,1%). Os dez principais produtos importados no mês foram: trigo (US$ 114,56 milhões; -21,2%); papel (US$ 65,74 milhões; -9,5%); vestuário e outros produtos têxteis (US$ 48,63 milhões; -6,6%); salmões (US$ 41,10 milhões; +34,5%); vinho (US$ 37,46 milhões; +42,6%); malte (US$ 37,03 milhões; -13,4%); álcool etílico (US$ 29,17 milhões; +1.083,7%); borracha natural (US$ 28,09 milhões; +10,9%); batatas preparadas ou conservadas (US$ 26,57 milhões; -1,2%); e azeite de oliva (US$ 24,94 milhões; -28,2%). </w:t>
      </w:r>
    </w:p>
    <w:p w14:paraId="78896CA4" w14:textId="77777777" w:rsidR="00C0360F" w:rsidRPr="00FC28CC" w:rsidRDefault="00C0360F" w:rsidP="00CB0499">
      <w:pPr>
        <w:pStyle w:val="Recuodecorpodetexto"/>
        <w:rPr>
          <w:rFonts w:ascii="Arial" w:hAnsi="Arial" w:cs="Arial"/>
          <w:sz w:val="20"/>
          <w:szCs w:val="20"/>
        </w:rPr>
      </w:pPr>
    </w:p>
    <w:p w14:paraId="7D2EF5F9" w14:textId="77777777" w:rsidR="00C7675B" w:rsidRDefault="00C7675B" w:rsidP="00907DCF">
      <w:pPr>
        <w:pStyle w:val="Recuodecorpodetexto"/>
        <w:rPr>
          <w:rFonts w:ascii="Arial" w:hAnsi="Arial" w:cs="Arial"/>
          <w:sz w:val="20"/>
          <w:szCs w:val="20"/>
        </w:rPr>
      </w:pPr>
    </w:p>
    <w:p w14:paraId="0D9F533C" w14:textId="4F9981E6" w:rsidR="00CF132A" w:rsidRPr="00826906" w:rsidRDefault="000309CC" w:rsidP="00A560CC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0309CC">
        <w:rPr>
          <w:noProof/>
        </w:rPr>
        <w:drawing>
          <wp:inline distT="0" distB="0" distL="0" distR="0" wp14:anchorId="4F19374F" wp14:editId="2818F27E">
            <wp:extent cx="6480175" cy="3855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EF5A" w14:textId="77777777" w:rsidR="00AB3924" w:rsidRPr="005A162D" w:rsidRDefault="00AB3924" w:rsidP="005A162D">
      <w:pPr>
        <w:jc w:val="both"/>
        <w:rPr>
          <w:rFonts w:ascii="Arial" w:hAnsi="Arial" w:cs="Arial"/>
          <w:sz w:val="20"/>
          <w:szCs w:val="20"/>
        </w:rPr>
      </w:pPr>
    </w:p>
    <w:p w14:paraId="6D131F44" w14:textId="77777777" w:rsidR="00FA7BC4" w:rsidRDefault="00FA7BC4" w:rsidP="00E207EB">
      <w:pPr>
        <w:jc w:val="both"/>
        <w:rPr>
          <w:rFonts w:ascii="Arial" w:hAnsi="Arial" w:cs="Arial"/>
          <w:b/>
          <w:sz w:val="20"/>
          <w:szCs w:val="20"/>
        </w:rPr>
      </w:pPr>
    </w:p>
    <w:p w14:paraId="11A3702A" w14:textId="77777777" w:rsidR="001D51EE" w:rsidRDefault="006D7B33" w:rsidP="00E207E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26906">
        <w:rPr>
          <w:rFonts w:ascii="Arial" w:hAnsi="Arial" w:cs="Arial"/>
          <w:b/>
          <w:sz w:val="20"/>
          <w:szCs w:val="20"/>
        </w:rPr>
        <w:t>I.b</w:t>
      </w:r>
      <w:proofErr w:type="spellEnd"/>
      <w:r w:rsidRPr="00826906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14:paraId="4612A37F" w14:textId="77777777" w:rsidR="008F667F" w:rsidRDefault="008F667F" w:rsidP="00E207EB">
      <w:pPr>
        <w:jc w:val="both"/>
        <w:rPr>
          <w:rFonts w:ascii="Arial" w:hAnsi="Arial" w:cs="Arial"/>
          <w:b/>
          <w:sz w:val="20"/>
          <w:szCs w:val="20"/>
        </w:rPr>
      </w:pPr>
    </w:p>
    <w:p w14:paraId="434A354B" w14:textId="34A0E242" w:rsidR="00801D37" w:rsidRPr="008C5A28" w:rsidRDefault="00F0112A" w:rsidP="00801D37">
      <w:pPr>
        <w:pStyle w:val="Recuodecorpodetexto"/>
      </w:pPr>
      <w:r w:rsidRPr="008C5A28">
        <w:t>Entre os blocos econômicos e regiões geográficas, a Ásia se manteve como principal destino das exportações brasileiras do agronegócio em setembro de 2019. Houve, contudo, queda de 1,5% em relação ao mesmo mês em 2018, alcançando a cifra de US$ 3,76 bilhões</w:t>
      </w:r>
      <w:r w:rsidR="00801D37" w:rsidRPr="008C5A28">
        <w:t>.</w:t>
      </w:r>
      <w:r w:rsidRPr="008C5A28">
        <w:t xml:space="preserve"> A despeito da queda, a participação da região passou de 47,3% para 48,5% do total das exportações do setor no período. A</w:t>
      </w:r>
      <w:r w:rsidR="00051EEF" w:rsidRPr="008C5A28">
        <w:t xml:space="preserve"> retração nas </w:t>
      </w:r>
      <w:r w:rsidRPr="008C5A28">
        <w:t xml:space="preserve">vendas de </w:t>
      </w:r>
      <w:r w:rsidR="00051EEF" w:rsidRPr="008C5A28">
        <w:t>soja em grãos (-US$ 285,74 milhões) e açúcar (-US$ 171,75 milhões) foram o principal fator que contribuiu para a redução das exportações brasileiras à região. Por outro lado, houve crescimento nas vendas de milho (+US$ 395,62 milhões) e fumo não manufaturado (+US$ 109,88 milhões).</w:t>
      </w:r>
    </w:p>
    <w:p w14:paraId="1B14DC3D" w14:textId="0A51D6F9" w:rsidR="00051EEF" w:rsidRPr="008C5A28" w:rsidRDefault="00051EEF" w:rsidP="00801D37">
      <w:pPr>
        <w:pStyle w:val="Recuodecorpodetexto"/>
      </w:pPr>
    </w:p>
    <w:p w14:paraId="00B0B486" w14:textId="3C97B6F4" w:rsidR="00051EEF" w:rsidRPr="008C5A28" w:rsidRDefault="00051EEF" w:rsidP="00B6655A">
      <w:pPr>
        <w:pStyle w:val="Recuodecorpodetexto"/>
      </w:pPr>
      <w:r w:rsidRPr="008C5A28">
        <w:t xml:space="preserve">A União Europeia manteve sua participação como destino das exportações brasileiras </w:t>
      </w:r>
      <w:r w:rsidR="00B6655A" w:rsidRPr="008C5A28">
        <w:t>do setor em 17,4%. Na comparação com setembro de 2018 verifica-se a queda de 3,9% em valor (de US$ 1,4 bilhão para US$ 1,35 bilhão). O café verde (-US$ 45,32 bilhões) e carne de frango (-US$ 33,89 milhões) foram os produtos que mais contribuíram para essa redução. O aumento nas exportações de suco de laranja (+US$ 87,5 milhões) e soja em grãos (+US$ 65,26 milhões) não foram suficientes para compensar a queda observada nos demais produtos da pauta.</w:t>
      </w:r>
    </w:p>
    <w:p w14:paraId="235284BC" w14:textId="2FBAEED3" w:rsidR="00B6655A" w:rsidRPr="008C5A28" w:rsidRDefault="00B6655A" w:rsidP="00B6655A">
      <w:pPr>
        <w:pStyle w:val="Recuodecorpodetexto"/>
      </w:pPr>
    </w:p>
    <w:p w14:paraId="5C35345C" w14:textId="5F5E9B98" w:rsidR="00C7675B" w:rsidRPr="008C5A28" w:rsidRDefault="00B6655A" w:rsidP="00907DCF">
      <w:pPr>
        <w:pStyle w:val="Recuodecorpodetexto"/>
      </w:pPr>
      <w:r w:rsidRPr="008C5A28">
        <w:t xml:space="preserve">Cabe ressaltar </w:t>
      </w:r>
      <w:r w:rsidR="0013358D" w:rsidRPr="008C5A28">
        <w:t xml:space="preserve">que houve redução em quase todos os blocos econômicos e regiões geográficas, porém registra-se </w:t>
      </w:r>
      <w:r w:rsidRPr="008C5A28">
        <w:t>a ampliação nas exportações para o NAFTA (+13,2%), ALADI (+31,3%) e o conjunto formado pelos demais países da Europa Ocidental (+40,7%).</w:t>
      </w:r>
    </w:p>
    <w:p w14:paraId="65477729" w14:textId="77777777" w:rsidR="00907DCF" w:rsidRPr="00DD0277" w:rsidRDefault="00907DCF" w:rsidP="00907DCF">
      <w:pPr>
        <w:pStyle w:val="Recuodecorpodetexto"/>
        <w:rPr>
          <w:rFonts w:ascii="Arial" w:hAnsi="Arial" w:cs="Arial"/>
          <w:sz w:val="20"/>
          <w:szCs w:val="20"/>
        </w:rPr>
      </w:pPr>
    </w:p>
    <w:p w14:paraId="01B34308" w14:textId="1E28D4D7" w:rsidR="00196B83" w:rsidRPr="00826906" w:rsidRDefault="000309CC" w:rsidP="002B1A0F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0309CC">
        <w:rPr>
          <w:noProof/>
        </w:rPr>
        <w:lastRenderedPageBreak/>
        <w:drawing>
          <wp:inline distT="0" distB="0" distL="0" distR="0" wp14:anchorId="1F7A0BD5" wp14:editId="475C7807">
            <wp:extent cx="6480175" cy="2348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3151" w14:textId="77777777" w:rsidR="007D0604" w:rsidRDefault="007D0604" w:rsidP="00050C8F">
      <w:pPr>
        <w:jc w:val="both"/>
        <w:rPr>
          <w:rFonts w:ascii="Arial" w:hAnsi="Arial" w:cs="Arial"/>
          <w:sz w:val="20"/>
          <w:szCs w:val="20"/>
        </w:rPr>
      </w:pPr>
    </w:p>
    <w:p w14:paraId="28B3DF19" w14:textId="77777777" w:rsidR="00907DCF" w:rsidRPr="00826906" w:rsidRDefault="00907DCF" w:rsidP="00050C8F">
      <w:pPr>
        <w:jc w:val="both"/>
        <w:rPr>
          <w:rFonts w:ascii="Arial" w:hAnsi="Arial" w:cs="Arial"/>
          <w:sz w:val="20"/>
          <w:szCs w:val="20"/>
        </w:rPr>
      </w:pPr>
    </w:p>
    <w:p w14:paraId="1782976E" w14:textId="77777777" w:rsidR="001D51EE" w:rsidRDefault="001D51EE" w:rsidP="001D51E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I.c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Países</w:t>
      </w:r>
    </w:p>
    <w:p w14:paraId="07F8062B" w14:textId="77777777" w:rsidR="008F667F" w:rsidRDefault="008F667F" w:rsidP="008F667F"/>
    <w:p w14:paraId="7AAF65CA" w14:textId="6D5825C0" w:rsidR="00801D37" w:rsidRDefault="00F50EDB" w:rsidP="00801D37">
      <w:pPr>
        <w:pStyle w:val="Recuodecorpodetexto"/>
      </w:pPr>
      <w:r>
        <w:t>Em setembro de 2019, os</w:t>
      </w:r>
      <w:r w:rsidRPr="00F50EDB">
        <w:t xml:space="preserve"> vinte principais </w:t>
      </w:r>
      <w:r>
        <w:t xml:space="preserve">mercados importadores de produtos do agronegócio brasileiro adquiriram 75,2% do valor total exportado pelo Brasil em produtos do agronegócio brasileiro. Esta porcentagem revela uma concentração das exportações em relação a setembro de 2018, mês em que os mesmos vinte países participaram com 73,4% do total das exportações do agronegócio brasileiro. Todos os demais países reunidos diminuíram sua participação de 26,6% em setembro de 2018 para 24,7% em setembro de 2019. </w:t>
      </w:r>
    </w:p>
    <w:p w14:paraId="27DA8BCA" w14:textId="06317A43" w:rsidR="00F50EDB" w:rsidRDefault="00F50EDB" w:rsidP="00801D37">
      <w:pPr>
        <w:pStyle w:val="Recuodecorpodetexto"/>
      </w:pPr>
    </w:p>
    <w:p w14:paraId="332C0075" w14:textId="497340D4" w:rsidR="00F50EDB" w:rsidRDefault="009325A8" w:rsidP="00801D37">
      <w:pPr>
        <w:pStyle w:val="Recuodecorpodetexto"/>
      </w:pPr>
      <w:r>
        <w:t xml:space="preserve">O principal país importador é a China, que comprou US$ 2,19 bilhões em produtos do agronegócio brasileiro. O valor representa uma queda de 9,2% em relação aos US$ 2,41 bilhões exportados em 2018. </w:t>
      </w:r>
      <w:r w:rsidR="004D4B0D">
        <w:t>Com esse valor importado, a</w:t>
      </w:r>
      <w:r>
        <w:t xml:space="preserve"> China obteve </w:t>
      </w:r>
      <w:proofErr w:type="spellStart"/>
      <w:r w:rsidRPr="000C7E02">
        <w:rPr>
          <w:i/>
        </w:rPr>
        <w:t>market</w:t>
      </w:r>
      <w:proofErr w:type="spellEnd"/>
      <w:r w:rsidRPr="000C7E02">
        <w:rPr>
          <w:i/>
        </w:rPr>
        <w:t xml:space="preserve"> </w:t>
      </w:r>
      <w:proofErr w:type="spellStart"/>
      <w:r w:rsidRPr="000C7E02">
        <w:rPr>
          <w:i/>
        </w:rPr>
        <w:t>share</w:t>
      </w:r>
      <w:proofErr w:type="spellEnd"/>
      <w:r w:rsidRPr="002444B6">
        <w:t xml:space="preserve"> </w:t>
      </w:r>
      <w:r>
        <w:t xml:space="preserve">de 28,3% no total das exportações brasileiras do agronegócio em setembro de 2019. </w:t>
      </w:r>
      <w:r w:rsidR="004D4B0D">
        <w:t>Uma participação quatro vezes superior à do segundo principal país importador de produtos do agronegócio brasileiro, os Estados Unidos, que adquiriram US$ 572,92 milhões em setembro de 2019 ou 7,4% do valor total exportado pelo Brasil</w:t>
      </w:r>
    </w:p>
    <w:p w14:paraId="7D88D58D" w14:textId="05758EDE" w:rsidR="009325A8" w:rsidRDefault="009325A8" w:rsidP="00801D37">
      <w:pPr>
        <w:pStyle w:val="Recuodecorpodetexto"/>
      </w:pPr>
    </w:p>
    <w:p w14:paraId="6F909E07" w14:textId="456F7E51" w:rsidR="00CC6EE1" w:rsidRDefault="00CC6EE1" w:rsidP="00E802E7">
      <w:pPr>
        <w:pStyle w:val="Recuodecorpodetexto"/>
      </w:pPr>
      <w:r>
        <w:t>Em setembro de 2019, a</w:t>
      </w:r>
      <w:r w:rsidR="009325A8">
        <w:t xml:space="preserve">lguns países </w:t>
      </w:r>
      <w:r w:rsidR="004D4B0D">
        <w:t xml:space="preserve">merecem destaque por terem </w:t>
      </w:r>
      <w:r w:rsidR="009325A8">
        <w:t>consegui</w:t>
      </w:r>
      <w:r w:rsidR="004D4B0D">
        <w:t>do</w:t>
      </w:r>
      <w:r w:rsidR="009325A8">
        <w:t xml:space="preserve"> aumento de participação acima de um ponto percentual</w:t>
      </w:r>
      <w:r>
        <w:t xml:space="preserve"> n</w:t>
      </w:r>
      <w:r w:rsidR="00E802E7">
        <w:t>a</w:t>
      </w:r>
      <w:r>
        <w:t>s exportações do agronegócio brasileiro</w:t>
      </w:r>
      <w:r w:rsidR="009325A8">
        <w:t>: Japão (de 2,1% de participação para 4,8%); Coreia do Sul (de 1,8% de participação para 3,6%); Espanha (de 1,8% para 3,4%); Bélgica (de 1,6% para 2,7%)</w:t>
      </w:r>
      <w:r w:rsidR="004D4B0D">
        <w:t xml:space="preserve">. </w:t>
      </w:r>
    </w:p>
    <w:p w14:paraId="614DD10D" w14:textId="0159C195" w:rsidR="00E802E7" w:rsidRDefault="00E802E7" w:rsidP="00E802E7">
      <w:pPr>
        <w:pStyle w:val="Recuodecorpodetexto"/>
      </w:pPr>
    </w:p>
    <w:p w14:paraId="6B642D25" w14:textId="2F74DA7C" w:rsidR="00E802E7" w:rsidRDefault="00E802E7" w:rsidP="00E802E7">
      <w:pPr>
        <w:pStyle w:val="Recuodecorpodetexto"/>
      </w:pPr>
      <w:r>
        <w:t xml:space="preserve">O Japão aumentou as aquisições de produtos do agronegócio brasileiro em 125,4%, passando US$ 166,21 milhões em setembro de 2018 para US$ 374,59 milhões em setembro de 2019. O milho foi o principal produto exportado no período. As exportações do cereal passaram de um valor pouco significativo em setembro de 2018 (US$ 18,6 mil) para US$ 192,64 milhões em setembro de 2019. </w:t>
      </w:r>
      <w:r w:rsidR="00D44F31">
        <w:t xml:space="preserve">Assim, somente milho praticamente respondeu sozinho pelo aumento das exportações ao Japão. </w:t>
      </w:r>
    </w:p>
    <w:p w14:paraId="30EE931A" w14:textId="4B8E0DEF" w:rsidR="00E112D2" w:rsidRDefault="00E112D2" w:rsidP="00E802E7">
      <w:pPr>
        <w:pStyle w:val="Recuodecorpodetexto"/>
      </w:pPr>
    </w:p>
    <w:p w14:paraId="23B95A39" w14:textId="365B8C3E" w:rsidR="00E112D2" w:rsidRDefault="00E112D2" w:rsidP="00E802E7">
      <w:pPr>
        <w:pStyle w:val="Recuodecorpodetexto"/>
      </w:pPr>
      <w:r>
        <w:t>A Coreia do Sul também incrementou de forma significativa as importações de produtos do agronegócio brasileiro em setembro de 2019: +94,8%. A exemplo do Japão, o milho foi o principal produto responsável pela elevação das exportações. Em setembro de 2018, as exportações brasileiras eram de US$ 8,24 milhões, montante que subiu para US$ 143,05 milhões em setembro de 2019.</w:t>
      </w:r>
    </w:p>
    <w:p w14:paraId="711FEA42" w14:textId="706AC79B" w:rsidR="00E112D2" w:rsidRDefault="00E112D2" w:rsidP="00E802E7">
      <w:pPr>
        <w:pStyle w:val="Recuodecorpodetexto"/>
      </w:pPr>
    </w:p>
    <w:p w14:paraId="4B787939" w14:textId="30286C1E" w:rsidR="00E112D2" w:rsidRDefault="00E112D2" w:rsidP="00E802E7">
      <w:pPr>
        <w:pStyle w:val="Recuodecorpodetexto"/>
      </w:pPr>
      <w:r>
        <w:t xml:space="preserve">As exportações para a Espanha subiram de US$ 143,82 milhões em setembro de 2018 para US$ 266,97 milhões em setembro de 2019 (+85,6%). Mais de 50% do valor das exportações para o país ibérico foram de milho, cujo montante atingiu US$ 140,90 milhões em setembro de 2019. Além do milho, foram destaque nas exportações para a Espanha em setembro de 2019: soja em grãos (US$ 42,34 milhões) e </w:t>
      </w:r>
      <w:r w:rsidR="002444B6">
        <w:t xml:space="preserve">farelo de soja (US$ 37,19 milhões). </w:t>
      </w:r>
    </w:p>
    <w:p w14:paraId="19C894E4" w14:textId="16EA0DC2" w:rsidR="002444B6" w:rsidRDefault="002444B6" w:rsidP="00E802E7">
      <w:pPr>
        <w:pStyle w:val="Recuodecorpodetexto"/>
      </w:pPr>
    </w:p>
    <w:p w14:paraId="2C1E92E3" w14:textId="51C21967" w:rsidR="002444B6" w:rsidRDefault="002444B6" w:rsidP="00E802E7">
      <w:pPr>
        <w:pStyle w:val="Recuodecorpodetexto"/>
      </w:pPr>
      <w:r>
        <w:lastRenderedPageBreak/>
        <w:t>No caso da Bélgica, as exportações brasileiras tiveram incremento em função da expansão das vendas de suco de laranja. Em setembro de 2018, as exportações de suco de laranja brasileiro para a Bélgica foram de US$ 13,52 milhões, cifra que subiu para US$ 119,66 milhões em setembro de 2019. O valor exportado de suco de laranja respondeu por 57,6% do total das exportações, que foram de US$ 207,61 (+64,7%).</w:t>
      </w:r>
    </w:p>
    <w:p w14:paraId="21FCC8BE" w14:textId="77777777" w:rsidR="00907DCF" w:rsidRDefault="00907DCF" w:rsidP="00E802E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14:paraId="79ADD71E" w14:textId="1F86C8EF" w:rsidR="004731CC" w:rsidRPr="00826906" w:rsidRDefault="000309CC" w:rsidP="00AB2FF5">
      <w:pPr>
        <w:rPr>
          <w:rFonts w:ascii="Arial" w:hAnsi="Arial" w:cs="Arial"/>
        </w:rPr>
      </w:pPr>
      <w:r w:rsidRPr="000309CC">
        <w:rPr>
          <w:noProof/>
        </w:rPr>
        <w:drawing>
          <wp:inline distT="0" distB="0" distL="0" distR="0" wp14:anchorId="10D73645" wp14:editId="149F7C47">
            <wp:extent cx="6478097" cy="3479470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3461" cy="35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9FA6" w14:textId="77777777" w:rsidR="00202D83" w:rsidRDefault="00202D83" w:rsidP="00AB2FF5">
      <w:pPr>
        <w:rPr>
          <w:rFonts w:ascii="Arial" w:hAnsi="Arial" w:cs="Arial"/>
        </w:rPr>
      </w:pPr>
    </w:p>
    <w:p w14:paraId="54535F9F" w14:textId="77777777" w:rsidR="00826906" w:rsidRPr="00826906" w:rsidRDefault="00826906" w:rsidP="00AB2FF5">
      <w:pPr>
        <w:rPr>
          <w:rFonts w:ascii="Arial" w:hAnsi="Arial" w:cs="Arial"/>
        </w:rPr>
      </w:pPr>
    </w:p>
    <w:p w14:paraId="1D883912" w14:textId="29C71ACF" w:rsidR="003B632E" w:rsidRPr="00826906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26906">
        <w:rPr>
          <w:rFonts w:ascii="Arial" w:hAnsi="Arial" w:cs="Arial"/>
          <w:b/>
          <w:sz w:val="20"/>
          <w:szCs w:val="20"/>
        </w:rPr>
        <w:t xml:space="preserve">II – Resultados do Ano (comparativo </w:t>
      </w:r>
      <w:proofErr w:type="gramStart"/>
      <w:r w:rsidRPr="00826906">
        <w:rPr>
          <w:rFonts w:ascii="Arial" w:hAnsi="Arial" w:cs="Arial"/>
          <w:b/>
          <w:sz w:val="20"/>
          <w:szCs w:val="20"/>
        </w:rPr>
        <w:t>Janeiro</w:t>
      </w:r>
      <w:proofErr w:type="gramEnd"/>
      <w:r w:rsidRPr="00826906">
        <w:rPr>
          <w:rFonts w:ascii="Arial" w:hAnsi="Arial" w:cs="Arial"/>
          <w:b/>
          <w:sz w:val="20"/>
          <w:szCs w:val="20"/>
        </w:rPr>
        <w:t>-</w:t>
      </w:r>
      <w:r w:rsidR="004706CC">
        <w:rPr>
          <w:rFonts w:ascii="Arial" w:hAnsi="Arial" w:cs="Arial"/>
          <w:b/>
          <w:sz w:val="20"/>
          <w:szCs w:val="20"/>
        </w:rPr>
        <w:t>Setembro</w:t>
      </w:r>
      <w:r w:rsidR="007763E5">
        <w:rPr>
          <w:rFonts w:ascii="Arial" w:hAnsi="Arial" w:cs="Arial"/>
          <w:b/>
          <w:sz w:val="20"/>
          <w:szCs w:val="20"/>
        </w:rPr>
        <w:t>/</w:t>
      </w:r>
      <w:r w:rsidR="007C6628">
        <w:rPr>
          <w:rFonts w:ascii="Arial" w:hAnsi="Arial" w:cs="Arial"/>
          <w:b/>
          <w:sz w:val="20"/>
          <w:szCs w:val="20"/>
        </w:rPr>
        <w:t>2019</w:t>
      </w:r>
      <w:r w:rsidRPr="00826906">
        <w:rPr>
          <w:rFonts w:ascii="Arial" w:hAnsi="Arial" w:cs="Arial"/>
          <w:b/>
          <w:sz w:val="20"/>
          <w:szCs w:val="20"/>
        </w:rPr>
        <w:t xml:space="preserve"> – Janeiro-</w:t>
      </w:r>
      <w:r w:rsidR="004706CC">
        <w:rPr>
          <w:rFonts w:ascii="Arial" w:hAnsi="Arial" w:cs="Arial"/>
          <w:b/>
          <w:sz w:val="20"/>
          <w:szCs w:val="20"/>
        </w:rPr>
        <w:t>Setembro</w:t>
      </w:r>
      <w:r w:rsidRPr="00826906">
        <w:rPr>
          <w:rFonts w:ascii="Arial" w:hAnsi="Arial" w:cs="Arial"/>
          <w:b/>
          <w:sz w:val="20"/>
          <w:szCs w:val="20"/>
        </w:rPr>
        <w:t>/</w:t>
      </w:r>
      <w:r w:rsidR="007C6628">
        <w:rPr>
          <w:rFonts w:ascii="Arial" w:hAnsi="Arial" w:cs="Arial"/>
          <w:b/>
          <w:sz w:val="20"/>
          <w:szCs w:val="20"/>
        </w:rPr>
        <w:t>2018</w:t>
      </w:r>
      <w:r w:rsidRPr="00826906">
        <w:rPr>
          <w:rFonts w:ascii="Arial" w:hAnsi="Arial" w:cs="Arial"/>
          <w:b/>
          <w:sz w:val="20"/>
          <w:szCs w:val="20"/>
        </w:rPr>
        <w:t>)</w:t>
      </w:r>
    </w:p>
    <w:p w14:paraId="0E022702" w14:textId="11EC19ED" w:rsidR="003B632E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57E3946" w14:textId="77777777" w:rsidR="00544B78" w:rsidRPr="00D5723F" w:rsidRDefault="00544B78" w:rsidP="00544B78">
      <w:pPr>
        <w:pStyle w:val="Recuodecorpodetexto"/>
      </w:pPr>
      <w:r w:rsidRPr="00D5723F">
        <w:t>As exportações do agronegócio brasileiro atingiram a cifra de US$ 71,98 bilhões entre janeiro e setembro de 2019, o que representou queda de 5,7% em relação aos US$ 76,32 bilhões exportados no mesmo período de 2018. A participação do agronegócio no total das exportações brasileiras decresceu 0,1 ponto percentual no período, chegando a 43,0%. As importações do agronegócio totalizaram US$ 10,28 bilhões no ano, o que significou retração de 2,5% ante os US$ 10,54 bilhões adquirido entre janeiro e setembro de 2018. Como resultado, o saldo da balança comercial do agronegócio diminuiu de US$ 65,78 bilhões para os atuais US$ 61,70 bilhões (-6,2%).</w:t>
      </w:r>
    </w:p>
    <w:p w14:paraId="4FF19401" w14:textId="77777777" w:rsidR="003B632E" w:rsidRPr="00826906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1C7B8BE" w14:textId="40A109CD" w:rsidR="003B632E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14:paraId="7D01D762" w14:textId="4AB0C99B" w:rsidR="000516E7" w:rsidRDefault="000516E7" w:rsidP="000516E7"/>
    <w:p w14:paraId="7E3EC1C6" w14:textId="5209E009" w:rsidR="00403363" w:rsidRDefault="00403363" w:rsidP="00403363">
      <w:pPr>
        <w:pStyle w:val="Recuodecorpodetexto"/>
        <w:rPr>
          <w:rFonts w:ascii="Arial" w:hAnsi="Arial" w:cs="Arial"/>
          <w:sz w:val="20"/>
          <w:szCs w:val="20"/>
        </w:rPr>
      </w:pPr>
    </w:p>
    <w:p w14:paraId="08FECDD9" w14:textId="789B94A1" w:rsidR="00544B78" w:rsidRDefault="00544B78" w:rsidP="00544B78">
      <w:pPr>
        <w:pStyle w:val="Recuodecorpodetexto"/>
      </w:pPr>
      <w:r w:rsidRPr="00D5723F">
        <w:t>Os cinco principais setores do agronegócio no período, em valor exportado, foram: complexo soja, com US$ 26,23 bilhões e participação de 36,4% das exportações; carnes, com US$ 11,50 bilhões e 16,0%; produtos florestais, com US$ 10,11 bilhões e 14,0%; cereais, farinhas e preparações, com US$ 5,55 bilhões e 7,7%; e o complexo sucroalcooleiro, com vendas de US$ 4,45 bilhões e participação de 6,2%.  Em conjunto, as vendas externas dos cinco setores mencionados participaram com 80,4% do total exportado pelo agronegócio brasileiro entre janeiro e setembro de 2019, o que demonstra diminuição de concentração em comparação aos 82,6% de participação que os mesmos setores apresentaram no mesmo período do ano anterior.</w:t>
      </w:r>
    </w:p>
    <w:p w14:paraId="03A1E6F1" w14:textId="77777777" w:rsidR="00544B78" w:rsidRPr="00D5723F" w:rsidRDefault="00544B78" w:rsidP="00544B78">
      <w:pPr>
        <w:pStyle w:val="Recuodecorpodetexto"/>
      </w:pPr>
    </w:p>
    <w:p w14:paraId="322BAFCF" w14:textId="77777777" w:rsidR="00544B78" w:rsidRPr="00D5723F" w:rsidRDefault="00544B78" w:rsidP="00544B78">
      <w:pPr>
        <w:pStyle w:val="Recuodecorpodetexto"/>
      </w:pPr>
      <w:r w:rsidRPr="00D5723F">
        <w:t>A desconcentração da pauta exportadora supramencionada pode ser explicada simplificadamente pela queda nas exportações dos produtos do complexo soja, notadamente a soja em grãos. Se entre janeiro e setembro de 2018, o setor respondia por 44,0% das exportações do agronegócio brasileiro, com a queda das vendas que se verifica atualmente, a participação do complexo soja no total das exportações agropecuárias brasileiras totaliza 36,4%, uma queda de 7,6 pontos percentuais.</w:t>
      </w:r>
    </w:p>
    <w:p w14:paraId="510477F5" w14:textId="22DEBD24" w:rsidR="00544B78" w:rsidRDefault="00544B78" w:rsidP="00544B78">
      <w:pPr>
        <w:pStyle w:val="Recuodecorpodetexto"/>
      </w:pPr>
      <w:r w:rsidRPr="00D5723F">
        <w:lastRenderedPageBreak/>
        <w:t>As vendas externas do complexo soja chegaram ao valor de US$ 26,23 bilhões no período em destaque, com diminuição de 22,0% em comparação aos números dos primeiros nove meses de 2018 (US$ 33,62 bilhões). Tal queda foi causada tanto pela diminuição do preço médio (-12,0%), quanto pelo decréscimo da quantidade comercializada (-11,4%). O principal item exportado continua sendo a soja em grãos, com exportações de US$ 21,28 bilhões (-22,7%), o que representou 81,1% de todas as vendas externas do setor no ano. Cabe ressaltar que a queda verificada se deve fundamentalmente a dois fatores: a retração do preço médio do grão em função de uma desaceleração na demanda – sobretudo da China - e um excesso de oferta com os altos estoques no mercado internacional, em função da normalização da produção argentina após a quebra da safra de 2018. O farelo de soja contribuiu com US$ 4,34 bilhões em vendas (-16,2%) e 12,25 milhão de toneladas comercializadas (-5,8%), com o preço médio decrescendo 11,0% no período. As exportações de óleo de soja totalizaram US$ 612 milhões (-32,6%), com 927 mil toneladas embarcadas (-25,7%).</w:t>
      </w:r>
    </w:p>
    <w:p w14:paraId="560AD509" w14:textId="77777777" w:rsidR="00544B78" w:rsidRPr="00D5723F" w:rsidRDefault="00544B78" w:rsidP="00544B78">
      <w:pPr>
        <w:pStyle w:val="Recuodecorpodetexto"/>
      </w:pPr>
    </w:p>
    <w:p w14:paraId="337AD117" w14:textId="7525682A" w:rsidR="00544B78" w:rsidRDefault="00544B78" w:rsidP="00544B78">
      <w:pPr>
        <w:pStyle w:val="Recuodecorpodetexto"/>
      </w:pPr>
      <w:r w:rsidRPr="00D5723F">
        <w:t>O segundo setor em valor exportado foi o setor de carnes, com vendas externas de US$ 11,50 bilhões (+7,0%).  A quantidade exportada subiu 3,6%, totalizando 5,02 milhões de toneladas, enquanto o preço médio de suas mercadorias cresceu 3,2%. O principal item negociado pelo setor foi a carne de frango. Houve expansão de 1,2% na quantidade comercializada entre janeiro e setembro de 2019 e elevação de 6,9% no preço médio do produto no período. Dessa forma, verificou-se incremento da receita de exportação da carne de frango, que passou de US$ 4,74 bilhões entre janeiro e setembro de 2018 para US$ 5,13 bilhões em 2019 (+8,2%). O segundo principal produto negociado pelo setor foi a carne bovina, com o montante de US$ 4,95 bilhões e aumento de 4,6% em comparação aos valores verificados nos primeiros nove meses de 2018 (US$ 4,73 bilhões). Apesar do crescimento de 9,2% na quantidade embarcada do produto, a receita de exportação não cresceu tanto em função da queda na cotação da mercadoria no período (-4,3%). Por fim, as exportações de carne suína totalizaram US$ 1,08 bilhão (+23,0%), com incremento do quantum negociado (+12,3%) e da cotação média do produto (+9,5%).</w:t>
      </w:r>
    </w:p>
    <w:p w14:paraId="371A1170" w14:textId="77777777" w:rsidR="00544B78" w:rsidRPr="00D5723F" w:rsidRDefault="00544B78" w:rsidP="00544B78">
      <w:pPr>
        <w:pStyle w:val="Recuodecorpodetexto"/>
      </w:pPr>
    </w:p>
    <w:p w14:paraId="09B42617" w14:textId="7E1BCB07" w:rsidR="00544B78" w:rsidRDefault="00544B78" w:rsidP="00544B78">
      <w:pPr>
        <w:pStyle w:val="Recuodecorpodetexto"/>
      </w:pPr>
      <w:r w:rsidRPr="00D5723F">
        <w:t>Os produtos florestais foram a terceira principal fonte de receita de exportação do agronegócio brasileiro entre janeiro e setembro de 2019, com vendas de US$ 10,11 bilhões (-3,0%), resultado do crescimento da quantidade vendida (+2,1%) e da queda do preço médio dos itens do setor (-5,0%). A principal mercadoria negociada foi a celulose, cujas exportações atingiram a cifra de US$ 6,05 bilhões (-3,6%), para um quantum de 11,39 milhões de toneladas (-0,7%) e preço em queda de 2,9%. Em seguida, destacaram-se as exportações de madeiras e suas obras, com o montante de US$ 2,55 bilhões (-4,3%), e as vendas externas de papel, que totalizaram US$ 1,50 bilhão no ano (+1,9%).</w:t>
      </w:r>
    </w:p>
    <w:p w14:paraId="0B48C77A" w14:textId="77777777" w:rsidR="00544B78" w:rsidRPr="00D5723F" w:rsidRDefault="00544B78" w:rsidP="00544B78">
      <w:pPr>
        <w:pStyle w:val="Recuodecorpodetexto"/>
      </w:pPr>
    </w:p>
    <w:p w14:paraId="5F2605D0" w14:textId="4224ED95" w:rsidR="00544B78" w:rsidRDefault="00544B78" w:rsidP="00544B78">
      <w:pPr>
        <w:pStyle w:val="Recuodecorpodetexto"/>
      </w:pPr>
      <w:r w:rsidRPr="00D5723F">
        <w:t>Na quarta colocação entre os principais exportadores do agronegócio brasileiro, o setor de cereais, farinhas e preparações atingiu a marca de US$ 5,55 bilhões em vendas externas nos primeiros nove meses de 2019, o que representou incremento de 107,5% em relação aos US$ 2,67 bilhões comercializados no mesmo período do ano anterior. Houve crescimento de 118,3% na quantidade exportada no período e retração de 4,9% no preço médio dos produtos do setor negociados com o mercado externo. O principal produto comercializado foi o milho, com a cifra de US$ 4,98 bilhões e participação de 89,8% do total exportado pelo setor. Com a expansão de 130,3% na quantidade comercializada (28,91 milhões de toneladas) e a alta de 1,9% na cotação média do produto no período, registrou-se incremento de 134,7% na receita de exportação do grão. Os principais países responsáveis por esse aumento nas vendas do milho brasileiro foram: Japão (+US$ 605,13 milhões); Coreia do Sul (+US$ 386,40 milhões); União Europeia (+US$ 371,25 milhões); Vietnã (+US$ 293,96 milhões); e Taiwan (+US$ 292,61 milhões).</w:t>
      </w:r>
    </w:p>
    <w:p w14:paraId="2141B4D0" w14:textId="77777777" w:rsidR="00544B78" w:rsidRPr="00D5723F" w:rsidRDefault="00544B78" w:rsidP="00544B78">
      <w:pPr>
        <w:pStyle w:val="Recuodecorpodetexto"/>
      </w:pPr>
    </w:p>
    <w:p w14:paraId="50B9E503" w14:textId="77777777" w:rsidR="00544B78" w:rsidRPr="00D5723F" w:rsidRDefault="00544B78" w:rsidP="00544B78">
      <w:pPr>
        <w:pStyle w:val="Recuodecorpodetexto"/>
      </w:pPr>
      <w:r w:rsidRPr="00D5723F">
        <w:t>O quinto principal setor exportador do agronegócio brasileiro entre janeiro e setembro de 2019 foi o complexo sucroalcooleiro, com vendas externas de US$ 4,45 bilhões (-20,5%). O açúcar foi o principal item comercializado pelo setor, com a cifra de US$ 3,72 bilhões (25,2%), resultado da retração de 19,9% nos embarques do produto (12,74 milhões de toneladas) e da queda de 6,7% na cotação média do açúcar brasileiro no mercado internacional. Já as exportações de álcool alcançaram a marca de US$ 727 milhões (+16,8%), para um total de 1,11 milhão de toneladas comercializadas (+21,6%). O principal país responsável por esse incremento de vendas em 2019 foram os Estados Unidos, com aquisições totais de US$ 482,10 milhões (+31,5% ou +US$ 115,59 milhões).</w:t>
      </w:r>
    </w:p>
    <w:p w14:paraId="069385E0" w14:textId="77777777" w:rsidR="00544B78" w:rsidRPr="00D5723F" w:rsidRDefault="00544B78" w:rsidP="00544B78">
      <w:pPr>
        <w:pStyle w:val="Recuodecorpodetexto"/>
      </w:pPr>
      <w:r w:rsidRPr="00D5723F">
        <w:lastRenderedPageBreak/>
        <w:t>No que se refere às importações de produtos do agronegócio, alcançou-se a soma de US$ 10,28 bilhões entre janeiro e setembro de 2019. Os principais produtos adquiridos no período foram: trigo (US$ 1,13 bilhão e +0,8%); papel (US$ 649,67 milhões e -6,4%); álcool etílico (US$ 468,23 milhões e -21,6%); vestuário e outros produtos têxteis de algodão (US$ 428,26 milhões e -10,0%); malte (US$ 404,77 milhões e +42,3%); salmões frescos ou refrigerados (US$ 394,59 milhões e +7,0%); azeite de oliva (US$ 291,81 milhões e -9,3%); vinho (US$ 266,38 milhões e -0,9%); borracha natural (US$ 245,86 milhões e -8,3%); e batatas preparadas ou conservadas (US$ 244,74 milhões e +3,5%).</w:t>
      </w:r>
    </w:p>
    <w:p w14:paraId="42052D4A" w14:textId="77777777" w:rsidR="00403363" w:rsidRDefault="00403363" w:rsidP="00403363">
      <w:pPr>
        <w:pStyle w:val="Recuodecorpodetexto"/>
        <w:rPr>
          <w:rFonts w:ascii="Arial" w:hAnsi="Arial" w:cs="Arial"/>
          <w:sz w:val="20"/>
          <w:szCs w:val="20"/>
        </w:rPr>
      </w:pPr>
    </w:p>
    <w:p w14:paraId="1B59F1EA" w14:textId="77777777" w:rsidR="00B905EE" w:rsidRPr="000E2E78" w:rsidRDefault="00B905EE" w:rsidP="00B905EE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14:paraId="64A264AA" w14:textId="37D2CE7D" w:rsidR="002B1A0F" w:rsidRPr="00826906" w:rsidRDefault="00BF289C" w:rsidP="003B632E">
      <w:pPr>
        <w:rPr>
          <w:rFonts w:ascii="Arial" w:hAnsi="Arial" w:cs="Arial"/>
        </w:rPr>
      </w:pPr>
      <w:r w:rsidRPr="00BF289C">
        <w:rPr>
          <w:noProof/>
        </w:rPr>
        <w:drawing>
          <wp:inline distT="0" distB="0" distL="0" distR="0" wp14:anchorId="2D485AEB" wp14:editId="579DDFD3">
            <wp:extent cx="6480175" cy="38550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F73F" w14:textId="4C11B606" w:rsidR="00B8451B" w:rsidRDefault="00B8451B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bookmarkStart w:id="1" w:name="OLE_LINK1"/>
    </w:p>
    <w:p w14:paraId="5E80D0C1" w14:textId="77777777" w:rsidR="00EC2456" w:rsidRPr="00EC2456" w:rsidRDefault="00EC2456" w:rsidP="00EC2456"/>
    <w:p w14:paraId="6285E6EE" w14:textId="77777777" w:rsidR="003B632E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II.b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14:paraId="45F91765" w14:textId="77777777" w:rsidR="00D12C0B" w:rsidRDefault="00D12C0B" w:rsidP="00D12C0B"/>
    <w:p w14:paraId="31C95BDD" w14:textId="32221A46" w:rsidR="00544B78" w:rsidRDefault="00544B78" w:rsidP="00544B78">
      <w:pPr>
        <w:pStyle w:val="Recuodecorpodetexto"/>
      </w:pPr>
      <w:r w:rsidRPr="00D5723F">
        <w:t xml:space="preserve">No âmbito das exportações do agronegócio por blocos econômicos e regiões geográficas, no período de janeiro a setembro de 2019, a Ásia continuou como o principal destino dos produtos brasileiros, com a soma de US$ 35,13 bilhões. O decréscimo de 10,7% em relação ao mesmo período de 2018 foi causado, principalmente, pela retração nas vendas de soja em grãos (-US$ 5,72 bilhões). Com essa diminuição em valor, a participação asiática nas vendas externas de produtos agropecuários brasileiros caiu de 51,6% para 48,8%. </w:t>
      </w:r>
    </w:p>
    <w:p w14:paraId="6156B749" w14:textId="77777777" w:rsidR="00544B78" w:rsidRPr="00D5723F" w:rsidRDefault="00544B78" w:rsidP="00544B78">
      <w:pPr>
        <w:pStyle w:val="Recuodecorpodetexto"/>
      </w:pPr>
    </w:p>
    <w:p w14:paraId="14D60614" w14:textId="56C24CC6" w:rsidR="00544B78" w:rsidRDefault="00544B78" w:rsidP="00544B78">
      <w:pPr>
        <w:pStyle w:val="Recuodecorpodetexto"/>
      </w:pPr>
      <w:r w:rsidRPr="00D5723F">
        <w:t xml:space="preserve">O segundo principal destino das exportações brasileiras, a União Europeia, aumentou a sua participação de 17,3% para 17,7%, mesmo com o declínio das vendas de produtos brasileiros para o bloco no período (-3,4%), totalizando US$ 12,76 bilhões. Os produtos mais significativos na pauta com o bloco europeu no período foram: farelo de soja (US$ 2,30 bilhões); celulose (US$ 1,73 bilhão); soja em grãos (US$ 1,71 bilhão); e café verde (US$ 1,68 bilhão). </w:t>
      </w:r>
    </w:p>
    <w:p w14:paraId="77083F4A" w14:textId="77777777" w:rsidR="00544B78" w:rsidRPr="00D5723F" w:rsidRDefault="00544B78" w:rsidP="00544B78">
      <w:pPr>
        <w:pStyle w:val="Recuodecorpodetexto"/>
      </w:pPr>
    </w:p>
    <w:p w14:paraId="71B3EA1B" w14:textId="77777777" w:rsidR="00544B78" w:rsidRPr="00D5723F" w:rsidRDefault="00544B78" w:rsidP="00544B78">
      <w:pPr>
        <w:pStyle w:val="Recuodecorpodetexto"/>
      </w:pPr>
      <w:r w:rsidRPr="00D5723F">
        <w:t xml:space="preserve">Entre os blocos e regiões geográficas que apresentaram ganho de participação no período, destacaram-se o NAFTA, que atingiu a cifra de US$ 6,67 bilhões e participação de 1,2%, Oriente Médio, com US$ 6,09 bilhões e </w:t>
      </w:r>
      <w:proofErr w:type="spellStart"/>
      <w:r w:rsidRPr="00544B78">
        <w:t>market</w:t>
      </w:r>
      <w:proofErr w:type="spellEnd"/>
      <w:r w:rsidRPr="00544B78">
        <w:t xml:space="preserve"> </w:t>
      </w:r>
      <w:proofErr w:type="spellStart"/>
      <w:r w:rsidRPr="00544B78">
        <w:t>share</w:t>
      </w:r>
      <w:proofErr w:type="spellEnd"/>
      <w:r w:rsidRPr="00D5723F">
        <w:t xml:space="preserve"> de 1,2% e a ALADI, com a cifra de US$ 3,17 bilhões e </w:t>
      </w:r>
      <w:proofErr w:type="spellStart"/>
      <w:r w:rsidRPr="00544B78">
        <w:t>share</w:t>
      </w:r>
      <w:proofErr w:type="spellEnd"/>
      <w:r w:rsidRPr="00D5723F">
        <w:t xml:space="preserve"> de 0,8%.</w:t>
      </w:r>
    </w:p>
    <w:p w14:paraId="5EC7E2E1" w14:textId="39D0B23A" w:rsidR="00C7675B" w:rsidRDefault="00C7675B" w:rsidP="00EC2456">
      <w:pPr>
        <w:pStyle w:val="Recuodecorpodetexto"/>
        <w:rPr>
          <w:rFonts w:ascii="Arial" w:hAnsi="Arial" w:cs="Arial"/>
          <w:sz w:val="20"/>
          <w:szCs w:val="20"/>
        </w:rPr>
      </w:pPr>
    </w:p>
    <w:p w14:paraId="165223E7" w14:textId="77777777" w:rsidR="00403363" w:rsidRPr="00DD0277" w:rsidRDefault="00403363" w:rsidP="00EC2456">
      <w:pPr>
        <w:pStyle w:val="Recuodecorpodetexto"/>
        <w:rPr>
          <w:rFonts w:ascii="Arial" w:hAnsi="Arial" w:cs="Arial"/>
          <w:sz w:val="20"/>
          <w:szCs w:val="20"/>
        </w:rPr>
      </w:pPr>
    </w:p>
    <w:p w14:paraId="3557B94A" w14:textId="5A27016C" w:rsidR="003B632E" w:rsidRPr="00826906" w:rsidRDefault="00BF289C" w:rsidP="003B632E">
      <w:pPr>
        <w:jc w:val="both"/>
        <w:rPr>
          <w:rFonts w:ascii="Arial" w:hAnsi="Arial" w:cs="Arial"/>
          <w:sz w:val="20"/>
          <w:szCs w:val="20"/>
        </w:rPr>
      </w:pPr>
      <w:r w:rsidRPr="00BF289C">
        <w:rPr>
          <w:noProof/>
        </w:rPr>
        <w:lastRenderedPageBreak/>
        <w:drawing>
          <wp:inline distT="0" distB="0" distL="0" distR="0" wp14:anchorId="256E7B6E" wp14:editId="38837320">
            <wp:extent cx="6480175" cy="23482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26C6" w14:textId="77777777" w:rsidR="003B632E" w:rsidRPr="00826906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2D183A12" w14:textId="77777777" w:rsidR="003B632E" w:rsidRPr="00826906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II.c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Países</w:t>
      </w:r>
    </w:p>
    <w:bookmarkEnd w:id="1"/>
    <w:p w14:paraId="15788A9A" w14:textId="77777777" w:rsidR="003B632E" w:rsidRDefault="003B632E" w:rsidP="003B632E">
      <w:pPr>
        <w:rPr>
          <w:rFonts w:ascii="Arial" w:hAnsi="Arial" w:cs="Arial"/>
          <w:b/>
          <w:sz w:val="20"/>
          <w:szCs w:val="20"/>
        </w:rPr>
      </w:pPr>
    </w:p>
    <w:p w14:paraId="6C19F149" w14:textId="288A3C57" w:rsidR="00544B78" w:rsidRDefault="00544B78" w:rsidP="00544B78">
      <w:pPr>
        <w:pStyle w:val="Recuodecorpodetexto"/>
      </w:pPr>
      <w:r w:rsidRPr="00D5723F">
        <w:t xml:space="preserve">No que se refere aos países, a China permanece como o principal destino das exportações do agronegócio brasileiro, com a cifra de US$ 22,93 bilhões. Em relação a janeiro/setembro de 2018, verificou-se diminuição de 17,0% no valor exportado e recuo na participação chinesa de 36,2% para 31,9%. O principal produto negociado com esse parceiro asiático foi a soja em grãos (US$ 16,14 bilhões), com decréscimo de US$ 5,80 bilhões em relação aos valores do mesmo período do ano anterior. Em quantidade, nesses nove meses, foram embarcadas aproximadamente 46,0 milhões de toneladas do produto para a China, o que denota uma queda de pouco mais de 9,0 milhões de toneladas em comparação aos números do mesmo período de 2018. </w:t>
      </w:r>
    </w:p>
    <w:p w14:paraId="5A399AEA" w14:textId="77777777" w:rsidR="00544B78" w:rsidRPr="00D5723F" w:rsidRDefault="00544B78" w:rsidP="00544B78">
      <w:pPr>
        <w:pStyle w:val="Recuodecorpodetexto"/>
      </w:pPr>
    </w:p>
    <w:p w14:paraId="3A4A60CD" w14:textId="6EF8DD85" w:rsidR="00544B78" w:rsidRDefault="00544B78" w:rsidP="00544B78">
      <w:pPr>
        <w:pStyle w:val="Recuodecorpodetexto"/>
      </w:pPr>
      <w:r w:rsidRPr="00D5723F">
        <w:t>As exportações para os Estados Unidos, segundo principal destino de 2019, somaram US$ 5,32 bilhões, o que representou expansão de 9,1%. Os principais produtos agrícolas exportados no período para o mercado norte-americano foram: celulose (US$ 993,0 milhões), café verde (US$ 648,23 milhões) e álcool etílico (US$ 482,10 milhões). Em função do crescimento verificado, a participação norte americana nas exportações brasileiras cresceu de 6,4% para 7,4%.</w:t>
      </w:r>
    </w:p>
    <w:p w14:paraId="5C572157" w14:textId="77777777" w:rsidR="00544B78" w:rsidRPr="00D5723F" w:rsidRDefault="00544B78" w:rsidP="00544B78">
      <w:pPr>
        <w:pStyle w:val="Recuodecorpodetexto"/>
      </w:pPr>
    </w:p>
    <w:p w14:paraId="568B8EA6" w14:textId="38A98232" w:rsidR="00F21327" w:rsidRPr="00544B78" w:rsidRDefault="00544B78" w:rsidP="00544B78">
      <w:pPr>
        <w:pStyle w:val="Recuodecorpodetexto"/>
      </w:pPr>
      <w:r w:rsidRPr="00D5723F">
        <w:t>Em relação ao dinamismo das exportações, os principais destaques do período foram: Japão (US$ 2,26 bilhões e +44,3%); México (US$ 961,74 milhões e +37,9%); Vietnã (US$ 1,27 bilhão e +24,9%); Rússia (US$ 954,30 milhões e +24,2%); Espanha (US$ 1,79 bilhão e +14,3%); Egito (US$ 1,18 bilhão e +12,3%); e Bélgica (US$ 1,48 bilhão e +10,2%).</w:t>
      </w:r>
    </w:p>
    <w:p w14:paraId="42EC5B4F" w14:textId="3435A801" w:rsidR="003B632E" w:rsidRDefault="00BF289C" w:rsidP="003B632E">
      <w:pPr>
        <w:rPr>
          <w:rFonts w:ascii="Arial" w:hAnsi="Arial" w:cs="Arial"/>
        </w:rPr>
      </w:pPr>
      <w:r w:rsidRPr="00BF289C">
        <w:rPr>
          <w:noProof/>
        </w:rPr>
        <w:lastRenderedPageBreak/>
        <w:drawing>
          <wp:inline distT="0" distB="0" distL="0" distR="0" wp14:anchorId="097B0848" wp14:editId="25B8125D">
            <wp:extent cx="6479685" cy="3807725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8604" cy="38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7B9D9" w14:textId="2478B367" w:rsidR="00C7675B" w:rsidRDefault="00C7675B" w:rsidP="003B632E">
      <w:pPr>
        <w:rPr>
          <w:rFonts w:ascii="Arial" w:hAnsi="Arial" w:cs="Arial"/>
        </w:rPr>
      </w:pPr>
    </w:p>
    <w:p w14:paraId="458729BE" w14:textId="77777777" w:rsidR="00930F02" w:rsidRPr="00826906" w:rsidRDefault="00930F02" w:rsidP="003B632E">
      <w:pPr>
        <w:rPr>
          <w:rFonts w:ascii="Arial" w:hAnsi="Arial" w:cs="Arial"/>
        </w:rPr>
      </w:pPr>
    </w:p>
    <w:p w14:paraId="3DBE0B5C" w14:textId="2D6D63F4" w:rsidR="000E26E8" w:rsidRPr="00544B78" w:rsidRDefault="0001136D" w:rsidP="00544B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B3924">
        <w:rPr>
          <w:rFonts w:ascii="Arial" w:hAnsi="Arial" w:cs="Arial"/>
          <w:b/>
          <w:sz w:val="20"/>
          <w:szCs w:val="20"/>
        </w:rPr>
        <w:t xml:space="preserve">III – Resultados de </w:t>
      </w:r>
      <w:r w:rsidR="004706CC">
        <w:rPr>
          <w:rFonts w:ascii="Arial" w:hAnsi="Arial" w:cs="Arial"/>
          <w:b/>
          <w:sz w:val="20"/>
          <w:szCs w:val="20"/>
        </w:rPr>
        <w:t>Outubro</w:t>
      </w:r>
      <w:r w:rsidRPr="00AB3924">
        <w:rPr>
          <w:rFonts w:ascii="Arial" w:hAnsi="Arial" w:cs="Arial"/>
          <w:b/>
          <w:sz w:val="20"/>
          <w:szCs w:val="20"/>
        </w:rPr>
        <w:t xml:space="preserve"> de </w:t>
      </w:r>
      <w:r w:rsidR="007C6628">
        <w:rPr>
          <w:rFonts w:ascii="Arial" w:hAnsi="Arial" w:cs="Arial"/>
          <w:b/>
          <w:sz w:val="20"/>
          <w:szCs w:val="20"/>
        </w:rPr>
        <w:t>2018</w:t>
      </w:r>
      <w:r w:rsidRPr="00AB3924">
        <w:rPr>
          <w:rFonts w:ascii="Arial" w:hAnsi="Arial" w:cs="Arial"/>
          <w:b/>
          <w:sz w:val="20"/>
          <w:szCs w:val="20"/>
        </w:rPr>
        <w:t xml:space="preserve"> a </w:t>
      </w:r>
      <w:proofErr w:type="gramStart"/>
      <w:r w:rsidR="004706CC">
        <w:rPr>
          <w:rFonts w:ascii="Arial" w:hAnsi="Arial" w:cs="Arial"/>
          <w:b/>
          <w:sz w:val="20"/>
          <w:szCs w:val="20"/>
        </w:rPr>
        <w:t>Setembro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</w:t>
      </w:r>
      <w:r w:rsidR="007C6628">
        <w:rPr>
          <w:rFonts w:ascii="Arial" w:hAnsi="Arial" w:cs="Arial"/>
          <w:b/>
          <w:sz w:val="20"/>
          <w:szCs w:val="20"/>
        </w:rPr>
        <w:t>2019</w:t>
      </w:r>
      <w:r w:rsidRPr="00AB3924">
        <w:rPr>
          <w:rFonts w:ascii="Arial" w:hAnsi="Arial" w:cs="Arial"/>
          <w:b/>
          <w:sz w:val="20"/>
          <w:szCs w:val="20"/>
        </w:rPr>
        <w:t xml:space="preserve"> (Acumulado 12 meses)</w:t>
      </w:r>
    </w:p>
    <w:p w14:paraId="3EC699F2" w14:textId="77777777" w:rsidR="000E26E8" w:rsidRDefault="000E26E8" w:rsidP="00540B20">
      <w:pPr>
        <w:pStyle w:val="Recuodecorpodetexto"/>
        <w:rPr>
          <w:rFonts w:ascii="Arial" w:hAnsi="Arial" w:cs="Arial"/>
          <w:sz w:val="20"/>
          <w:szCs w:val="20"/>
        </w:rPr>
      </w:pPr>
    </w:p>
    <w:p w14:paraId="479B4E57" w14:textId="77777777" w:rsidR="00544B78" w:rsidRDefault="00544B78" w:rsidP="00544B78">
      <w:pPr>
        <w:pStyle w:val="Recuodecorpodetexto"/>
      </w:pPr>
      <w:r>
        <w:t>As exportações do agronegócio brasileiro nos últimos 12 meses, entre outubro de 2018 e setembro de 2019, foram de US$ 96,8 bilhões, 1,6% inferior ao mesmo período anterior. As importações também se reduziram em 1,7%, alcançando US$ 13,7 bilhões.</w:t>
      </w:r>
    </w:p>
    <w:p w14:paraId="4DA7AB6C" w14:textId="77777777" w:rsidR="002255A9" w:rsidRDefault="002255A9" w:rsidP="00011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0FDFB67" w14:textId="77777777" w:rsidR="007E15CE" w:rsidRDefault="007E15CE" w:rsidP="00011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AA27016" w14:textId="77777777" w:rsidR="0001136D" w:rsidRDefault="0001136D" w:rsidP="0001136D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AB3924">
        <w:rPr>
          <w:rFonts w:ascii="Arial" w:hAnsi="Arial" w:cs="Arial"/>
          <w:sz w:val="20"/>
          <w:szCs w:val="20"/>
        </w:rPr>
        <w:t>III.a</w:t>
      </w:r>
      <w:proofErr w:type="spellEnd"/>
      <w:r w:rsidRPr="00AB3924">
        <w:rPr>
          <w:rFonts w:ascii="Arial" w:hAnsi="Arial" w:cs="Arial"/>
          <w:sz w:val="20"/>
          <w:szCs w:val="20"/>
        </w:rPr>
        <w:t xml:space="preserve"> – Setores do Agronegócio</w:t>
      </w:r>
    </w:p>
    <w:p w14:paraId="74B2FBBE" w14:textId="77777777" w:rsidR="0083136D" w:rsidRDefault="0083136D" w:rsidP="0083136D"/>
    <w:p w14:paraId="463023EC" w14:textId="58A05E7B" w:rsidR="00544B78" w:rsidRDefault="00544B78" w:rsidP="00544B78">
      <w:pPr>
        <w:pStyle w:val="Recuodecorpodetexto"/>
      </w:pPr>
      <w:r>
        <w:t>O complexo soja manteve a liderança, porém com valores exportados 11,2% inferiores, comparando-se outubro de 2018 e setembro de 2019 aos mesmos 12 meses anteriores. A soja em grão foi o principal produto exportado, cerca de US$ 27 bilhões, valor 11,3% inferior a outubro de 2017 e setembro de 2018. O preço médio exportado foi o principal fator de redução do valor das exportações, com queda de quase 10%. Aumentos de oferta internacional, a disputa comercial entre EUA e China, e a febre suína africana na China, justificam as variações negativas deste preço.</w:t>
      </w:r>
    </w:p>
    <w:p w14:paraId="1B558288" w14:textId="77777777" w:rsidR="00544B78" w:rsidRDefault="00544B78" w:rsidP="00544B78">
      <w:pPr>
        <w:pStyle w:val="Recuodecorpodetexto"/>
      </w:pPr>
    </w:p>
    <w:p w14:paraId="3FDEE030" w14:textId="3A7D59D2" w:rsidR="00544B78" w:rsidRDefault="00544B78" w:rsidP="00544B78">
      <w:pPr>
        <w:pStyle w:val="Recuodecorpodetexto"/>
      </w:pPr>
      <w:r>
        <w:t xml:space="preserve">Em seguida, as carnes foram o segundo grupo de maior valor exportado nos últimos 12 meses, com crescimento de 4,8% das receitas, alcançando US$15,4 bilhões. A carne de frango liderou as exportações no período, com US$ 6,8 bilhões; em segundo a carne bovina, com US$ 6,7 bilhões, e, em terceiro, a carne suína, com US$ 1,4 bilhão. Carne de frango e carne suína, </w:t>
      </w:r>
      <w:proofErr w:type="gramStart"/>
      <w:r>
        <w:t>ambas in natura</w:t>
      </w:r>
      <w:proofErr w:type="gramEnd"/>
      <w:r>
        <w:t>, registraram crescimento dos valores exportados em 9,4% e 15,1%, respectivamente, comparando-se outubro de 2018 e setembro de 2019, ao mesmo período anterior. O principal fator para o crescimento da carne de frango in natura foi a elevação do preço médio em 5,5%. No caso da carne suína in natura foi o volume, com alta de 13,8%.</w:t>
      </w:r>
    </w:p>
    <w:p w14:paraId="75EBB2E4" w14:textId="77777777" w:rsidR="00544B78" w:rsidRDefault="00544B78" w:rsidP="00544B78">
      <w:pPr>
        <w:pStyle w:val="Recuodecorpodetexto"/>
      </w:pPr>
    </w:p>
    <w:p w14:paraId="644B67E7" w14:textId="6E3ABA5A" w:rsidR="00544B78" w:rsidRDefault="00544B78" w:rsidP="00544B78">
      <w:pPr>
        <w:pStyle w:val="Recuodecorpodetexto"/>
      </w:pPr>
      <w:r>
        <w:t>O terceiro setor de maior valor exportado no período foi o de produtos florestais: US$ 13,6 bilhões, alta de quase 1% comparado aos 12 meses anteriores. A celulose foi o principal produto exportado pelo setor, com US$ 8 bilhões de exportação. Os volumes se elevaram em 2%, ante outubro de 2017 e setembro de 2018, e os preços médios da celulose caíram 1%.</w:t>
      </w:r>
    </w:p>
    <w:p w14:paraId="5E0C13B1" w14:textId="77777777" w:rsidR="00544B78" w:rsidRDefault="00544B78" w:rsidP="00544B78">
      <w:pPr>
        <w:pStyle w:val="Recuodecorpodetexto"/>
      </w:pPr>
    </w:p>
    <w:p w14:paraId="3BDDFA49" w14:textId="105C5707" w:rsidR="00544B78" w:rsidRDefault="00544B78" w:rsidP="00544B78">
      <w:pPr>
        <w:pStyle w:val="Recuodecorpodetexto"/>
      </w:pPr>
      <w:r>
        <w:lastRenderedPageBreak/>
        <w:t>O setor de cereais foi o quarto de maior valor exportado, com destaque para o milho: exportação de US$ 6,7 bilhões, alta de 67,1%, em comparação a outubro de 2017 e setembro de 2018, recorde em volume exportado na série histórica, alta de quase 57%, quase 40 milhões de toneladas.</w:t>
      </w:r>
    </w:p>
    <w:p w14:paraId="41836655" w14:textId="77777777" w:rsidR="00544B78" w:rsidRDefault="00544B78" w:rsidP="00544B78">
      <w:pPr>
        <w:pStyle w:val="Recuodecorpodetexto"/>
      </w:pPr>
    </w:p>
    <w:p w14:paraId="4DD7958A" w14:textId="77777777" w:rsidR="00544B78" w:rsidRDefault="00544B78" w:rsidP="00544B78">
      <w:pPr>
        <w:pStyle w:val="Recuodecorpodetexto"/>
      </w:pPr>
      <w:r>
        <w:t>O complexo sucroalcooleiro vem na sequência, com exportações de US$ 6,3 bilhões. O açúcar foi o principal produto exportado, atingindo US$ 5,3 bilhões nos últimos 12 meses, redução de quase 30% comparada ao período anterior. A exportação observou reduções expressivas no volume, 21%, e no preço médio, 11%, em relação a outubro de 2017 e setembro de 2018. Segundo o USDA, a produção de açúcar mundial chegou a seu máximo histórico na safra 2017/18, com 194,5 milhões de toneladas, em virtude do incremento na produção de grandes players globais do produto, como Índia, Tailândia, China e Paquistão.</w:t>
      </w:r>
    </w:p>
    <w:p w14:paraId="6290B2DC" w14:textId="77777777" w:rsidR="00544B78" w:rsidRDefault="00544B78" w:rsidP="00544B78">
      <w:pPr>
        <w:pStyle w:val="Recuodecorpodetexto"/>
      </w:pPr>
      <w:r>
        <w:t>Na safra 2018/19, verificou-se decréscimo na produção mundial, para 178,9 milhões de toneladas, causado pelo excesso de oferta global e consequente queda das cotações internacionais do produto.</w:t>
      </w:r>
      <w:r w:rsidRPr="002A0B99">
        <w:t xml:space="preserve"> </w:t>
      </w:r>
      <w:r>
        <w:t>Apesar da retração verificada na produção mundial de açúcar, os altos estoques e percepção de declínio do crescimento da demanda global pelo produto podem dificultar a recuperação do mercado, em função da manutenção dos preços em baixa.</w:t>
      </w:r>
    </w:p>
    <w:p w14:paraId="6B976B3A" w14:textId="68F9ACF5" w:rsidR="00544B78" w:rsidRDefault="00544B78" w:rsidP="00544B78">
      <w:pPr>
        <w:pStyle w:val="Recuodecorpodetexto"/>
      </w:pPr>
      <w:r>
        <w:t xml:space="preserve"> </w:t>
      </w:r>
    </w:p>
    <w:p w14:paraId="2AF97DB1" w14:textId="4D6D2A4A" w:rsidR="00544B78" w:rsidRDefault="00544B78" w:rsidP="00544B78">
      <w:pPr>
        <w:pStyle w:val="Recuodecorpodetexto"/>
      </w:pPr>
      <w:r>
        <w:t>Continuando a análise da balança comercial do agronegócio nos últimos 12 meses, o café foi o sexto produto mais exportado, US$ 5,4 bilhões, alta de quase 13%. O café verde foi o principal produto, alcançando US$ 4,8 bilhões no período – alta de 40% nos volumes e queda de aproximadamente 18% no preço médio.</w:t>
      </w:r>
    </w:p>
    <w:p w14:paraId="6FFC3950" w14:textId="77777777" w:rsidR="00544B78" w:rsidRDefault="00544B78" w:rsidP="00544B78">
      <w:pPr>
        <w:pStyle w:val="Recuodecorpodetexto"/>
      </w:pPr>
    </w:p>
    <w:p w14:paraId="4057BF40" w14:textId="3A2FA980" w:rsidR="00544B78" w:rsidRDefault="00544B78" w:rsidP="00544B78">
      <w:pPr>
        <w:pStyle w:val="Recuodecorpodetexto"/>
      </w:pPr>
      <w:r>
        <w:t>Algodão, fumo e seus produtos, e sucos formam outros importantes itens da pauta exportadora no período. O algodão registrou recorde de exportação em valor e quantidade, alcançando US$ 2,350 bilhões entre outubro de 2018 e setembro de 2019, 72,3% superior aos 12 meses anteriores, cerca de 1,4 milhão de toneladas, volume 68,5% superior. O produto tem se beneficiado das tensões comerciais entre China e EUA, com forte elevação das exportações para a China.</w:t>
      </w:r>
    </w:p>
    <w:p w14:paraId="51865BA8" w14:textId="77777777" w:rsidR="00544B78" w:rsidRDefault="00544B78" w:rsidP="00544B78">
      <w:pPr>
        <w:pStyle w:val="Recuodecorpodetexto"/>
      </w:pPr>
    </w:p>
    <w:p w14:paraId="0150CCD3" w14:textId="05DC414B" w:rsidR="00544B78" w:rsidRDefault="00544B78" w:rsidP="00544B78">
      <w:pPr>
        <w:pStyle w:val="Recuodecorpodetexto"/>
      </w:pPr>
      <w:r>
        <w:t>Fumo e seus produtos apresentaram exportações de US$ 2,3 bilhões, e sucos de US$ 2,1 bilhões. Assim, completa-se a lista de produtos com exportações acima de US$ 2 bilhões no período.</w:t>
      </w:r>
    </w:p>
    <w:p w14:paraId="6DC194B0" w14:textId="77777777" w:rsidR="00544B78" w:rsidRDefault="00544B78" w:rsidP="00544B78">
      <w:pPr>
        <w:pStyle w:val="Recuodecorpodetexto"/>
      </w:pPr>
    </w:p>
    <w:p w14:paraId="13CE7493" w14:textId="77777777" w:rsidR="00544B78" w:rsidRDefault="00544B78" w:rsidP="00544B78">
      <w:pPr>
        <w:pStyle w:val="Recuodecorpodetexto"/>
      </w:pPr>
      <w:r>
        <w:t xml:space="preserve">Quanto às importações, os principais produtos importados nos últimos 12 meses foram cereais farinhas e preparações, cerca de US$ 3 bilhões, alta de 12,6% (destaque para o trigo, US$ 1,5 bilhão), produtos florestais, US$ 1,5 bilhão, redução de 5,4% (destaque para papel, US$ 844 milhões), e pescados, US$ 1,3 bilhão, valor praticamente estável em comparação ao período de outubro de 2017 a setembro de 2018.   </w:t>
      </w:r>
    </w:p>
    <w:p w14:paraId="0B001A8D" w14:textId="77777777" w:rsidR="00A83851" w:rsidRDefault="00A83851" w:rsidP="00CA2C33">
      <w:pPr>
        <w:rPr>
          <w:rFonts w:ascii="Arial" w:hAnsi="Arial" w:cs="Arial"/>
          <w:sz w:val="20"/>
          <w:szCs w:val="20"/>
        </w:rPr>
      </w:pPr>
    </w:p>
    <w:p w14:paraId="7F656820" w14:textId="341E4334" w:rsidR="00384963" w:rsidRDefault="00BF289C" w:rsidP="00CA2C33">
      <w:pPr>
        <w:rPr>
          <w:rFonts w:ascii="Arial" w:hAnsi="Arial" w:cs="Arial"/>
          <w:sz w:val="20"/>
          <w:szCs w:val="20"/>
        </w:rPr>
      </w:pPr>
      <w:r w:rsidRPr="00BF289C">
        <w:rPr>
          <w:noProof/>
        </w:rPr>
        <w:lastRenderedPageBreak/>
        <w:drawing>
          <wp:inline distT="0" distB="0" distL="0" distR="0" wp14:anchorId="0804E6E7" wp14:editId="2475E292">
            <wp:extent cx="6480175" cy="385508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88849" w14:textId="77777777" w:rsidR="009A662B" w:rsidRDefault="009A662B" w:rsidP="00CA2C33">
      <w:pPr>
        <w:rPr>
          <w:rFonts w:ascii="Arial" w:hAnsi="Arial" w:cs="Arial"/>
          <w:b/>
          <w:sz w:val="20"/>
          <w:szCs w:val="20"/>
        </w:rPr>
      </w:pPr>
    </w:p>
    <w:p w14:paraId="0F7151AF" w14:textId="77777777" w:rsidR="0001136D" w:rsidRDefault="0001136D" w:rsidP="00CA2C33">
      <w:pPr>
        <w:rPr>
          <w:rFonts w:ascii="Arial" w:hAnsi="Arial" w:cs="Arial"/>
          <w:b/>
          <w:sz w:val="20"/>
          <w:szCs w:val="20"/>
        </w:rPr>
      </w:pPr>
      <w:proofErr w:type="spellStart"/>
      <w:r w:rsidRPr="00384963">
        <w:rPr>
          <w:rFonts w:ascii="Arial" w:hAnsi="Arial" w:cs="Arial"/>
          <w:b/>
          <w:sz w:val="20"/>
          <w:szCs w:val="20"/>
        </w:rPr>
        <w:t>III.b</w:t>
      </w:r>
      <w:proofErr w:type="spellEnd"/>
      <w:r w:rsidRPr="00384963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14:paraId="55EC4CFE" w14:textId="65528DC1" w:rsidR="00474158" w:rsidRDefault="00474158" w:rsidP="00474158">
      <w:pPr>
        <w:pStyle w:val="Recuodecorpodetexto"/>
        <w:ind w:firstLine="0"/>
        <w:rPr>
          <w:rFonts w:asciiTheme="minorHAnsi" w:hAnsiTheme="minorHAnsi" w:cstheme="minorHAnsi"/>
        </w:rPr>
      </w:pPr>
    </w:p>
    <w:p w14:paraId="6B5EA628" w14:textId="795D0B8E" w:rsidR="00012E25" w:rsidRDefault="00012E25" w:rsidP="00012E25">
      <w:pPr>
        <w:pStyle w:val="Recuodecorpodetexto"/>
      </w:pPr>
      <w:r w:rsidRPr="00012E25">
        <w:t xml:space="preserve">Nos últimos doze meses, a Ásia </w:t>
      </w:r>
      <w:r w:rsidR="000C7E02">
        <w:t>foi</w:t>
      </w:r>
      <w:r w:rsidRPr="00012E25">
        <w:t xml:space="preserve"> a principal região importadora de produtos do agronegócio brasileiro. O valor exportado para a região foi de US$ 47,29 bilhões entre outubro de 2018 e setembro de 2019 ou o equivalente a 48,8% do valor total exportado pelo Brasil. A União Europeia importou US$ 17,34</w:t>
      </w:r>
      <w:r>
        <w:t xml:space="preserve"> bilhões no período e manteve sua participação de 17,9% no valor exportado.</w:t>
      </w:r>
    </w:p>
    <w:p w14:paraId="0DD39443" w14:textId="02D36CC7" w:rsidR="00012E25" w:rsidRDefault="00012E25" w:rsidP="00012E25">
      <w:pPr>
        <w:pStyle w:val="Recuodecorpodetexto"/>
      </w:pPr>
    </w:p>
    <w:p w14:paraId="0400B82F" w14:textId="12D9F7E3" w:rsidR="00012E25" w:rsidRDefault="00012E25" w:rsidP="00012E25">
      <w:pPr>
        <w:pStyle w:val="Recuodecorpodetexto"/>
      </w:pPr>
      <w:r>
        <w:t>Cinco região apresentaram incremento no valor importado em produtos do agronegócio brasileiro: NAFTA (US$ 8,96 bilhões; +6,0%); Oriente Médio (US$ 8,02 bilhões; +4,6%); ALADI (exclusive MERCOSUL) (US$ 4,22 bilhões; +12,8%)</w:t>
      </w:r>
      <w:r w:rsidR="00195D36">
        <w:t xml:space="preserve">; Europa Oriental (US$ 2,03 bilhões; </w:t>
      </w:r>
      <w:r w:rsidR="000645E2">
        <w:t>+7,0%); e Oceania (US$ 264,34 milhões; +3,0%).</w:t>
      </w:r>
    </w:p>
    <w:p w14:paraId="5796F711" w14:textId="77777777" w:rsidR="00474158" w:rsidRPr="00E35A98" w:rsidRDefault="00474158" w:rsidP="00474158">
      <w:pPr>
        <w:pStyle w:val="Recuodecorpodetexto"/>
        <w:rPr>
          <w:rFonts w:asciiTheme="minorHAnsi" w:hAnsiTheme="minorHAnsi" w:cstheme="minorHAnsi"/>
        </w:rPr>
      </w:pPr>
    </w:p>
    <w:p w14:paraId="704627C4" w14:textId="35B216F2" w:rsidR="002B1A0F" w:rsidRDefault="00BF289C" w:rsidP="002B1A0F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BF289C">
        <w:rPr>
          <w:noProof/>
        </w:rPr>
        <w:drawing>
          <wp:inline distT="0" distB="0" distL="0" distR="0" wp14:anchorId="0C2702CE" wp14:editId="3F789AA9">
            <wp:extent cx="6480175" cy="234823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303B5" w14:textId="77777777" w:rsidR="00E17DA9" w:rsidRDefault="00E17DA9" w:rsidP="002B1A0F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14:paraId="20B59679" w14:textId="3D39BBAB" w:rsidR="00717244" w:rsidRDefault="0001136D" w:rsidP="00544B7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AB3924">
        <w:rPr>
          <w:rFonts w:ascii="Arial" w:hAnsi="Arial" w:cs="Arial"/>
          <w:sz w:val="20"/>
          <w:szCs w:val="20"/>
        </w:rPr>
        <w:t>III.c</w:t>
      </w:r>
      <w:proofErr w:type="spellEnd"/>
      <w:r w:rsidRPr="00AB3924">
        <w:rPr>
          <w:rFonts w:ascii="Arial" w:hAnsi="Arial" w:cs="Arial"/>
          <w:sz w:val="20"/>
          <w:szCs w:val="20"/>
        </w:rPr>
        <w:t xml:space="preserve"> – Países</w:t>
      </w:r>
    </w:p>
    <w:p w14:paraId="6AE169A2" w14:textId="77777777" w:rsidR="00544B78" w:rsidRPr="00544B78" w:rsidRDefault="00544B78" w:rsidP="00544B78"/>
    <w:p w14:paraId="7C4FDB4C" w14:textId="2B9CF0EE" w:rsidR="00B67DC7" w:rsidRPr="00645D16" w:rsidRDefault="00B67DC7" w:rsidP="00B67DC7">
      <w:pPr>
        <w:pStyle w:val="Recuodecorpodetexto"/>
      </w:pPr>
      <w:r w:rsidRPr="00645D16">
        <w:t>A China continua sendo o principal parceiro comercial do agronegócio brasileiro. Nos últimos doze meses, as importações chinesas de produtos do agronegócio brasileiro caíram de US$ 31,80 bilhões entre outubro de 2017 e setembro de 2018 para US$ 30,76 bilhões entre outubro de 2018 e setembro de 2019 (-</w:t>
      </w:r>
      <w:r w:rsidRPr="00645D16">
        <w:lastRenderedPageBreak/>
        <w:t xml:space="preserve">3,3%) A queda das aquisições chinesas acima da queda das exportações </w:t>
      </w:r>
      <w:r w:rsidR="009B3B34">
        <w:t xml:space="preserve">brasileiras do </w:t>
      </w:r>
      <w:r w:rsidRPr="00645D16">
        <w:t>agronegócio</w:t>
      </w:r>
      <w:r w:rsidR="009B3B34">
        <w:t xml:space="preserve"> </w:t>
      </w:r>
      <w:r w:rsidRPr="00645D16">
        <w:t xml:space="preserve">para o mundo (-1,6%) reduziu a participação do país asiático em 0,5 pontos percentuais, número que deixou a China com participação de 31,8% no total exportado pelo Brasil. A redução das exportações ocorreu em função, principalmente, da </w:t>
      </w:r>
      <w:r w:rsidR="006F7ED2" w:rsidRPr="00645D16">
        <w:t>queda</w:t>
      </w:r>
      <w:r w:rsidRPr="00645D16">
        <w:t xml:space="preserve"> das exportações de soja em grão para a China. Nos últimos doze </w:t>
      </w:r>
      <w:r w:rsidR="006F7ED2" w:rsidRPr="00645D16">
        <w:t xml:space="preserve">meses, a quantidade exportada de soja em grão diminuiu para 59,6 milhões de toneladas, </w:t>
      </w:r>
      <w:r w:rsidR="00645D16" w:rsidRPr="00645D16">
        <w:t>partindo</w:t>
      </w:r>
      <w:r w:rsidR="006F7ED2" w:rsidRPr="00645D16">
        <w:t xml:space="preserve"> de 61,1 milhões de toneladas nos doze meses anteriores. Essa queda de quantidade, em conjunto com a queda de preço da oleaginosa, reduziu as exportações de soja em grão para a China de US$ 24,25 bilhões entre outubro de 2017 e setembro de 2018 para US$ 21,43 bilhões entre outubro de 2018 e setembro de 2019 (-US$ 2,82 bilhões). </w:t>
      </w:r>
      <w:r w:rsidR="00645D16" w:rsidRPr="00645D16">
        <w:t>Ou seja, a queda nas exportações de soja em grão para a China explica a queda das exportações ao país.</w:t>
      </w:r>
    </w:p>
    <w:p w14:paraId="100075BD" w14:textId="7CB19BBD" w:rsidR="00645D16" w:rsidRPr="00645D16" w:rsidRDefault="00645D16" w:rsidP="00B67DC7">
      <w:pPr>
        <w:pStyle w:val="Recuodecorpodetexto"/>
      </w:pPr>
    </w:p>
    <w:p w14:paraId="44B097D2" w14:textId="05CD4B6C" w:rsidR="00645D16" w:rsidRDefault="00645D16" w:rsidP="00B67DC7">
      <w:pPr>
        <w:pStyle w:val="Recuodecorpodetexto"/>
      </w:pPr>
      <w:r w:rsidRPr="00645D16">
        <w:t xml:space="preserve">A China e outros dezenove principais países importadores do agronegócio brasileiro são apresentados na Tabela 9. Nesta tabela é possível identificar cinco países que aumentaram as aquisições de produtos do agronegócio brasileiro acima de um dígito nos últimos doze meses. Foram eles: </w:t>
      </w:r>
      <w:r w:rsidR="00DC7057">
        <w:t xml:space="preserve">Japão (+17,4%); Espanha (+10,2%); Bélgica (+11,9%); Vietnã (+30,4%); e Bangladesh (+14,7%). </w:t>
      </w:r>
    </w:p>
    <w:p w14:paraId="2FD31799" w14:textId="503D063F" w:rsidR="001E090A" w:rsidRDefault="001E090A" w:rsidP="00B67DC7">
      <w:pPr>
        <w:pStyle w:val="Recuodecorpodetexto"/>
      </w:pPr>
    </w:p>
    <w:p w14:paraId="49BE94E5" w14:textId="6D8281EB" w:rsidR="008E65E1" w:rsidRPr="00911E05" w:rsidRDefault="001E090A" w:rsidP="00911E05">
      <w:pPr>
        <w:pStyle w:val="Recuodecorpodetexto"/>
      </w:pPr>
      <w:r>
        <w:t>No caso do Japão, da Espanha, do Vietnã e de Bangladesh, o crescimento das exportações de milho ajuda a explicar grande parte do incremento das exportações</w:t>
      </w:r>
      <w:r w:rsidR="00A37116">
        <w:t xml:space="preserve"> nos últimos doze meses:</w:t>
      </w:r>
      <w:r>
        <w:t xml:space="preserve"> Japão (US$ 645,81 milhões; +121,9%); Espanha (US$ </w:t>
      </w:r>
      <w:r w:rsidR="00A37116">
        <w:t>624,76 milhões; +68,5%); Vietnã (US$ 784,65 milhões; +167,6%); Bangladesh (US$ 216,66 milhões; +83,6%).</w:t>
      </w:r>
    </w:p>
    <w:p w14:paraId="2F62DE66" w14:textId="77777777" w:rsidR="0001136D" w:rsidRPr="00AB3924" w:rsidRDefault="0001136D" w:rsidP="0001136D">
      <w:pPr>
        <w:rPr>
          <w:rFonts w:ascii="Arial" w:hAnsi="Arial" w:cs="Arial"/>
        </w:rPr>
      </w:pPr>
    </w:p>
    <w:p w14:paraId="7EFAB449" w14:textId="7938079C" w:rsidR="00384963" w:rsidRPr="00AB3924" w:rsidRDefault="00BF289C" w:rsidP="0001136D">
      <w:pPr>
        <w:rPr>
          <w:rFonts w:ascii="Arial" w:hAnsi="Arial" w:cs="Arial"/>
        </w:rPr>
      </w:pPr>
      <w:r w:rsidRPr="00BF289C">
        <w:rPr>
          <w:noProof/>
        </w:rPr>
        <w:drawing>
          <wp:inline distT="0" distB="0" distL="0" distR="0" wp14:anchorId="7588EECB" wp14:editId="38805EA9">
            <wp:extent cx="6480175" cy="3725839"/>
            <wp:effectExtent l="0" t="0" r="0" b="825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3809" cy="372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99D2" w14:textId="77777777" w:rsidR="00384963" w:rsidRPr="00826906" w:rsidRDefault="00384963" w:rsidP="00384963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14:paraId="03CDC843" w14:textId="77777777" w:rsidR="00C87B02" w:rsidRPr="00826906" w:rsidRDefault="00C87B0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firstLine="0"/>
        <w:rPr>
          <w:i w:val="0"/>
          <w:sz w:val="20"/>
          <w:szCs w:val="20"/>
          <w:lang w:val="pt-BR"/>
        </w:rPr>
      </w:pPr>
      <w:r w:rsidRPr="00826906">
        <w:rPr>
          <w:i w:val="0"/>
          <w:sz w:val="20"/>
          <w:szCs w:val="20"/>
          <w:lang w:val="pt-BR"/>
        </w:rPr>
        <w:t>NOTA METODOLÓGICA</w:t>
      </w:r>
    </w:p>
    <w:p w14:paraId="088863F2" w14:textId="7609D458"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A classificação de produtos do agronegócio utilizada nesta nota foi atualizada de acordo com a Resolução CAMEX Nº </w:t>
      </w:r>
      <w:r w:rsidR="00B85556">
        <w:rPr>
          <w:rFonts w:ascii="Arial" w:hAnsi="Arial" w:cs="Arial"/>
          <w:sz w:val="20"/>
          <w:szCs w:val="20"/>
        </w:rPr>
        <w:t>125</w:t>
      </w:r>
      <w:r w:rsidRPr="00826906">
        <w:rPr>
          <w:rFonts w:ascii="Arial" w:hAnsi="Arial" w:cs="Arial"/>
          <w:sz w:val="20"/>
          <w:szCs w:val="20"/>
        </w:rPr>
        <w:t xml:space="preserve">, de </w:t>
      </w:r>
      <w:r w:rsidR="00B85556">
        <w:rPr>
          <w:rFonts w:ascii="Arial" w:hAnsi="Arial" w:cs="Arial"/>
          <w:sz w:val="20"/>
          <w:szCs w:val="20"/>
        </w:rPr>
        <w:t>15</w:t>
      </w:r>
      <w:r w:rsidRPr="00826906">
        <w:rPr>
          <w:rFonts w:ascii="Arial" w:hAnsi="Arial" w:cs="Arial"/>
          <w:sz w:val="20"/>
          <w:szCs w:val="20"/>
        </w:rPr>
        <w:t>/12/201</w:t>
      </w:r>
      <w:r w:rsidR="00B85556">
        <w:rPr>
          <w:rFonts w:ascii="Arial" w:hAnsi="Arial" w:cs="Arial"/>
          <w:sz w:val="20"/>
          <w:szCs w:val="20"/>
        </w:rPr>
        <w:t>6</w:t>
      </w:r>
      <w:r w:rsidRPr="00826906">
        <w:rPr>
          <w:rFonts w:ascii="Arial" w:hAnsi="Arial" w:cs="Arial"/>
          <w:sz w:val="20"/>
          <w:szCs w:val="20"/>
        </w:rPr>
        <w:t>, que alterou a Nomenclatura Comum do MERCOSUL – NCM para adaptá-la em relação às modificações do Sistema Harmonizado de Designação e de Codificação de Mercadorias (SH-</w:t>
      </w:r>
      <w:r w:rsidR="007C6628">
        <w:rPr>
          <w:rFonts w:ascii="Arial" w:hAnsi="Arial" w:cs="Arial"/>
          <w:sz w:val="20"/>
          <w:szCs w:val="20"/>
        </w:rPr>
        <w:t>2018</w:t>
      </w:r>
      <w:r w:rsidRPr="00826906">
        <w:rPr>
          <w:rFonts w:ascii="Arial" w:hAnsi="Arial" w:cs="Arial"/>
          <w:sz w:val="20"/>
          <w:szCs w:val="20"/>
        </w:rPr>
        <w:t>), que estabelece um método internacional para a classificação de mercadorias.</w:t>
      </w:r>
    </w:p>
    <w:p w14:paraId="736EF7D4" w14:textId="77777777"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032673B5" w14:textId="77777777"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A Balança Comercial do Agronegócio utiliza uma classificação dos produtos do agronegócio que reúne 2.867 </w:t>
      </w:r>
      <w:proofErr w:type="spellStart"/>
      <w:r w:rsidRPr="00826906">
        <w:rPr>
          <w:rFonts w:ascii="Arial" w:hAnsi="Arial" w:cs="Arial"/>
          <w:sz w:val="20"/>
          <w:szCs w:val="20"/>
        </w:rPr>
        <w:t>NCM’s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em 25 setores. Essa é a mesma classificação utilizada no AGROSTAT BRASIL - base de dados </w:t>
      </w:r>
      <w:proofErr w:type="spellStart"/>
      <w:r w:rsidRPr="00826906">
        <w:rPr>
          <w:rFonts w:ascii="Arial" w:hAnsi="Arial" w:cs="Arial"/>
          <w:i/>
          <w:sz w:val="20"/>
          <w:szCs w:val="20"/>
        </w:rPr>
        <w:t>on</w:t>
      </w:r>
      <w:proofErr w:type="spellEnd"/>
      <w:r w:rsidRPr="0082690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26906">
        <w:rPr>
          <w:rFonts w:ascii="Arial" w:hAnsi="Arial" w:cs="Arial"/>
          <w:i/>
          <w:sz w:val="20"/>
          <w:szCs w:val="20"/>
        </w:rPr>
        <w:t>line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que oferece uma visão detalhada e atualizada das exportações e importações brasileiras do agronegócio. Mais informações da metodologia e classificação podem ser consultadas no site: </w:t>
      </w:r>
      <w:hyperlink r:id="rId17" w:history="1">
        <w:r w:rsidRPr="00826906">
          <w:rPr>
            <w:rStyle w:val="Hyperlink"/>
            <w:rFonts w:ascii="Arial" w:hAnsi="Arial" w:cs="Arial"/>
            <w:sz w:val="20"/>
            <w:szCs w:val="20"/>
          </w:rPr>
          <w:t>agrostat.agricultura.gov.br</w:t>
        </w:r>
      </w:hyperlink>
      <w:r w:rsidRPr="00826906">
        <w:rPr>
          <w:rFonts w:ascii="Arial" w:hAnsi="Arial" w:cs="Arial"/>
          <w:sz w:val="20"/>
          <w:szCs w:val="20"/>
        </w:rPr>
        <w:t xml:space="preserve"> </w:t>
      </w:r>
    </w:p>
    <w:p w14:paraId="0D917D1C" w14:textId="77777777" w:rsidR="00C87B02" w:rsidRPr="00826906" w:rsidRDefault="00C87B02">
      <w:pPr>
        <w:pStyle w:val="Ttulo2"/>
        <w:jc w:val="right"/>
        <w:rPr>
          <w:rFonts w:ascii="Arial" w:hAnsi="Arial" w:cs="Arial"/>
          <w:b/>
          <w:sz w:val="20"/>
        </w:rPr>
      </w:pPr>
    </w:p>
    <w:p w14:paraId="217941E9" w14:textId="235C38E6" w:rsidR="00C87B02" w:rsidRPr="00826906" w:rsidRDefault="00C87B02">
      <w:pPr>
        <w:pStyle w:val="Ttulo2"/>
        <w:jc w:val="right"/>
        <w:rPr>
          <w:rFonts w:ascii="Arial" w:hAnsi="Arial" w:cs="Arial"/>
          <w:b/>
          <w:sz w:val="20"/>
        </w:rPr>
      </w:pPr>
      <w:r w:rsidRPr="00826906">
        <w:rPr>
          <w:rFonts w:ascii="Arial" w:hAnsi="Arial" w:cs="Arial"/>
          <w:b/>
          <w:sz w:val="20"/>
        </w:rPr>
        <w:t>MAPA/S</w:t>
      </w:r>
      <w:r w:rsidR="005C113F">
        <w:rPr>
          <w:rFonts w:ascii="Arial" w:hAnsi="Arial" w:cs="Arial"/>
          <w:b/>
          <w:sz w:val="20"/>
        </w:rPr>
        <w:t>C</w:t>
      </w:r>
      <w:r w:rsidRPr="00826906">
        <w:rPr>
          <w:rFonts w:ascii="Arial" w:hAnsi="Arial" w:cs="Arial"/>
          <w:b/>
          <w:sz w:val="20"/>
        </w:rPr>
        <w:t>RI/</w:t>
      </w:r>
      <w:r w:rsidR="005C113F">
        <w:rPr>
          <w:rFonts w:ascii="Arial" w:hAnsi="Arial" w:cs="Arial"/>
          <w:b/>
          <w:sz w:val="20"/>
        </w:rPr>
        <w:t>DCNC</w:t>
      </w:r>
    </w:p>
    <w:p w14:paraId="43E25DF6" w14:textId="24D5ADCC" w:rsidR="00C87B02" w:rsidRPr="00826906" w:rsidRDefault="00C87B02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 </w:t>
      </w:r>
      <w:r w:rsidR="004706CC">
        <w:rPr>
          <w:rFonts w:ascii="Arial" w:hAnsi="Arial" w:cs="Arial"/>
          <w:sz w:val="20"/>
          <w:szCs w:val="20"/>
        </w:rPr>
        <w:t>04/10</w:t>
      </w:r>
      <w:r w:rsidR="00826906">
        <w:rPr>
          <w:rFonts w:ascii="Arial" w:hAnsi="Arial" w:cs="Arial"/>
          <w:sz w:val="20"/>
          <w:szCs w:val="20"/>
        </w:rPr>
        <w:t>/</w:t>
      </w:r>
      <w:r w:rsidR="007C6628">
        <w:rPr>
          <w:rFonts w:ascii="Arial" w:hAnsi="Arial" w:cs="Arial"/>
          <w:sz w:val="20"/>
          <w:szCs w:val="20"/>
        </w:rPr>
        <w:t>2019</w:t>
      </w:r>
    </w:p>
    <w:sectPr w:rsidR="00C87B02" w:rsidRPr="00826906" w:rsidSect="00C2569A">
      <w:footerReference w:type="even" r:id="rId18"/>
      <w:footerReference w:type="default" r:id="rId19"/>
      <w:pgSz w:w="11907" w:h="16840" w:code="9"/>
      <w:pgMar w:top="851" w:right="851" w:bottom="851" w:left="851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2C52" w14:textId="77777777" w:rsidR="00F35186" w:rsidRDefault="00F35186">
      <w:r>
        <w:separator/>
      </w:r>
    </w:p>
  </w:endnote>
  <w:endnote w:type="continuationSeparator" w:id="0">
    <w:p w14:paraId="2D5BBEEF" w14:textId="77777777" w:rsidR="00F35186" w:rsidRDefault="00F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7040" w14:textId="77777777" w:rsidR="008F4F40" w:rsidRDefault="008F4F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D22BF5" w14:textId="77777777" w:rsidR="008F4F40" w:rsidRDefault="008F4F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7D14" w14:textId="77777777" w:rsidR="008F4F40" w:rsidRPr="000754DD" w:rsidRDefault="008F4F40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0754DD">
      <w:rPr>
        <w:rStyle w:val="Nmerodepgina"/>
        <w:rFonts w:ascii="Arial" w:hAnsi="Arial" w:cs="Arial"/>
        <w:sz w:val="16"/>
        <w:szCs w:val="16"/>
      </w:rPr>
      <w:fldChar w:fldCharType="begin"/>
    </w:r>
    <w:r w:rsidRPr="000754D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754DD">
      <w:rPr>
        <w:rStyle w:val="Nmerodepgina"/>
        <w:rFonts w:ascii="Arial" w:hAnsi="Arial" w:cs="Arial"/>
        <w:sz w:val="16"/>
        <w:szCs w:val="16"/>
      </w:rPr>
      <w:fldChar w:fldCharType="separate"/>
    </w:r>
    <w:r w:rsidR="003E2A9B">
      <w:rPr>
        <w:rStyle w:val="Nmerodepgina"/>
        <w:rFonts w:ascii="Arial" w:hAnsi="Arial" w:cs="Arial"/>
        <w:noProof/>
        <w:sz w:val="16"/>
        <w:szCs w:val="16"/>
      </w:rPr>
      <w:t>12</w:t>
    </w:r>
    <w:r w:rsidRPr="000754DD">
      <w:rPr>
        <w:rStyle w:val="Nmerodepgina"/>
        <w:rFonts w:ascii="Arial" w:hAnsi="Arial" w:cs="Arial"/>
        <w:sz w:val="16"/>
        <w:szCs w:val="16"/>
      </w:rPr>
      <w:fldChar w:fldCharType="end"/>
    </w:r>
  </w:p>
  <w:p w14:paraId="16504674" w14:textId="77777777" w:rsidR="008F4F40" w:rsidRDefault="008F4F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660B" w14:textId="77777777" w:rsidR="00F35186" w:rsidRDefault="00F35186">
      <w:r>
        <w:separator/>
      </w:r>
    </w:p>
  </w:footnote>
  <w:footnote w:type="continuationSeparator" w:id="0">
    <w:p w14:paraId="6663B0B3" w14:textId="77777777" w:rsidR="00F35186" w:rsidRDefault="00F3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4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A5"/>
    <w:rsid w:val="000014D2"/>
    <w:rsid w:val="0000209E"/>
    <w:rsid w:val="0000254E"/>
    <w:rsid w:val="000036C3"/>
    <w:rsid w:val="0000402A"/>
    <w:rsid w:val="00004903"/>
    <w:rsid w:val="000054FF"/>
    <w:rsid w:val="00006103"/>
    <w:rsid w:val="00006262"/>
    <w:rsid w:val="00006ECB"/>
    <w:rsid w:val="00007083"/>
    <w:rsid w:val="00007D32"/>
    <w:rsid w:val="00010A70"/>
    <w:rsid w:val="0001136D"/>
    <w:rsid w:val="00012110"/>
    <w:rsid w:val="00012E25"/>
    <w:rsid w:val="0001326B"/>
    <w:rsid w:val="00013681"/>
    <w:rsid w:val="00013B15"/>
    <w:rsid w:val="00013C10"/>
    <w:rsid w:val="0001553F"/>
    <w:rsid w:val="000166CF"/>
    <w:rsid w:val="00017D67"/>
    <w:rsid w:val="00017F9E"/>
    <w:rsid w:val="00021202"/>
    <w:rsid w:val="00021AE7"/>
    <w:rsid w:val="00023523"/>
    <w:rsid w:val="00023700"/>
    <w:rsid w:val="00024620"/>
    <w:rsid w:val="000246E5"/>
    <w:rsid w:val="00024774"/>
    <w:rsid w:val="00025562"/>
    <w:rsid w:val="0002567E"/>
    <w:rsid w:val="0002592B"/>
    <w:rsid w:val="00026C30"/>
    <w:rsid w:val="00027B9D"/>
    <w:rsid w:val="00027CD6"/>
    <w:rsid w:val="00027FBF"/>
    <w:rsid w:val="000301F8"/>
    <w:rsid w:val="00030275"/>
    <w:rsid w:val="00030698"/>
    <w:rsid w:val="000309CC"/>
    <w:rsid w:val="0003161E"/>
    <w:rsid w:val="00031A57"/>
    <w:rsid w:val="0003291F"/>
    <w:rsid w:val="000329DF"/>
    <w:rsid w:val="0003345D"/>
    <w:rsid w:val="000348EF"/>
    <w:rsid w:val="00034D11"/>
    <w:rsid w:val="00034E2F"/>
    <w:rsid w:val="000354EE"/>
    <w:rsid w:val="00035920"/>
    <w:rsid w:val="00035927"/>
    <w:rsid w:val="00035E51"/>
    <w:rsid w:val="000400E7"/>
    <w:rsid w:val="00040781"/>
    <w:rsid w:val="00040AAD"/>
    <w:rsid w:val="00040CEE"/>
    <w:rsid w:val="000411F9"/>
    <w:rsid w:val="0004141A"/>
    <w:rsid w:val="00041459"/>
    <w:rsid w:val="0004188A"/>
    <w:rsid w:val="00041926"/>
    <w:rsid w:val="00041C47"/>
    <w:rsid w:val="000421AD"/>
    <w:rsid w:val="00042DA0"/>
    <w:rsid w:val="00043C91"/>
    <w:rsid w:val="00044959"/>
    <w:rsid w:val="00045520"/>
    <w:rsid w:val="00045689"/>
    <w:rsid w:val="000456E0"/>
    <w:rsid w:val="0004621E"/>
    <w:rsid w:val="00047101"/>
    <w:rsid w:val="00047F65"/>
    <w:rsid w:val="00047FF1"/>
    <w:rsid w:val="00050C8F"/>
    <w:rsid w:val="00051416"/>
    <w:rsid w:val="000516E7"/>
    <w:rsid w:val="00051EEF"/>
    <w:rsid w:val="00053736"/>
    <w:rsid w:val="000542D8"/>
    <w:rsid w:val="00055505"/>
    <w:rsid w:val="00056B26"/>
    <w:rsid w:val="00057E53"/>
    <w:rsid w:val="00057F96"/>
    <w:rsid w:val="00060DB6"/>
    <w:rsid w:val="00060E48"/>
    <w:rsid w:val="00060ECE"/>
    <w:rsid w:val="00063D9B"/>
    <w:rsid w:val="00063DE6"/>
    <w:rsid w:val="000645E2"/>
    <w:rsid w:val="00065EC7"/>
    <w:rsid w:val="00065F75"/>
    <w:rsid w:val="00066372"/>
    <w:rsid w:val="00066406"/>
    <w:rsid w:val="000666A5"/>
    <w:rsid w:val="000676F5"/>
    <w:rsid w:val="00067C72"/>
    <w:rsid w:val="000708D1"/>
    <w:rsid w:val="00070FDC"/>
    <w:rsid w:val="0007199F"/>
    <w:rsid w:val="0007208F"/>
    <w:rsid w:val="000728BD"/>
    <w:rsid w:val="00072A5A"/>
    <w:rsid w:val="00072BF1"/>
    <w:rsid w:val="000735F0"/>
    <w:rsid w:val="00073B00"/>
    <w:rsid w:val="0007448A"/>
    <w:rsid w:val="000749E3"/>
    <w:rsid w:val="00074CFD"/>
    <w:rsid w:val="00074FEC"/>
    <w:rsid w:val="000754DD"/>
    <w:rsid w:val="00076763"/>
    <w:rsid w:val="000777E6"/>
    <w:rsid w:val="00080CDD"/>
    <w:rsid w:val="0008233D"/>
    <w:rsid w:val="000838F3"/>
    <w:rsid w:val="00084C40"/>
    <w:rsid w:val="000851AD"/>
    <w:rsid w:val="000860D5"/>
    <w:rsid w:val="0008675A"/>
    <w:rsid w:val="00086BE6"/>
    <w:rsid w:val="00087349"/>
    <w:rsid w:val="00091B89"/>
    <w:rsid w:val="00092CA9"/>
    <w:rsid w:val="000930DA"/>
    <w:rsid w:val="00093582"/>
    <w:rsid w:val="00093FC9"/>
    <w:rsid w:val="0009438C"/>
    <w:rsid w:val="00094CD8"/>
    <w:rsid w:val="00094EAB"/>
    <w:rsid w:val="000950D3"/>
    <w:rsid w:val="00095783"/>
    <w:rsid w:val="00096E13"/>
    <w:rsid w:val="000976B6"/>
    <w:rsid w:val="000978BB"/>
    <w:rsid w:val="00097960"/>
    <w:rsid w:val="00097ADA"/>
    <w:rsid w:val="00097AEB"/>
    <w:rsid w:val="000A0879"/>
    <w:rsid w:val="000A0E3C"/>
    <w:rsid w:val="000A12CC"/>
    <w:rsid w:val="000A14AC"/>
    <w:rsid w:val="000A16C5"/>
    <w:rsid w:val="000A2859"/>
    <w:rsid w:val="000A3C7F"/>
    <w:rsid w:val="000A412F"/>
    <w:rsid w:val="000A58CA"/>
    <w:rsid w:val="000A6462"/>
    <w:rsid w:val="000A6B29"/>
    <w:rsid w:val="000A7772"/>
    <w:rsid w:val="000B1245"/>
    <w:rsid w:val="000B1599"/>
    <w:rsid w:val="000B2CCF"/>
    <w:rsid w:val="000B4CB7"/>
    <w:rsid w:val="000B617B"/>
    <w:rsid w:val="000B6F56"/>
    <w:rsid w:val="000B778B"/>
    <w:rsid w:val="000C0B2D"/>
    <w:rsid w:val="000C0F47"/>
    <w:rsid w:val="000C101E"/>
    <w:rsid w:val="000C1354"/>
    <w:rsid w:val="000C4843"/>
    <w:rsid w:val="000C4CA1"/>
    <w:rsid w:val="000C4E0B"/>
    <w:rsid w:val="000C5899"/>
    <w:rsid w:val="000C5BC6"/>
    <w:rsid w:val="000C64AB"/>
    <w:rsid w:val="000C6B89"/>
    <w:rsid w:val="000C6CD3"/>
    <w:rsid w:val="000C7E02"/>
    <w:rsid w:val="000D0596"/>
    <w:rsid w:val="000D0A1C"/>
    <w:rsid w:val="000D0A49"/>
    <w:rsid w:val="000D1791"/>
    <w:rsid w:val="000D26FA"/>
    <w:rsid w:val="000D279E"/>
    <w:rsid w:val="000D2D61"/>
    <w:rsid w:val="000D39E2"/>
    <w:rsid w:val="000D4068"/>
    <w:rsid w:val="000D5591"/>
    <w:rsid w:val="000D5BE5"/>
    <w:rsid w:val="000E03A7"/>
    <w:rsid w:val="000E0754"/>
    <w:rsid w:val="000E1F98"/>
    <w:rsid w:val="000E26E8"/>
    <w:rsid w:val="000E2E78"/>
    <w:rsid w:val="000E3005"/>
    <w:rsid w:val="000E33C3"/>
    <w:rsid w:val="000E398E"/>
    <w:rsid w:val="000E39A2"/>
    <w:rsid w:val="000E3FFC"/>
    <w:rsid w:val="000E42AC"/>
    <w:rsid w:val="000E4AF7"/>
    <w:rsid w:val="000E4D0B"/>
    <w:rsid w:val="000E7154"/>
    <w:rsid w:val="000E7667"/>
    <w:rsid w:val="000E7821"/>
    <w:rsid w:val="000F20EC"/>
    <w:rsid w:val="000F2478"/>
    <w:rsid w:val="000F3A73"/>
    <w:rsid w:val="000F4768"/>
    <w:rsid w:val="000F5D88"/>
    <w:rsid w:val="000F67E1"/>
    <w:rsid w:val="000F6FB8"/>
    <w:rsid w:val="000F7529"/>
    <w:rsid w:val="000F7E4B"/>
    <w:rsid w:val="000F7E56"/>
    <w:rsid w:val="001002A5"/>
    <w:rsid w:val="001009DA"/>
    <w:rsid w:val="00102086"/>
    <w:rsid w:val="00102185"/>
    <w:rsid w:val="00102714"/>
    <w:rsid w:val="001028A9"/>
    <w:rsid w:val="00102FA0"/>
    <w:rsid w:val="00103608"/>
    <w:rsid w:val="00103A27"/>
    <w:rsid w:val="00103E4E"/>
    <w:rsid w:val="0010432D"/>
    <w:rsid w:val="00104345"/>
    <w:rsid w:val="00106AE7"/>
    <w:rsid w:val="0011004F"/>
    <w:rsid w:val="0011065F"/>
    <w:rsid w:val="0011143D"/>
    <w:rsid w:val="001120A0"/>
    <w:rsid w:val="0011278C"/>
    <w:rsid w:val="00112CB5"/>
    <w:rsid w:val="0011359A"/>
    <w:rsid w:val="00114060"/>
    <w:rsid w:val="001145E1"/>
    <w:rsid w:val="00114767"/>
    <w:rsid w:val="001148DB"/>
    <w:rsid w:val="00115593"/>
    <w:rsid w:val="00116244"/>
    <w:rsid w:val="00116DF6"/>
    <w:rsid w:val="001172F2"/>
    <w:rsid w:val="00120C53"/>
    <w:rsid w:val="00120FC3"/>
    <w:rsid w:val="001214F0"/>
    <w:rsid w:val="00121674"/>
    <w:rsid w:val="00121B82"/>
    <w:rsid w:val="001230EB"/>
    <w:rsid w:val="00123AEA"/>
    <w:rsid w:val="00123C08"/>
    <w:rsid w:val="00124184"/>
    <w:rsid w:val="00124275"/>
    <w:rsid w:val="00124438"/>
    <w:rsid w:val="001248CD"/>
    <w:rsid w:val="00125976"/>
    <w:rsid w:val="00127EF3"/>
    <w:rsid w:val="001302B1"/>
    <w:rsid w:val="00130896"/>
    <w:rsid w:val="00130BEF"/>
    <w:rsid w:val="00131883"/>
    <w:rsid w:val="00131C03"/>
    <w:rsid w:val="00132734"/>
    <w:rsid w:val="00132CFF"/>
    <w:rsid w:val="0013358D"/>
    <w:rsid w:val="001343E9"/>
    <w:rsid w:val="00134A6E"/>
    <w:rsid w:val="00134AB8"/>
    <w:rsid w:val="00135398"/>
    <w:rsid w:val="00135405"/>
    <w:rsid w:val="00135BA2"/>
    <w:rsid w:val="001360B0"/>
    <w:rsid w:val="00136B69"/>
    <w:rsid w:val="00136D9F"/>
    <w:rsid w:val="00137206"/>
    <w:rsid w:val="00137272"/>
    <w:rsid w:val="0013770C"/>
    <w:rsid w:val="00140494"/>
    <w:rsid w:val="00140CC4"/>
    <w:rsid w:val="001410C3"/>
    <w:rsid w:val="00142592"/>
    <w:rsid w:val="00142F1E"/>
    <w:rsid w:val="00143382"/>
    <w:rsid w:val="00144082"/>
    <w:rsid w:val="0014413D"/>
    <w:rsid w:val="00144D60"/>
    <w:rsid w:val="0014572B"/>
    <w:rsid w:val="0014658F"/>
    <w:rsid w:val="001469B5"/>
    <w:rsid w:val="0014766D"/>
    <w:rsid w:val="001479CC"/>
    <w:rsid w:val="00147F3E"/>
    <w:rsid w:val="0015012C"/>
    <w:rsid w:val="001502A6"/>
    <w:rsid w:val="00150906"/>
    <w:rsid w:val="00150D5F"/>
    <w:rsid w:val="00151988"/>
    <w:rsid w:val="00153702"/>
    <w:rsid w:val="00153E37"/>
    <w:rsid w:val="00155044"/>
    <w:rsid w:val="001553E1"/>
    <w:rsid w:val="0015622C"/>
    <w:rsid w:val="00156437"/>
    <w:rsid w:val="00156CF0"/>
    <w:rsid w:val="00157AFB"/>
    <w:rsid w:val="00161E99"/>
    <w:rsid w:val="001631E2"/>
    <w:rsid w:val="001653C9"/>
    <w:rsid w:val="001654D4"/>
    <w:rsid w:val="00165A56"/>
    <w:rsid w:val="001668BA"/>
    <w:rsid w:val="00166F09"/>
    <w:rsid w:val="00167040"/>
    <w:rsid w:val="00167101"/>
    <w:rsid w:val="00167A20"/>
    <w:rsid w:val="00171552"/>
    <w:rsid w:val="001715EE"/>
    <w:rsid w:val="00171A0D"/>
    <w:rsid w:val="00172239"/>
    <w:rsid w:val="0017334E"/>
    <w:rsid w:val="001737BF"/>
    <w:rsid w:val="001739E0"/>
    <w:rsid w:val="00173C33"/>
    <w:rsid w:val="001740EF"/>
    <w:rsid w:val="0017415F"/>
    <w:rsid w:val="00175DF5"/>
    <w:rsid w:val="00175FD4"/>
    <w:rsid w:val="001765E5"/>
    <w:rsid w:val="001768DC"/>
    <w:rsid w:val="00177C36"/>
    <w:rsid w:val="00180987"/>
    <w:rsid w:val="00181959"/>
    <w:rsid w:val="00181A5E"/>
    <w:rsid w:val="00181F12"/>
    <w:rsid w:val="0018353B"/>
    <w:rsid w:val="001845DB"/>
    <w:rsid w:val="00185460"/>
    <w:rsid w:val="001855B7"/>
    <w:rsid w:val="001877D0"/>
    <w:rsid w:val="00187C56"/>
    <w:rsid w:val="0019065E"/>
    <w:rsid w:val="00191D61"/>
    <w:rsid w:val="00192430"/>
    <w:rsid w:val="00193C52"/>
    <w:rsid w:val="00193F46"/>
    <w:rsid w:val="00194175"/>
    <w:rsid w:val="0019506D"/>
    <w:rsid w:val="001950E2"/>
    <w:rsid w:val="00195D36"/>
    <w:rsid w:val="001965D0"/>
    <w:rsid w:val="00196B83"/>
    <w:rsid w:val="001A002C"/>
    <w:rsid w:val="001A0A6C"/>
    <w:rsid w:val="001A0C5C"/>
    <w:rsid w:val="001A0CE7"/>
    <w:rsid w:val="001A1062"/>
    <w:rsid w:val="001A1AD0"/>
    <w:rsid w:val="001A1F94"/>
    <w:rsid w:val="001A29EA"/>
    <w:rsid w:val="001A3C0C"/>
    <w:rsid w:val="001A47BE"/>
    <w:rsid w:val="001A4C12"/>
    <w:rsid w:val="001A551F"/>
    <w:rsid w:val="001A5F2C"/>
    <w:rsid w:val="001A69E4"/>
    <w:rsid w:val="001A7D65"/>
    <w:rsid w:val="001B0348"/>
    <w:rsid w:val="001B10C1"/>
    <w:rsid w:val="001B15A0"/>
    <w:rsid w:val="001B18D8"/>
    <w:rsid w:val="001B21EA"/>
    <w:rsid w:val="001B23D6"/>
    <w:rsid w:val="001B272C"/>
    <w:rsid w:val="001B290B"/>
    <w:rsid w:val="001B2E81"/>
    <w:rsid w:val="001B48AD"/>
    <w:rsid w:val="001B5153"/>
    <w:rsid w:val="001B5F0E"/>
    <w:rsid w:val="001B7C51"/>
    <w:rsid w:val="001C10B3"/>
    <w:rsid w:val="001C182B"/>
    <w:rsid w:val="001C2AFB"/>
    <w:rsid w:val="001C2BE2"/>
    <w:rsid w:val="001C3C0D"/>
    <w:rsid w:val="001C499D"/>
    <w:rsid w:val="001C75BF"/>
    <w:rsid w:val="001C7639"/>
    <w:rsid w:val="001D02B6"/>
    <w:rsid w:val="001D1357"/>
    <w:rsid w:val="001D3304"/>
    <w:rsid w:val="001D35D6"/>
    <w:rsid w:val="001D3640"/>
    <w:rsid w:val="001D51EE"/>
    <w:rsid w:val="001D5DA7"/>
    <w:rsid w:val="001D5EE4"/>
    <w:rsid w:val="001E005F"/>
    <w:rsid w:val="001E090A"/>
    <w:rsid w:val="001E2DBF"/>
    <w:rsid w:val="001E3298"/>
    <w:rsid w:val="001E3EA2"/>
    <w:rsid w:val="001E4FEE"/>
    <w:rsid w:val="001E605F"/>
    <w:rsid w:val="001E649C"/>
    <w:rsid w:val="001F03E4"/>
    <w:rsid w:val="001F1E12"/>
    <w:rsid w:val="001F1E86"/>
    <w:rsid w:val="001F25CA"/>
    <w:rsid w:val="001F304D"/>
    <w:rsid w:val="001F3315"/>
    <w:rsid w:val="001F39C4"/>
    <w:rsid w:val="001F47BF"/>
    <w:rsid w:val="001F59FD"/>
    <w:rsid w:val="001F6377"/>
    <w:rsid w:val="001F6BD9"/>
    <w:rsid w:val="00200422"/>
    <w:rsid w:val="00200C1F"/>
    <w:rsid w:val="00201721"/>
    <w:rsid w:val="00201EB6"/>
    <w:rsid w:val="0020228A"/>
    <w:rsid w:val="00202D83"/>
    <w:rsid w:val="00202E7D"/>
    <w:rsid w:val="002037B1"/>
    <w:rsid w:val="00203C2C"/>
    <w:rsid w:val="00204020"/>
    <w:rsid w:val="00204023"/>
    <w:rsid w:val="002048AD"/>
    <w:rsid w:val="0020496C"/>
    <w:rsid w:val="00204E09"/>
    <w:rsid w:val="00204E55"/>
    <w:rsid w:val="00205177"/>
    <w:rsid w:val="0020693B"/>
    <w:rsid w:val="00206CCC"/>
    <w:rsid w:val="0020757C"/>
    <w:rsid w:val="002101DA"/>
    <w:rsid w:val="002104CA"/>
    <w:rsid w:val="002106CF"/>
    <w:rsid w:val="00210CDA"/>
    <w:rsid w:val="0021144F"/>
    <w:rsid w:val="00211702"/>
    <w:rsid w:val="00214201"/>
    <w:rsid w:val="00214566"/>
    <w:rsid w:val="0021521E"/>
    <w:rsid w:val="00215A65"/>
    <w:rsid w:val="0021634D"/>
    <w:rsid w:val="00216841"/>
    <w:rsid w:val="002175BC"/>
    <w:rsid w:val="00217690"/>
    <w:rsid w:val="0021787B"/>
    <w:rsid w:val="00220065"/>
    <w:rsid w:val="00220165"/>
    <w:rsid w:val="00220873"/>
    <w:rsid w:val="00221D32"/>
    <w:rsid w:val="00224391"/>
    <w:rsid w:val="00224683"/>
    <w:rsid w:val="0022533F"/>
    <w:rsid w:val="002255A9"/>
    <w:rsid w:val="002259FA"/>
    <w:rsid w:val="00230941"/>
    <w:rsid w:val="00230FEE"/>
    <w:rsid w:val="00231034"/>
    <w:rsid w:val="0023186C"/>
    <w:rsid w:val="00232DF4"/>
    <w:rsid w:val="00232F99"/>
    <w:rsid w:val="00233BE6"/>
    <w:rsid w:val="00233C69"/>
    <w:rsid w:val="0023409D"/>
    <w:rsid w:val="00234BDA"/>
    <w:rsid w:val="00235B60"/>
    <w:rsid w:val="00235D7C"/>
    <w:rsid w:val="00235D98"/>
    <w:rsid w:val="002365E6"/>
    <w:rsid w:val="00236C8A"/>
    <w:rsid w:val="0023726D"/>
    <w:rsid w:val="0024071A"/>
    <w:rsid w:val="00240914"/>
    <w:rsid w:val="00243565"/>
    <w:rsid w:val="002444B6"/>
    <w:rsid w:val="00244DAD"/>
    <w:rsid w:val="00244FFD"/>
    <w:rsid w:val="00246FFB"/>
    <w:rsid w:val="0024709A"/>
    <w:rsid w:val="0025029B"/>
    <w:rsid w:val="00252568"/>
    <w:rsid w:val="002532FE"/>
    <w:rsid w:val="00253BAB"/>
    <w:rsid w:val="00253F6E"/>
    <w:rsid w:val="0025449A"/>
    <w:rsid w:val="00256A85"/>
    <w:rsid w:val="0025703A"/>
    <w:rsid w:val="002575E1"/>
    <w:rsid w:val="002576A8"/>
    <w:rsid w:val="00257972"/>
    <w:rsid w:val="00257CA9"/>
    <w:rsid w:val="00260952"/>
    <w:rsid w:val="00260A3D"/>
    <w:rsid w:val="00262474"/>
    <w:rsid w:val="0026519E"/>
    <w:rsid w:val="00265916"/>
    <w:rsid w:val="00265B91"/>
    <w:rsid w:val="0026638C"/>
    <w:rsid w:val="00266F5A"/>
    <w:rsid w:val="00267384"/>
    <w:rsid w:val="00270FB8"/>
    <w:rsid w:val="0027196A"/>
    <w:rsid w:val="0027256F"/>
    <w:rsid w:val="00272B5F"/>
    <w:rsid w:val="00273ED5"/>
    <w:rsid w:val="00274325"/>
    <w:rsid w:val="002759C4"/>
    <w:rsid w:val="00275FD2"/>
    <w:rsid w:val="002765C2"/>
    <w:rsid w:val="0027693B"/>
    <w:rsid w:val="00277191"/>
    <w:rsid w:val="00280B61"/>
    <w:rsid w:val="00280D1E"/>
    <w:rsid w:val="00280F43"/>
    <w:rsid w:val="00281796"/>
    <w:rsid w:val="00281CB4"/>
    <w:rsid w:val="00282463"/>
    <w:rsid w:val="002825B3"/>
    <w:rsid w:val="00282A21"/>
    <w:rsid w:val="002834B5"/>
    <w:rsid w:val="002846ED"/>
    <w:rsid w:val="00286307"/>
    <w:rsid w:val="00286682"/>
    <w:rsid w:val="00286980"/>
    <w:rsid w:val="00286EB2"/>
    <w:rsid w:val="0028796C"/>
    <w:rsid w:val="00287BF8"/>
    <w:rsid w:val="00287C5B"/>
    <w:rsid w:val="00290216"/>
    <w:rsid w:val="002905B3"/>
    <w:rsid w:val="00290EE0"/>
    <w:rsid w:val="00292902"/>
    <w:rsid w:val="00292C37"/>
    <w:rsid w:val="00292F48"/>
    <w:rsid w:val="002954AE"/>
    <w:rsid w:val="002954F3"/>
    <w:rsid w:val="0029641D"/>
    <w:rsid w:val="00296626"/>
    <w:rsid w:val="002A0A91"/>
    <w:rsid w:val="002A451B"/>
    <w:rsid w:val="002A4B0B"/>
    <w:rsid w:val="002A50D8"/>
    <w:rsid w:val="002A5A16"/>
    <w:rsid w:val="002A5B80"/>
    <w:rsid w:val="002A5D48"/>
    <w:rsid w:val="002A699C"/>
    <w:rsid w:val="002A69F4"/>
    <w:rsid w:val="002A7051"/>
    <w:rsid w:val="002A707F"/>
    <w:rsid w:val="002A7318"/>
    <w:rsid w:val="002A750D"/>
    <w:rsid w:val="002A7843"/>
    <w:rsid w:val="002B0032"/>
    <w:rsid w:val="002B0264"/>
    <w:rsid w:val="002B0AA4"/>
    <w:rsid w:val="002B0BBC"/>
    <w:rsid w:val="002B1708"/>
    <w:rsid w:val="002B19C3"/>
    <w:rsid w:val="002B1A0F"/>
    <w:rsid w:val="002B225F"/>
    <w:rsid w:val="002B3495"/>
    <w:rsid w:val="002B3FF6"/>
    <w:rsid w:val="002B3FFA"/>
    <w:rsid w:val="002B40D1"/>
    <w:rsid w:val="002B4209"/>
    <w:rsid w:val="002B48DF"/>
    <w:rsid w:val="002B4BFF"/>
    <w:rsid w:val="002B5200"/>
    <w:rsid w:val="002B6586"/>
    <w:rsid w:val="002B728E"/>
    <w:rsid w:val="002B76D5"/>
    <w:rsid w:val="002C006D"/>
    <w:rsid w:val="002C0364"/>
    <w:rsid w:val="002C0850"/>
    <w:rsid w:val="002C0938"/>
    <w:rsid w:val="002C1597"/>
    <w:rsid w:val="002C2E49"/>
    <w:rsid w:val="002C2EBD"/>
    <w:rsid w:val="002C2F67"/>
    <w:rsid w:val="002C2F82"/>
    <w:rsid w:val="002C41FE"/>
    <w:rsid w:val="002C5A64"/>
    <w:rsid w:val="002C61C3"/>
    <w:rsid w:val="002C71CF"/>
    <w:rsid w:val="002C741E"/>
    <w:rsid w:val="002D057E"/>
    <w:rsid w:val="002D15C6"/>
    <w:rsid w:val="002D198F"/>
    <w:rsid w:val="002D2497"/>
    <w:rsid w:val="002D2693"/>
    <w:rsid w:val="002D35B6"/>
    <w:rsid w:val="002D37D5"/>
    <w:rsid w:val="002D4505"/>
    <w:rsid w:val="002D5693"/>
    <w:rsid w:val="002D58E0"/>
    <w:rsid w:val="002D6145"/>
    <w:rsid w:val="002D6B4E"/>
    <w:rsid w:val="002D6E77"/>
    <w:rsid w:val="002D7367"/>
    <w:rsid w:val="002E05B8"/>
    <w:rsid w:val="002E1A76"/>
    <w:rsid w:val="002E1D8A"/>
    <w:rsid w:val="002E2A6B"/>
    <w:rsid w:val="002E3695"/>
    <w:rsid w:val="002E416C"/>
    <w:rsid w:val="002E50B6"/>
    <w:rsid w:val="002E50CA"/>
    <w:rsid w:val="002E5A8C"/>
    <w:rsid w:val="002E64B9"/>
    <w:rsid w:val="002E6B13"/>
    <w:rsid w:val="002E6BC7"/>
    <w:rsid w:val="002E6CA1"/>
    <w:rsid w:val="002E7085"/>
    <w:rsid w:val="002E78F4"/>
    <w:rsid w:val="002F00B6"/>
    <w:rsid w:val="002F2AA2"/>
    <w:rsid w:val="002F2B38"/>
    <w:rsid w:val="002F37D6"/>
    <w:rsid w:val="002F4059"/>
    <w:rsid w:val="002F4822"/>
    <w:rsid w:val="002F4B47"/>
    <w:rsid w:val="002F6408"/>
    <w:rsid w:val="002F69FB"/>
    <w:rsid w:val="002F6A42"/>
    <w:rsid w:val="002F6CE0"/>
    <w:rsid w:val="002F6D78"/>
    <w:rsid w:val="00300B6A"/>
    <w:rsid w:val="00301071"/>
    <w:rsid w:val="00301BFC"/>
    <w:rsid w:val="00301E82"/>
    <w:rsid w:val="00302D1E"/>
    <w:rsid w:val="0030347E"/>
    <w:rsid w:val="003054FC"/>
    <w:rsid w:val="0030680F"/>
    <w:rsid w:val="0031100B"/>
    <w:rsid w:val="003114C5"/>
    <w:rsid w:val="00311EF8"/>
    <w:rsid w:val="00311F32"/>
    <w:rsid w:val="00312E0B"/>
    <w:rsid w:val="003136E0"/>
    <w:rsid w:val="00313A73"/>
    <w:rsid w:val="003143F7"/>
    <w:rsid w:val="003146D2"/>
    <w:rsid w:val="00314BFA"/>
    <w:rsid w:val="00316822"/>
    <w:rsid w:val="00316C31"/>
    <w:rsid w:val="00317C56"/>
    <w:rsid w:val="00320151"/>
    <w:rsid w:val="003202FE"/>
    <w:rsid w:val="00320DCF"/>
    <w:rsid w:val="003213EA"/>
    <w:rsid w:val="00321FD3"/>
    <w:rsid w:val="003222A3"/>
    <w:rsid w:val="003224EB"/>
    <w:rsid w:val="00322652"/>
    <w:rsid w:val="00323974"/>
    <w:rsid w:val="00323A54"/>
    <w:rsid w:val="00324262"/>
    <w:rsid w:val="00324322"/>
    <w:rsid w:val="003243CC"/>
    <w:rsid w:val="00324ECE"/>
    <w:rsid w:val="00324F68"/>
    <w:rsid w:val="003259EE"/>
    <w:rsid w:val="00327472"/>
    <w:rsid w:val="00330581"/>
    <w:rsid w:val="003306C9"/>
    <w:rsid w:val="00330A67"/>
    <w:rsid w:val="00330D35"/>
    <w:rsid w:val="00332895"/>
    <w:rsid w:val="00334232"/>
    <w:rsid w:val="00334E38"/>
    <w:rsid w:val="00334ED4"/>
    <w:rsid w:val="00334FCC"/>
    <w:rsid w:val="00335352"/>
    <w:rsid w:val="00335889"/>
    <w:rsid w:val="00335DB5"/>
    <w:rsid w:val="00336A86"/>
    <w:rsid w:val="00341FEA"/>
    <w:rsid w:val="00343ADB"/>
    <w:rsid w:val="00343CAD"/>
    <w:rsid w:val="00345AEE"/>
    <w:rsid w:val="00350F51"/>
    <w:rsid w:val="0035125D"/>
    <w:rsid w:val="00352DE2"/>
    <w:rsid w:val="00353472"/>
    <w:rsid w:val="0035436D"/>
    <w:rsid w:val="00354FF6"/>
    <w:rsid w:val="00355FCD"/>
    <w:rsid w:val="003561A5"/>
    <w:rsid w:val="003573B7"/>
    <w:rsid w:val="0036071C"/>
    <w:rsid w:val="00361C71"/>
    <w:rsid w:val="003630D6"/>
    <w:rsid w:val="0036317F"/>
    <w:rsid w:val="00364842"/>
    <w:rsid w:val="00365AB9"/>
    <w:rsid w:val="00367D6B"/>
    <w:rsid w:val="00370C77"/>
    <w:rsid w:val="00370F4A"/>
    <w:rsid w:val="00372F4E"/>
    <w:rsid w:val="003734AA"/>
    <w:rsid w:val="003743B9"/>
    <w:rsid w:val="00374794"/>
    <w:rsid w:val="00374A21"/>
    <w:rsid w:val="003766EA"/>
    <w:rsid w:val="0038134C"/>
    <w:rsid w:val="003820BA"/>
    <w:rsid w:val="003823A1"/>
    <w:rsid w:val="00382526"/>
    <w:rsid w:val="00382C83"/>
    <w:rsid w:val="00383C89"/>
    <w:rsid w:val="00383D01"/>
    <w:rsid w:val="00384177"/>
    <w:rsid w:val="00384963"/>
    <w:rsid w:val="003862C2"/>
    <w:rsid w:val="003867B8"/>
    <w:rsid w:val="00386C6D"/>
    <w:rsid w:val="003909E2"/>
    <w:rsid w:val="00390CD1"/>
    <w:rsid w:val="003926FF"/>
    <w:rsid w:val="00392C3A"/>
    <w:rsid w:val="00392E0F"/>
    <w:rsid w:val="00392FC0"/>
    <w:rsid w:val="003947CB"/>
    <w:rsid w:val="003949D8"/>
    <w:rsid w:val="00394C37"/>
    <w:rsid w:val="00394ED0"/>
    <w:rsid w:val="003952C4"/>
    <w:rsid w:val="0039561C"/>
    <w:rsid w:val="003A0B29"/>
    <w:rsid w:val="003A0E82"/>
    <w:rsid w:val="003A1348"/>
    <w:rsid w:val="003A1858"/>
    <w:rsid w:val="003A2950"/>
    <w:rsid w:val="003A47B8"/>
    <w:rsid w:val="003A510C"/>
    <w:rsid w:val="003A6481"/>
    <w:rsid w:val="003A7A2A"/>
    <w:rsid w:val="003A7ED6"/>
    <w:rsid w:val="003A7F11"/>
    <w:rsid w:val="003B049D"/>
    <w:rsid w:val="003B0ACC"/>
    <w:rsid w:val="003B0D74"/>
    <w:rsid w:val="003B1517"/>
    <w:rsid w:val="003B1EC6"/>
    <w:rsid w:val="003B2B76"/>
    <w:rsid w:val="003B3718"/>
    <w:rsid w:val="003B434D"/>
    <w:rsid w:val="003B5497"/>
    <w:rsid w:val="003B58CD"/>
    <w:rsid w:val="003B6186"/>
    <w:rsid w:val="003B632E"/>
    <w:rsid w:val="003B6A83"/>
    <w:rsid w:val="003B6C9F"/>
    <w:rsid w:val="003B73D5"/>
    <w:rsid w:val="003B7B3B"/>
    <w:rsid w:val="003C13B7"/>
    <w:rsid w:val="003C1449"/>
    <w:rsid w:val="003C3151"/>
    <w:rsid w:val="003C3CF6"/>
    <w:rsid w:val="003C54E1"/>
    <w:rsid w:val="003C59B2"/>
    <w:rsid w:val="003C69D0"/>
    <w:rsid w:val="003D07AA"/>
    <w:rsid w:val="003D11F0"/>
    <w:rsid w:val="003D17C5"/>
    <w:rsid w:val="003D1872"/>
    <w:rsid w:val="003D27B6"/>
    <w:rsid w:val="003D302B"/>
    <w:rsid w:val="003D31BB"/>
    <w:rsid w:val="003D39F3"/>
    <w:rsid w:val="003D3D98"/>
    <w:rsid w:val="003D4CD5"/>
    <w:rsid w:val="003D5633"/>
    <w:rsid w:val="003D5703"/>
    <w:rsid w:val="003D62F6"/>
    <w:rsid w:val="003D71DE"/>
    <w:rsid w:val="003D7895"/>
    <w:rsid w:val="003D79D4"/>
    <w:rsid w:val="003E091B"/>
    <w:rsid w:val="003E146F"/>
    <w:rsid w:val="003E165E"/>
    <w:rsid w:val="003E1EE3"/>
    <w:rsid w:val="003E2A9B"/>
    <w:rsid w:val="003E2AF6"/>
    <w:rsid w:val="003E30EC"/>
    <w:rsid w:val="003E31CD"/>
    <w:rsid w:val="003E367B"/>
    <w:rsid w:val="003E4A98"/>
    <w:rsid w:val="003E53C5"/>
    <w:rsid w:val="003E56D8"/>
    <w:rsid w:val="003E5C53"/>
    <w:rsid w:val="003E6803"/>
    <w:rsid w:val="003E7039"/>
    <w:rsid w:val="003F07E7"/>
    <w:rsid w:val="003F0A4D"/>
    <w:rsid w:val="003F10A8"/>
    <w:rsid w:val="003F150F"/>
    <w:rsid w:val="003F1C93"/>
    <w:rsid w:val="003F2069"/>
    <w:rsid w:val="003F3106"/>
    <w:rsid w:val="003F3114"/>
    <w:rsid w:val="003F4615"/>
    <w:rsid w:val="003F49CC"/>
    <w:rsid w:val="003F5D9B"/>
    <w:rsid w:val="003F5E37"/>
    <w:rsid w:val="003F71CE"/>
    <w:rsid w:val="003F73EB"/>
    <w:rsid w:val="003F79EF"/>
    <w:rsid w:val="004004D6"/>
    <w:rsid w:val="004005E8"/>
    <w:rsid w:val="004005EF"/>
    <w:rsid w:val="004012D9"/>
    <w:rsid w:val="0040178D"/>
    <w:rsid w:val="00401878"/>
    <w:rsid w:val="00401A32"/>
    <w:rsid w:val="00402BD6"/>
    <w:rsid w:val="00403363"/>
    <w:rsid w:val="004033C1"/>
    <w:rsid w:val="00403F4D"/>
    <w:rsid w:val="00405739"/>
    <w:rsid w:val="0040583E"/>
    <w:rsid w:val="00405BFA"/>
    <w:rsid w:val="00405D60"/>
    <w:rsid w:val="00406822"/>
    <w:rsid w:val="00407255"/>
    <w:rsid w:val="004130A6"/>
    <w:rsid w:val="0041356D"/>
    <w:rsid w:val="00413ADB"/>
    <w:rsid w:val="0041433C"/>
    <w:rsid w:val="00414AB5"/>
    <w:rsid w:val="0041502E"/>
    <w:rsid w:val="00415075"/>
    <w:rsid w:val="004150FC"/>
    <w:rsid w:val="0041600B"/>
    <w:rsid w:val="004169FB"/>
    <w:rsid w:val="004215B4"/>
    <w:rsid w:val="00421D62"/>
    <w:rsid w:val="00422301"/>
    <w:rsid w:val="00422C8B"/>
    <w:rsid w:val="004233BC"/>
    <w:rsid w:val="004238B9"/>
    <w:rsid w:val="00426013"/>
    <w:rsid w:val="0042676A"/>
    <w:rsid w:val="00426779"/>
    <w:rsid w:val="00427339"/>
    <w:rsid w:val="004278D4"/>
    <w:rsid w:val="00430556"/>
    <w:rsid w:val="00431374"/>
    <w:rsid w:val="0043165A"/>
    <w:rsid w:val="00431DFE"/>
    <w:rsid w:val="004320F4"/>
    <w:rsid w:val="00432541"/>
    <w:rsid w:val="00433948"/>
    <w:rsid w:val="00433AE8"/>
    <w:rsid w:val="004343AC"/>
    <w:rsid w:val="00434639"/>
    <w:rsid w:val="00434E4E"/>
    <w:rsid w:val="00435123"/>
    <w:rsid w:val="00435284"/>
    <w:rsid w:val="0043540E"/>
    <w:rsid w:val="004360EB"/>
    <w:rsid w:val="00436328"/>
    <w:rsid w:val="00436E8A"/>
    <w:rsid w:val="004375F6"/>
    <w:rsid w:val="004418ED"/>
    <w:rsid w:val="00443955"/>
    <w:rsid w:val="00445579"/>
    <w:rsid w:val="00445D12"/>
    <w:rsid w:val="0044631C"/>
    <w:rsid w:val="00446752"/>
    <w:rsid w:val="00446BC7"/>
    <w:rsid w:val="0044758F"/>
    <w:rsid w:val="004476F8"/>
    <w:rsid w:val="00447760"/>
    <w:rsid w:val="00450323"/>
    <w:rsid w:val="004515A0"/>
    <w:rsid w:val="00452393"/>
    <w:rsid w:val="00452B1D"/>
    <w:rsid w:val="00452EA9"/>
    <w:rsid w:val="004556F3"/>
    <w:rsid w:val="00455FAB"/>
    <w:rsid w:val="00457723"/>
    <w:rsid w:val="00457AA1"/>
    <w:rsid w:val="00457DB3"/>
    <w:rsid w:val="00463C85"/>
    <w:rsid w:val="004645F5"/>
    <w:rsid w:val="0046493C"/>
    <w:rsid w:val="00465925"/>
    <w:rsid w:val="00466B47"/>
    <w:rsid w:val="004673C8"/>
    <w:rsid w:val="00470511"/>
    <w:rsid w:val="004706CC"/>
    <w:rsid w:val="004717FE"/>
    <w:rsid w:val="004719BB"/>
    <w:rsid w:val="004719DB"/>
    <w:rsid w:val="00471F27"/>
    <w:rsid w:val="004731CC"/>
    <w:rsid w:val="00473237"/>
    <w:rsid w:val="00473532"/>
    <w:rsid w:val="00473872"/>
    <w:rsid w:val="00474158"/>
    <w:rsid w:val="004742BC"/>
    <w:rsid w:val="00474BE0"/>
    <w:rsid w:val="0047504C"/>
    <w:rsid w:val="0047558D"/>
    <w:rsid w:val="00475ADE"/>
    <w:rsid w:val="004772A2"/>
    <w:rsid w:val="004776F1"/>
    <w:rsid w:val="00480B14"/>
    <w:rsid w:val="00480BCC"/>
    <w:rsid w:val="00480D68"/>
    <w:rsid w:val="00481D08"/>
    <w:rsid w:val="00482630"/>
    <w:rsid w:val="00482E82"/>
    <w:rsid w:val="004830F2"/>
    <w:rsid w:val="004831BB"/>
    <w:rsid w:val="00483AB6"/>
    <w:rsid w:val="00484481"/>
    <w:rsid w:val="0048481F"/>
    <w:rsid w:val="00485744"/>
    <w:rsid w:val="00486780"/>
    <w:rsid w:val="00486ECE"/>
    <w:rsid w:val="00487FB1"/>
    <w:rsid w:val="00492292"/>
    <w:rsid w:val="0049292E"/>
    <w:rsid w:val="00492C73"/>
    <w:rsid w:val="004931C5"/>
    <w:rsid w:val="0049405D"/>
    <w:rsid w:val="0049568A"/>
    <w:rsid w:val="00495E53"/>
    <w:rsid w:val="00496096"/>
    <w:rsid w:val="00496C98"/>
    <w:rsid w:val="004A00D7"/>
    <w:rsid w:val="004A019B"/>
    <w:rsid w:val="004A0AD4"/>
    <w:rsid w:val="004A106D"/>
    <w:rsid w:val="004A12EB"/>
    <w:rsid w:val="004A1E44"/>
    <w:rsid w:val="004A31C4"/>
    <w:rsid w:val="004A4252"/>
    <w:rsid w:val="004A454D"/>
    <w:rsid w:val="004A5CAF"/>
    <w:rsid w:val="004A63D2"/>
    <w:rsid w:val="004A68FB"/>
    <w:rsid w:val="004A6A6F"/>
    <w:rsid w:val="004A6E65"/>
    <w:rsid w:val="004A77C5"/>
    <w:rsid w:val="004A78A2"/>
    <w:rsid w:val="004A7FE9"/>
    <w:rsid w:val="004B0525"/>
    <w:rsid w:val="004B0DEA"/>
    <w:rsid w:val="004B151F"/>
    <w:rsid w:val="004B1A1C"/>
    <w:rsid w:val="004B289F"/>
    <w:rsid w:val="004B336A"/>
    <w:rsid w:val="004B37C4"/>
    <w:rsid w:val="004B3949"/>
    <w:rsid w:val="004B5C0A"/>
    <w:rsid w:val="004B6007"/>
    <w:rsid w:val="004B63F1"/>
    <w:rsid w:val="004B6A3B"/>
    <w:rsid w:val="004B7D09"/>
    <w:rsid w:val="004C1656"/>
    <w:rsid w:val="004C191A"/>
    <w:rsid w:val="004C1E56"/>
    <w:rsid w:val="004C28BB"/>
    <w:rsid w:val="004C30A8"/>
    <w:rsid w:val="004C38B2"/>
    <w:rsid w:val="004C3A69"/>
    <w:rsid w:val="004C41CC"/>
    <w:rsid w:val="004C4B68"/>
    <w:rsid w:val="004C4B97"/>
    <w:rsid w:val="004C5467"/>
    <w:rsid w:val="004C5F79"/>
    <w:rsid w:val="004C6E0A"/>
    <w:rsid w:val="004C6EE3"/>
    <w:rsid w:val="004D0671"/>
    <w:rsid w:val="004D12C0"/>
    <w:rsid w:val="004D17C2"/>
    <w:rsid w:val="004D46C1"/>
    <w:rsid w:val="004D4B0D"/>
    <w:rsid w:val="004D72DB"/>
    <w:rsid w:val="004E065A"/>
    <w:rsid w:val="004E0700"/>
    <w:rsid w:val="004E0FE6"/>
    <w:rsid w:val="004E10B6"/>
    <w:rsid w:val="004E3415"/>
    <w:rsid w:val="004E3776"/>
    <w:rsid w:val="004E51AB"/>
    <w:rsid w:val="004E5270"/>
    <w:rsid w:val="004E60E3"/>
    <w:rsid w:val="004E71DB"/>
    <w:rsid w:val="004E74B2"/>
    <w:rsid w:val="004F0B9D"/>
    <w:rsid w:val="004F101C"/>
    <w:rsid w:val="004F4B16"/>
    <w:rsid w:val="004F4C23"/>
    <w:rsid w:val="004F5D9D"/>
    <w:rsid w:val="004F68B1"/>
    <w:rsid w:val="004F7037"/>
    <w:rsid w:val="004F70EC"/>
    <w:rsid w:val="004F710D"/>
    <w:rsid w:val="00500160"/>
    <w:rsid w:val="005002E2"/>
    <w:rsid w:val="00500EAF"/>
    <w:rsid w:val="005012E3"/>
    <w:rsid w:val="0050139D"/>
    <w:rsid w:val="00501795"/>
    <w:rsid w:val="00501B3F"/>
    <w:rsid w:val="00502105"/>
    <w:rsid w:val="005021D7"/>
    <w:rsid w:val="00502FFC"/>
    <w:rsid w:val="00503EF2"/>
    <w:rsid w:val="00504C04"/>
    <w:rsid w:val="005052A2"/>
    <w:rsid w:val="0050583C"/>
    <w:rsid w:val="00505B19"/>
    <w:rsid w:val="005069AD"/>
    <w:rsid w:val="00506B9A"/>
    <w:rsid w:val="00506D6A"/>
    <w:rsid w:val="0050737E"/>
    <w:rsid w:val="00507E5C"/>
    <w:rsid w:val="005106CE"/>
    <w:rsid w:val="005137DD"/>
    <w:rsid w:val="00513DA7"/>
    <w:rsid w:val="005153C5"/>
    <w:rsid w:val="00515548"/>
    <w:rsid w:val="00515B3A"/>
    <w:rsid w:val="00517835"/>
    <w:rsid w:val="0052020F"/>
    <w:rsid w:val="005209A5"/>
    <w:rsid w:val="00520C74"/>
    <w:rsid w:val="005211A7"/>
    <w:rsid w:val="00522768"/>
    <w:rsid w:val="00522B94"/>
    <w:rsid w:val="00525E76"/>
    <w:rsid w:val="00526112"/>
    <w:rsid w:val="00526F60"/>
    <w:rsid w:val="00527C8F"/>
    <w:rsid w:val="00530B31"/>
    <w:rsid w:val="0053113E"/>
    <w:rsid w:val="00531DCE"/>
    <w:rsid w:val="00531E2F"/>
    <w:rsid w:val="005326B6"/>
    <w:rsid w:val="00532F6C"/>
    <w:rsid w:val="005334B2"/>
    <w:rsid w:val="00533766"/>
    <w:rsid w:val="0053494E"/>
    <w:rsid w:val="00534954"/>
    <w:rsid w:val="0053642E"/>
    <w:rsid w:val="005365A1"/>
    <w:rsid w:val="00537060"/>
    <w:rsid w:val="00540A2B"/>
    <w:rsid w:val="00540B20"/>
    <w:rsid w:val="005416D7"/>
    <w:rsid w:val="00542256"/>
    <w:rsid w:val="00543648"/>
    <w:rsid w:val="00543885"/>
    <w:rsid w:val="00544917"/>
    <w:rsid w:val="00544B78"/>
    <w:rsid w:val="005474C2"/>
    <w:rsid w:val="005476ED"/>
    <w:rsid w:val="00550BE0"/>
    <w:rsid w:val="00551BF9"/>
    <w:rsid w:val="00551E1E"/>
    <w:rsid w:val="00553174"/>
    <w:rsid w:val="00553574"/>
    <w:rsid w:val="00553C17"/>
    <w:rsid w:val="00554A36"/>
    <w:rsid w:val="00554BA8"/>
    <w:rsid w:val="00554FBD"/>
    <w:rsid w:val="00555759"/>
    <w:rsid w:val="005558D4"/>
    <w:rsid w:val="00556259"/>
    <w:rsid w:val="00560934"/>
    <w:rsid w:val="00561A9B"/>
    <w:rsid w:val="00561C8B"/>
    <w:rsid w:val="00561DCD"/>
    <w:rsid w:val="00562473"/>
    <w:rsid w:val="00562601"/>
    <w:rsid w:val="00562EC0"/>
    <w:rsid w:val="00563206"/>
    <w:rsid w:val="00563922"/>
    <w:rsid w:val="00563E31"/>
    <w:rsid w:val="00564C24"/>
    <w:rsid w:val="00564DCC"/>
    <w:rsid w:val="005656C2"/>
    <w:rsid w:val="00567CF5"/>
    <w:rsid w:val="0057119B"/>
    <w:rsid w:val="0057128D"/>
    <w:rsid w:val="005729B2"/>
    <w:rsid w:val="00573EDD"/>
    <w:rsid w:val="0057461A"/>
    <w:rsid w:val="005747FB"/>
    <w:rsid w:val="00574C37"/>
    <w:rsid w:val="00575079"/>
    <w:rsid w:val="00575363"/>
    <w:rsid w:val="00575449"/>
    <w:rsid w:val="005757C4"/>
    <w:rsid w:val="00575A5D"/>
    <w:rsid w:val="00575EB6"/>
    <w:rsid w:val="005765A4"/>
    <w:rsid w:val="00576A24"/>
    <w:rsid w:val="00576B4D"/>
    <w:rsid w:val="00577DF1"/>
    <w:rsid w:val="00580A75"/>
    <w:rsid w:val="00582727"/>
    <w:rsid w:val="00583441"/>
    <w:rsid w:val="00583886"/>
    <w:rsid w:val="0058410D"/>
    <w:rsid w:val="005842E1"/>
    <w:rsid w:val="00584359"/>
    <w:rsid w:val="00584E2A"/>
    <w:rsid w:val="0058550E"/>
    <w:rsid w:val="005863B1"/>
    <w:rsid w:val="0058686F"/>
    <w:rsid w:val="00587010"/>
    <w:rsid w:val="00587460"/>
    <w:rsid w:val="0059163E"/>
    <w:rsid w:val="005919DE"/>
    <w:rsid w:val="00592638"/>
    <w:rsid w:val="00592C77"/>
    <w:rsid w:val="00593158"/>
    <w:rsid w:val="00594D75"/>
    <w:rsid w:val="00595490"/>
    <w:rsid w:val="00595A34"/>
    <w:rsid w:val="00595CE1"/>
    <w:rsid w:val="00596960"/>
    <w:rsid w:val="005A04FC"/>
    <w:rsid w:val="005A162D"/>
    <w:rsid w:val="005A1ADA"/>
    <w:rsid w:val="005A1EEF"/>
    <w:rsid w:val="005A2565"/>
    <w:rsid w:val="005A2EF8"/>
    <w:rsid w:val="005A3060"/>
    <w:rsid w:val="005A34B6"/>
    <w:rsid w:val="005A3524"/>
    <w:rsid w:val="005A51F4"/>
    <w:rsid w:val="005A707C"/>
    <w:rsid w:val="005B0013"/>
    <w:rsid w:val="005B04C0"/>
    <w:rsid w:val="005B0A08"/>
    <w:rsid w:val="005B0EB6"/>
    <w:rsid w:val="005B0FD6"/>
    <w:rsid w:val="005B1238"/>
    <w:rsid w:val="005B173D"/>
    <w:rsid w:val="005B1A76"/>
    <w:rsid w:val="005B30F3"/>
    <w:rsid w:val="005B3102"/>
    <w:rsid w:val="005B5B16"/>
    <w:rsid w:val="005B6B2A"/>
    <w:rsid w:val="005C01FF"/>
    <w:rsid w:val="005C113F"/>
    <w:rsid w:val="005C1449"/>
    <w:rsid w:val="005C1DBC"/>
    <w:rsid w:val="005C1E38"/>
    <w:rsid w:val="005C1F05"/>
    <w:rsid w:val="005C2FE7"/>
    <w:rsid w:val="005C3C51"/>
    <w:rsid w:val="005C3E04"/>
    <w:rsid w:val="005C4401"/>
    <w:rsid w:val="005C493E"/>
    <w:rsid w:val="005C4D06"/>
    <w:rsid w:val="005C4DF4"/>
    <w:rsid w:val="005C54D4"/>
    <w:rsid w:val="005C62C4"/>
    <w:rsid w:val="005C6E9D"/>
    <w:rsid w:val="005C7E19"/>
    <w:rsid w:val="005D0B74"/>
    <w:rsid w:val="005D0E00"/>
    <w:rsid w:val="005D2202"/>
    <w:rsid w:val="005D2627"/>
    <w:rsid w:val="005D294F"/>
    <w:rsid w:val="005D349E"/>
    <w:rsid w:val="005D3E9D"/>
    <w:rsid w:val="005D3EDB"/>
    <w:rsid w:val="005D497D"/>
    <w:rsid w:val="005D4D9F"/>
    <w:rsid w:val="005D535C"/>
    <w:rsid w:val="005D581A"/>
    <w:rsid w:val="005D71E2"/>
    <w:rsid w:val="005D7673"/>
    <w:rsid w:val="005E00C1"/>
    <w:rsid w:val="005E26F5"/>
    <w:rsid w:val="005E387F"/>
    <w:rsid w:val="005E396F"/>
    <w:rsid w:val="005E4BC9"/>
    <w:rsid w:val="005E4C1C"/>
    <w:rsid w:val="005E67DD"/>
    <w:rsid w:val="005E726E"/>
    <w:rsid w:val="005E783E"/>
    <w:rsid w:val="005F0EDC"/>
    <w:rsid w:val="005F216C"/>
    <w:rsid w:val="005F3AB9"/>
    <w:rsid w:val="005F40B5"/>
    <w:rsid w:val="005F45DB"/>
    <w:rsid w:val="005F507B"/>
    <w:rsid w:val="005F519E"/>
    <w:rsid w:val="005F5266"/>
    <w:rsid w:val="005F529A"/>
    <w:rsid w:val="005F66A0"/>
    <w:rsid w:val="005F69F8"/>
    <w:rsid w:val="005F6A69"/>
    <w:rsid w:val="005F6E44"/>
    <w:rsid w:val="005F7628"/>
    <w:rsid w:val="005F7682"/>
    <w:rsid w:val="005F7990"/>
    <w:rsid w:val="0060206D"/>
    <w:rsid w:val="006020C0"/>
    <w:rsid w:val="006022F2"/>
    <w:rsid w:val="006029F1"/>
    <w:rsid w:val="006033BB"/>
    <w:rsid w:val="006034CD"/>
    <w:rsid w:val="00603A63"/>
    <w:rsid w:val="00603C16"/>
    <w:rsid w:val="0060433B"/>
    <w:rsid w:val="00604CE0"/>
    <w:rsid w:val="00604F97"/>
    <w:rsid w:val="00605CCD"/>
    <w:rsid w:val="006063EA"/>
    <w:rsid w:val="00606817"/>
    <w:rsid w:val="006078EA"/>
    <w:rsid w:val="00607CBD"/>
    <w:rsid w:val="00610997"/>
    <w:rsid w:val="006115FE"/>
    <w:rsid w:val="00611A3B"/>
    <w:rsid w:val="00611DCE"/>
    <w:rsid w:val="00613DE1"/>
    <w:rsid w:val="00615182"/>
    <w:rsid w:val="00615F17"/>
    <w:rsid w:val="00616501"/>
    <w:rsid w:val="00616C3F"/>
    <w:rsid w:val="006171B5"/>
    <w:rsid w:val="00617839"/>
    <w:rsid w:val="006203F4"/>
    <w:rsid w:val="00622C51"/>
    <w:rsid w:val="00623381"/>
    <w:rsid w:val="006237F7"/>
    <w:rsid w:val="00623A62"/>
    <w:rsid w:val="006248BE"/>
    <w:rsid w:val="00626864"/>
    <w:rsid w:val="00627D41"/>
    <w:rsid w:val="0063124C"/>
    <w:rsid w:val="0063229A"/>
    <w:rsid w:val="0063325D"/>
    <w:rsid w:val="006337C9"/>
    <w:rsid w:val="00633D29"/>
    <w:rsid w:val="00634E94"/>
    <w:rsid w:val="00634F64"/>
    <w:rsid w:val="00635D33"/>
    <w:rsid w:val="00636DB1"/>
    <w:rsid w:val="006405ED"/>
    <w:rsid w:val="00640EC4"/>
    <w:rsid w:val="0064101C"/>
    <w:rsid w:val="006416FB"/>
    <w:rsid w:val="00641D1A"/>
    <w:rsid w:val="006425D4"/>
    <w:rsid w:val="006425F1"/>
    <w:rsid w:val="006430B7"/>
    <w:rsid w:val="0064386E"/>
    <w:rsid w:val="00643E9C"/>
    <w:rsid w:val="00645B96"/>
    <w:rsid w:val="00645D16"/>
    <w:rsid w:val="00645E6B"/>
    <w:rsid w:val="006467C5"/>
    <w:rsid w:val="006469AF"/>
    <w:rsid w:val="00646F34"/>
    <w:rsid w:val="006479DC"/>
    <w:rsid w:val="00647DA6"/>
    <w:rsid w:val="0065028B"/>
    <w:rsid w:val="006507C0"/>
    <w:rsid w:val="006513EB"/>
    <w:rsid w:val="00651518"/>
    <w:rsid w:val="00653A3C"/>
    <w:rsid w:val="00653E16"/>
    <w:rsid w:val="00653EA3"/>
    <w:rsid w:val="00654F3D"/>
    <w:rsid w:val="00655FE1"/>
    <w:rsid w:val="0065655C"/>
    <w:rsid w:val="006568E2"/>
    <w:rsid w:val="0066066A"/>
    <w:rsid w:val="00660EFB"/>
    <w:rsid w:val="00661356"/>
    <w:rsid w:val="006619F8"/>
    <w:rsid w:val="00661A7D"/>
    <w:rsid w:val="0066245A"/>
    <w:rsid w:val="00664122"/>
    <w:rsid w:val="00664C23"/>
    <w:rsid w:val="00664EDE"/>
    <w:rsid w:val="0066542A"/>
    <w:rsid w:val="00665DC8"/>
    <w:rsid w:val="00666D8F"/>
    <w:rsid w:val="00667067"/>
    <w:rsid w:val="0066714E"/>
    <w:rsid w:val="00670C8A"/>
    <w:rsid w:val="00671808"/>
    <w:rsid w:val="00671FD4"/>
    <w:rsid w:val="00673DE8"/>
    <w:rsid w:val="006749F3"/>
    <w:rsid w:val="00674FDF"/>
    <w:rsid w:val="0067603E"/>
    <w:rsid w:val="00676890"/>
    <w:rsid w:val="00681277"/>
    <w:rsid w:val="00682255"/>
    <w:rsid w:val="00683DAF"/>
    <w:rsid w:val="006843BB"/>
    <w:rsid w:val="00684A7F"/>
    <w:rsid w:val="00684AB5"/>
    <w:rsid w:val="00684DDA"/>
    <w:rsid w:val="00684DEC"/>
    <w:rsid w:val="00684FDD"/>
    <w:rsid w:val="00686432"/>
    <w:rsid w:val="00686CA6"/>
    <w:rsid w:val="006871A0"/>
    <w:rsid w:val="00691426"/>
    <w:rsid w:val="00692C0D"/>
    <w:rsid w:val="0069324B"/>
    <w:rsid w:val="00693F5B"/>
    <w:rsid w:val="00695337"/>
    <w:rsid w:val="006956F2"/>
    <w:rsid w:val="00695E6E"/>
    <w:rsid w:val="006966D5"/>
    <w:rsid w:val="00696EFB"/>
    <w:rsid w:val="00697955"/>
    <w:rsid w:val="00697BB4"/>
    <w:rsid w:val="00697BF0"/>
    <w:rsid w:val="00697D83"/>
    <w:rsid w:val="00697F2A"/>
    <w:rsid w:val="006A01AB"/>
    <w:rsid w:val="006A06D6"/>
    <w:rsid w:val="006A1D97"/>
    <w:rsid w:val="006A2369"/>
    <w:rsid w:val="006A2ED3"/>
    <w:rsid w:val="006A38B2"/>
    <w:rsid w:val="006A5836"/>
    <w:rsid w:val="006A7B5D"/>
    <w:rsid w:val="006B018A"/>
    <w:rsid w:val="006B0599"/>
    <w:rsid w:val="006B0E1E"/>
    <w:rsid w:val="006B0E20"/>
    <w:rsid w:val="006B2564"/>
    <w:rsid w:val="006B25D6"/>
    <w:rsid w:val="006B2DCE"/>
    <w:rsid w:val="006B3017"/>
    <w:rsid w:val="006B382F"/>
    <w:rsid w:val="006B43BC"/>
    <w:rsid w:val="006B4D07"/>
    <w:rsid w:val="006B53BB"/>
    <w:rsid w:val="006B56A9"/>
    <w:rsid w:val="006B5BF9"/>
    <w:rsid w:val="006C03D7"/>
    <w:rsid w:val="006C1071"/>
    <w:rsid w:val="006C1389"/>
    <w:rsid w:val="006C1BC1"/>
    <w:rsid w:val="006C34D2"/>
    <w:rsid w:val="006C37DB"/>
    <w:rsid w:val="006C46E0"/>
    <w:rsid w:val="006C4D3E"/>
    <w:rsid w:val="006C5B3E"/>
    <w:rsid w:val="006C615F"/>
    <w:rsid w:val="006C72EB"/>
    <w:rsid w:val="006C7F46"/>
    <w:rsid w:val="006D02DF"/>
    <w:rsid w:val="006D0B36"/>
    <w:rsid w:val="006D35ED"/>
    <w:rsid w:val="006D375E"/>
    <w:rsid w:val="006D3D26"/>
    <w:rsid w:val="006D3DB2"/>
    <w:rsid w:val="006D43E1"/>
    <w:rsid w:val="006D50C1"/>
    <w:rsid w:val="006D5726"/>
    <w:rsid w:val="006D6CC0"/>
    <w:rsid w:val="006D7072"/>
    <w:rsid w:val="006D7274"/>
    <w:rsid w:val="006D7B33"/>
    <w:rsid w:val="006E0361"/>
    <w:rsid w:val="006E1195"/>
    <w:rsid w:val="006E142C"/>
    <w:rsid w:val="006E145A"/>
    <w:rsid w:val="006E15E3"/>
    <w:rsid w:val="006E22EC"/>
    <w:rsid w:val="006E2387"/>
    <w:rsid w:val="006E24AD"/>
    <w:rsid w:val="006E26A0"/>
    <w:rsid w:val="006E4ADA"/>
    <w:rsid w:val="006E510D"/>
    <w:rsid w:val="006E5173"/>
    <w:rsid w:val="006E5200"/>
    <w:rsid w:val="006E672C"/>
    <w:rsid w:val="006E773E"/>
    <w:rsid w:val="006E7AC8"/>
    <w:rsid w:val="006E7BC3"/>
    <w:rsid w:val="006E7BFD"/>
    <w:rsid w:val="006F0571"/>
    <w:rsid w:val="006F182E"/>
    <w:rsid w:val="006F39FB"/>
    <w:rsid w:val="006F3AE3"/>
    <w:rsid w:val="006F5B00"/>
    <w:rsid w:val="006F5D30"/>
    <w:rsid w:val="006F6D8D"/>
    <w:rsid w:val="006F71A9"/>
    <w:rsid w:val="006F7377"/>
    <w:rsid w:val="006F7D59"/>
    <w:rsid w:val="006F7ED2"/>
    <w:rsid w:val="006F7F3C"/>
    <w:rsid w:val="0070000E"/>
    <w:rsid w:val="0070014F"/>
    <w:rsid w:val="00700F57"/>
    <w:rsid w:val="00702E28"/>
    <w:rsid w:val="00703EFC"/>
    <w:rsid w:val="0070415B"/>
    <w:rsid w:val="0070418D"/>
    <w:rsid w:val="007043A6"/>
    <w:rsid w:val="0070444C"/>
    <w:rsid w:val="007051B7"/>
    <w:rsid w:val="00705217"/>
    <w:rsid w:val="007053D4"/>
    <w:rsid w:val="0070567E"/>
    <w:rsid w:val="00705A22"/>
    <w:rsid w:val="00705D3F"/>
    <w:rsid w:val="00706146"/>
    <w:rsid w:val="007066F2"/>
    <w:rsid w:val="00706976"/>
    <w:rsid w:val="00710BD6"/>
    <w:rsid w:val="00710C98"/>
    <w:rsid w:val="007122A8"/>
    <w:rsid w:val="00713508"/>
    <w:rsid w:val="00713608"/>
    <w:rsid w:val="00713659"/>
    <w:rsid w:val="0071396F"/>
    <w:rsid w:val="007140B5"/>
    <w:rsid w:val="00716027"/>
    <w:rsid w:val="007162FA"/>
    <w:rsid w:val="00716332"/>
    <w:rsid w:val="00716BA8"/>
    <w:rsid w:val="00717244"/>
    <w:rsid w:val="00717443"/>
    <w:rsid w:val="00717C33"/>
    <w:rsid w:val="00717EB6"/>
    <w:rsid w:val="007211C8"/>
    <w:rsid w:val="0072273E"/>
    <w:rsid w:val="00724D08"/>
    <w:rsid w:val="00725BD7"/>
    <w:rsid w:val="00726597"/>
    <w:rsid w:val="00726C9C"/>
    <w:rsid w:val="00727264"/>
    <w:rsid w:val="0073050D"/>
    <w:rsid w:val="0073056F"/>
    <w:rsid w:val="0073167F"/>
    <w:rsid w:val="007321B4"/>
    <w:rsid w:val="00732AF2"/>
    <w:rsid w:val="007332D5"/>
    <w:rsid w:val="00734D98"/>
    <w:rsid w:val="00735795"/>
    <w:rsid w:val="0073628B"/>
    <w:rsid w:val="00736449"/>
    <w:rsid w:val="00737BA7"/>
    <w:rsid w:val="00741BBA"/>
    <w:rsid w:val="00741C21"/>
    <w:rsid w:val="00742623"/>
    <w:rsid w:val="00743211"/>
    <w:rsid w:val="0074579E"/>
    <w:rsid w:val="00746225"/>
    <w:rsid w:val="00746768"/>
    <w:rsid w:val="00750B82"/>
    <w:rsid w:val="007511D9"/>
    <w:rsid w:val="007515E8"/>
    <w:rsid w:val="00751CB0"/>
    <w:rsid w:val="00753CD4"/>
    <w:rsid w:val="0075478E"/>
    <w:rsid w:val="0075509A"/>
    <w:rsid w:val="00755E97"/>
    <w:rsid w:val="00756A0B"/>
    <w:rsid w:val="00756B34"/>
    <w:rsid w:val="00756D7C"/>
    <w:rsid w:val="00757359"/>
    <w:rsid w:val="007605D7"/>
    <w:rsid w:val="007625D1"/>
    <w:rsid w:val="00763458"/>
    <w:rsid w:val="007637C1"/>
    <w:rsid w:val="007646E7"/>
    <w:rsid w:val="00766856"/>
    <w:rsid w:val="007669F0"/>
    <w:rsid w:val="00766DEB"/>
    <w:rsid w:val="00770A47"/>
    <w:rsid w:val="00771D2A"/>
    <w:rsid w:val="007722FF"/>
    <w:rsid w:val="00772498"/>
    <w:rsid w:val="007731E5"/>
    <w:rsid w:val="00773A1B"/>
    <w:rsid w:val="0077430C"/>
    <w:rsid w:val="00774D6E"/>
    <w:rsid w:val="00776353"/>
    <w:rsid w:val="007763E4"/>
    <w:rsid w:val="007763E5"/>
    <w:rsid w:val="0077732B"/>
    <w:rsid w:val="00777445"/>
    <w:rsid w:val="0077791D"/>
    <w:rsid w:val="007800C1"/>
    <w:rsid w:val="007801FC"/>
    <w:rsid w:val="00780C12"/>
    <w:rsid w:val="007811A2"/>
    <w:rsid w:val="00781286"/>
    <w:rsid w:val="007815E1"/>
    <w:rsid w:val="00783B2F"/>
    <w:rsid w:val="007840F1"/>
    <w:rsid w:val="0078520D"/>
    <w:rsid w:val="007917AC"/>
    <w:rsid w:val="007919AE"/>
    <w:rsid w:val="00792DC4"/>
    <w:rsid w:val="00792E5A"/>
    <w:rsid w:val="00793F51"/>
    <w:rsid w:val="007944D6"/>
    <w:rsid w:val="0079485F"/>
    <w:rsid w:val="00794E8F"/>
    <w:rsid w:val="00794FFA"/>
    <w:rsid w:val="00796077"/>
    <w:rsid w:val="00796ED6"/>
    <w:rsid w:val="0079756F"/>
    <w:rsid w:val="007A009E"/>
    <w:rsid w:val="007A03C6"/>
    <w:rsid w:val="007A095F"/>
    <w:rsid w:val="007A21EA"/>
    <w:rsid w:val="007A25F1"/>
    <w:rsid w:val="007A33FE"/>
    <w:rsid w:val="007A3900"/>
    <w:rsid w:val="007A3A36"/>
    <w:rsid w:val="007A405C"/>
    <w:rsid w:val="007A4626"/>
    <w:rsid w:val="007A59F1"/>
    <w:rsid w:val="007A5AFF"/>
    <w:rsid w:val="007A5FD1"/>
    <w:rsid w:val="007A62ED"/>
    <w:rsid w:val="007A7222"/>
    <w:rsid w:val="007B075C"/>
    <w:rsid w:val="007B147F"/>
    <w:rsid w:val="007B35B2"/>
    <w:rsid w:val="007B4B22"/>
    <w:rsid w:val="007B4FC2"/>
    <w:rsid w:val="007B5980"/>
    <w:rsid w:val="007B5E02"/>
    <w:rsid w:val="007B654B"/>
    <w:rsid w:val="007B719B"/>
    <w:rsid w:val="007B7637"/>
    <w:rsid w:val="007B7819"/>
    <w:rsid w:val="007C0915"/>
    <w:rsid w:val="007C0F31"/>
    <w:rsid w:val="007C1C13"/>
    <w:rsid w:val="007C225E"/>
    <w:rsid w:val="007C2E24"/>
    <w:rsid w:val="007C35FD"/>
    <w:rsid w:val="007C3DE5"/>
    <w:rsid w:val="007C4F7F"/>
    <w:rsid w:val="007C541E"/>
    <w:rsid w:val="007C6628"/>
    <w:rsid w:val="007C6CBD"/>
    <w:rsid w:val="007C6E1E"/>
    <w:rsid w:val="007C78C4"/>
    <w:rsid w:val="007C7A97"/>
    <w:rsid w:val="007D0604"/>
    <w:rsid w:val="007D152B"/>
    <w:rsid w:val="007D1C11"/>
    <w:rsid w:val="007D310E"/>
    <w:rsid w:val="007D3817"/>
    <w:rsid w:val="007D3873"/>
    <w:rsid w:val="007D4290"/>
    <w:rsid w:val="007D5905"/>
    <w:rsid w:val="007D5C34"/>
    <w:rsid w:val="007D5E9F"/>
    <w:rsid w:val="007D765E"/>
    <w:rsid w:val="007D7D4C"/>
    <w:rsid w:val="007E0D1C"/>
    <w:rsid w:val="007E153A"/>
    <w:rsid w:val="007E15CE"/>
    <w:rsid w:val="007E195E"/>
    <w:rsid w:val="007E1CC3"/>
    <w:rsid w:val="007E28FE"/>
    <w:rsid w:val="007E3965"/>
    <w:rsid w:val="007E42A0"/>
    <w:rsid w:val="007E4986"/>
    <w:rsid w:val="007E49AF"/>
    <w:rsid w:val="007E58B4"/>
    <w:rsid w:val="007E5FEB"/>
    <w:rsid w:val="007E6383"/>
    <w:rsid w:val="007F0942"/>
    <w:rsid w:val="007F1B75"/>
    <w:rsid w:val="007F2AAD"/>
    <w:rsid w:val="007F39BA"/>
    <w:rsid w:val="007F4F2F"/>
    <w:rsid w:val="007F5863"/>
    <w:rsid w:val="007F63F2"/>
    <w:rsid w:val="007F6D79"/>
    <w:rsid w:val="007F6FE3"/>
    <w:rsid w:val="00800357"/>
    <w:rsid w:val="00800B28"/>
    <w:rsid w:val="00801D37"/>
    <w:rsid w:val="008021A1"/>
    <w:rsid w:val="008025B4"/>
    <w:rsid w:val="008027CA"/>
    <w:rsid w:val="008030F9"/>
    <w:rsid w:val="008035E6"/>
    <w:rsid w:val="00805618"/>
    <w:rsid w:val="00807432"/>
    <w:rsid w:val="00810759"/>
    <w:rsid w:val="00810BC5"/>
    <w:rsid w:val="00810D66"/>
    <w:rsid w:val="00813347"/>
    <w:rsid w:val="00813489"/>
    <w:rsid w:val="00814124"/>
    <w:rsid w:val="0081418F"/>
    <w:rsid w:val="008141ED"/>
    <w:rsid w:val="00814700"/>
    <w:rsid w:val="00820347"/>
    <w:rsid w:val="00820F85"/>
    <w:rsid w:val="008229D4"/>
    <w:rsid w:val="008230E8"/>
    <w:rsid w:val="008232CA"/>
    <w:rsid w:val="00823ADA"/>
    <w:rsid w:val="00823B3E"/>
    <w:rsid w:val="00824E01"/>
    <w:rsid w:val="00825103"/>
    <w:rsid w:val="00825B8E"/>
    <w:rsid w:val="00825C2F"/>
    <w:rsid w:val="00826338"/>
    <w:rsid w:val="00826906"/>
    <w:rsid w:val="00826965"/>
    <w:rsid w:val="00827260"/>
    <w:rsid w:val="00830765"/>
    <w:rsid w:val="00830AA3"/>
    <w:rsid w:val="0083136D"/>
    <w:rsid w:val="00831416"/>
    <w:rsid w:val="00833901"/>
    <w:rsid w:val="00833D8C"/>
    <w:rsid w:val="00833E9E"/>
    <w:rsid w:val="0083425C"/>
    <w:rsid w:val="008351E1"/>
    <w:rsid w:val="008362ED"/>
    <w:rsid w:val="00836903"/>
    <w:rsid w:val="00836E39"/>
    <w:rsid w:val="00836F2A"/>
    <w:rsid w:val="00837798"/>
    <w:rsid w:val="00840E89"/>
    <w:rsid w:val="00842DFB"/>
    <w:rsid w:val="008449F7"/>
    <w:rsid w:val="00845DCD"/>
    <w:rsid w:val="0084665B"/>
    <w:rsid w:val="008474CD"/>
    <w:rsid w:val="00847F55"/>
    <w:rsid w:val="00850AA7"/>
    <w:rsid w:val="00850D44"/>
    <w:rsid w:val="00850E6D"/>
    <w:rsid w:val="00851631"/>
    <w:rsid w:val="0085234F"/>
    <w:rsid w:val="00852A31"/>
    <w:rsid w:val="00853282"/>
    <w:rsid w:val="0085401B"/>
    <w:rsid w:val="008549FD"/>
    <w:rsid w:val="00855568"/>
    <w:rsid w:val="00855FFD"/>
    <w:rsid w:val="008560AA"/>
    <w:rsid w:val="00856101"/>
    <w:rsid w:val="00856358"/>
    <w:rsid w:val="0085725D"/>
    <w:rsid w:val="00857B9C"/>
    <w:rsid w:val="00857CC3"/>
    <w:rsid w:val="008608A3"/>
    <w:rsid w:val="008616E7"/>
    <w:rsid w:val="0086177F"/>
    <w:rsid w:val="00861ADB"/>
    <w:rsid w:val="00861D7A"/>
    <w:rsid w:val="00862470"/>
    <w:rsid w:val="00864322"/>
    <w:rsid w:val="008651E9"/>
    <w:rsid w:val="0086620F"/>
    <w:rsid w:val="00866AF3"/>
    <w:rsid w:val="00866C82"/>
    <w:rsid w:val="008672E6"/>
    <w:rsid w:val="008677E5"/>
    <w:rsid w:val="00867C57"/>
    <w:rsid w:val="00874311"/>
    <w:rsid w:val="00874A6B"/>
    <w:rsid w:val="00874EC5"/>
    <w:rsid w:val="00875741"/>
    <w:rsid w:val="00875B00"/>
    <w:rsid w:val="00875C31"/>
    <w:rsid w:val="00876E75"/>
    <w:rsid w:val="008775EA"/>
    <w:rsid w:val="008775F8"/>
    <w:rsid w:val="0087780F"/>
    <w:rsid w:val="00877CD3"/>
    <w:rsid w:val="008811E5"/>
    <w:rsid w:val="0088215D"/>
    <w:rsid w:val="008826D8"/>
    <w:rsid w:val="00882832"/>
    <w:rsid w:val="008832C1"/>
    <w:rsid w:val="00883EE7"/>
    <w:rsid w:val="00884F3F"/>
    <w:rsid w:val="00885016"/>
    <w:rsid w:val="00885243"/>
    <w:rsid w:val="00885D64"/>
    <w:rsid w:val="008867D4"/>
    <w:rsid w:val="00886823"/>
    <w:rsid w:val="00886BC0"/>
    <w:rsid w:val="00887179"/>
    <w:rsid w:val="008904B6"/>
    <w:rsid w:val="0089075D"/>
    <w:rsid w:val="008913B9"/>
    <w:rsid w:val="008917A2"/>
    <w:rsid w:val="00892E4C"/>
    <w:rsid w:val="008937C6"/>
    <w:rsid w:val="008938BD"/>
    <w:rsid w:val="008938D5"/>
    <w:rsid w:val="0089404D"/>
    <w:rsid w:val="00894718"/>
    <w:rsid w:val="008964DA"/>
    <w:rsid w:val="008965F1"/>
    <w:rsid w:val="0089703E"/>
    <w:rsid w:val="00897ED9"/>
    <w:rsid w:val="008A05B4"/>
    <w:rsid w:val="008A16AF"/>
    <w:rsid w:val="008A1A26"/>
    <w:rsid w:val="008A1D16"/>
    <w:rsid w:val="008A400D"/>
    <w:rsid w:val="008A48EB"/>
    <w:rsid w:val="008A4CDA"/>
    <w:rsid w:val="008A600D"/>
    <w:rsid w:val="008A6118"/>
    <w:rsid w:val="008A7119"/>
    <w:rsid w:val="008A7EBA"/>
    <w:rsid w:val="008B07D3"/>
    <w:rsid w:val="008B131C"/>
    <w:rsid w:val="008B1588"/>
    <w:rsid w:val="008B1B68"/>
    <w:rsid w:val="008B1E0A"/>
    <w:rsid w:val="008B1E53"/>
    <w:rsid w:val="008B22B6"/>
    <w:rsid w:val="008B3178"/>
    <w:rsid w:val="008B42C0"/>
    <w:rsid w:val="008B5CE8"/>
    <w:rsid w:val="008B5DEB"/>
    <w:rsid w:val="008B600B"/>
    <w:rsid w:val="008B6B63"/>
    <w:rsid w:val="008B7B94"/>
    <w:rsid w:val="008B7ED5"/>
    <w:rsid w:val="008C1980"/>
    <w:rsid w:val="008C1A4B"/>
    <w:rsid w:val="008C1D6E"/>
    <w:rsid w:val="008C390E"/>
    <w:rsid w:val="008C3EC2"/>
    <w:rsid w:val="008C4304"/>
    <w:rsid w:val="008C4C74"/>
    <w:rsid w:val="008C4FFF"/>
    <w:rsid w:val="008C5A28"/>
    <w:rsid w:val="008C5FC5"/>
    <w:rsid w:val="008C6BCA"/>
    <w:rsid w:val="008C6D79"/>
    <w:rsid w:val="008C71C7"/>
    <w:rsid w:val="008C7941"/>
    <w:rsid w:val="008D0AE2"/>
    <w:rsid w:val="008D0C17"/>
    <w:rsid w:val="008D0D20"/>
    <w:rsid w:val="008D4D27"/>
    <w:rsid w:val="008D4F19"/>
    <w:rsid w:val="008D6C81"/>
    <w:rsid w:val="008D7021"/>
    <w:rsid w:val="008E09E2"/>
    <w:rsid w:val="008E0F89"/>
    <w:rsid w:val="008E1610"/>
    <w:rsid w:val="008E1E4F"/>
    <w:rsid w:val="008E35C2"/>
    <w:rsid w:val="008E5112"/>
    <w:rsid w:val="008E65E1"/>
    <w:rsid w:val="008E6631"/>
    <w:rsid w:val="008E6DE2"/>
    <w:rsid w:val="008E74FA"/>
    <w:rsid w:val="008E7876"/>
    <w:rsid w:val="008E7C8C"/>
    <w:rsid w:val="008E7F8D"/>
    <w:rsid w:val="008E7FB7"/>
    <w:rsid w:val="008F132E"/>
    <w:rsid w:val="008F13C2"/>
    <w:rsid w:val="008F18DE"/>
    <w:rsid w:val="008F2EF0"/>
    <w:rsid w:val="008F3198"/>
    <w:rsid w:val="008F3F61"/>
    <w:rsid w:val="008F49A9"/>
    <w:rsid w:val="008F4F40"/>
    <w:rsid w:val="008F63CE"/>
    <w:rsid w:val="008F6657"/>
    <w:rsid w:val="008F667F"/>
    <w:rsid w:val="008F7B0E"/>
    <w:rsid w:val="00900716"/>
    <w:rsid w:val="00901136"/>
    <w:rsid w:val="00902407"/>
    <w:rsid w:val="0090272A"/>
    <w:rsid w:val="00902823"/>
    <w:rsid w:val="009031A1"/>
    <w:rsid w:val="009039AC"/>
    <w:rsid w:val="00904EBC"/>
    <w:rsid w:val="00905482"/>
    <w:rsid w:val="009065F0"/>
    <w:rsid w:val="00906693"/>
    <w:rsid w:val="0090713F"/>
    <w:rsid w:val="00907DCF"/>
    <w:rsid w:val="00910995"/>
    <w:rsid w:val="00910A4F"/>
    <w:rsid w:val="00911E05"/>
    <w:rsid w:val="00912803"/>
    <w:rsid w:val="009137DC"/>
    <w:rsid w:val="0091402A"/>
    <w:rsid w:val="0091434B"/>
    <w:rsid w:val="00915AB5"/>
    <w:rsid w:val="00915D7D"/>
    <w:rsid w:val="00916501"/>
    <w:rsid w:val="00917C96"/>
    <w:rsid w:val="00920F9E"/>
    <w:rsid w:val="00921058"/>
    <w:rsid w:val="00921199"/>
    <w:rsid w:val="009226A6"/>
    <w:rsid w:val="00923040"/>
    <w:rsid w:val="009233A1"/>
    <w:rsid w:val="0092386C"/>
    <w:rsid w:val="0092388F"/>
    <w:rsid w:val="00923FA4"/>
    <w:rsid w:val="0092470C"/>
    <w:rsid w:val="00924F1E"/>
    <w:rsid w:val="00924F61"/>
    <w:rsid w:val="00925627"/>
    <w:rsid w:val="009256FC"/>
    <w:rsid w:val="00930F02"/>
    <w:rsid w:val="009324AF"/>
    <w:rsid w:val="009325A8"/>
    <w:rsid w:val="00932E54"/>
    <w:rsid w:val="00933552"/>
    <w:rsid w:val="00934755"/>
    <w:rsid w:val="00935227"/>
    <w:rsid w:val="00940E00"/>
    <w:rsid w:val="009428F3"/>
    <w:rsid w:val="0094410E"/>
    <w:rsid w:val="009451A4"/>
    <w:rsid w:val="00945744"/>
    <w:rsid w:val="00946812"/>
    <w:rsid w:val="00947B6C"/>
    <w:rsid w:val="00947C7C"/>
    <w:rsid w:val="00950C83"/>
    <w:rsid w:val="00950F37"/>
    <w:rsid w:val="00951AB8"/>
    <w:rsid w:val="009524D4"/>
    <w:rsid w:val="0095253D"/>
    <w:rsid w:val="009531F5"/>
    <w:rsid w:val="009532F9"/>
    <w:rsid w:val="0095391A"/>
    <w:rsid w:val="0095569D"/>
    <w:rsid w:val="009575C9"/>
    <w:rsid w:val="00957AF1"/>
    <w:rsid w:val="0096015F"/>
    <w:rsid w:val="0096044E"/>
    <w:rsid w:val="0096076D"/>
    <w:rsid w:val="009607F8"/>
    <w:rsid w:val="009613F6"/>
    <w:rsid w:val="009621AF"/>
    <w:rsid w:val="009629AE"/>
    <w:rsid w:val="009629DB"/>
    <w:rsid w:val="00964A83"/>
    <w:rsid w:val="00964B22"/>
    <w:rsid w:val="0096569E"/>
    <w:rsid w:val="009662CE"/>
    <w:rsid w:val="009667A2"/>
    <w:rsid w:val="00966B28"/>
    <w:rsid w:val="00966F68"/>
    <w:rsid w:val="009676F5"/>
    <w:rsid w:val="00967EBC"/>
    <w:rsid w:val="00967F78"/>
    <w:rsid w:val="00970F1D"/>
    <w:rsid w:val="0097115D"/>
    <w:rsid w:val="009713DE"/>
    <w:rsid w:val="00971EEE"/>
    <w:rsid w:val="00972FC0"/>
    <w:rsid w:val="00974690"/>
    <w:rsid w:val="00974CC4"/>
    <w:rsid w:val="0097555C"/>
    <w:rsid w:val="00975D71"/>
    <w:rsid w:val="00976A55"/>
    <w:rsid w:val="00980252"/>
    <w:rsid w:val="009804B0"/>
    <w:rsid w:val="00980542"/>
    <w:rsid w:val="00980CD5"/>
    <w:rsid w:val="00981CE7"/>
    <w:rsid w:val="00982D21"/>
    <w:rsid w:val="00984915"/>
    <w:rsid w:val="00986F45"/>
    <w:rsid w:val="009872B2"/>
    <w:rsid w:val="009902EA"/>
    <w:rsid w:val="0099046C"/>
    <w:rsid w:val="00990A43"/>
    <w:rsid w:val="00990CD5"/>
    <w:rsid w:val="00991484"/>
    <w:rsid w:val="009919E7"/>
    <w:rsid w:val="0099219C"/>
    <w:rsid w:val="00992989"/>
    <w:rsid w:val="009929C8"/>
    <w:rsid w:val="00992AF4"/>
    <w:rsid w:val="00992D8E"/>
    <w:rsid w:val="00993241"/>
    <w:rsid w:val="009936C3"/>
    <w:rsid w:val="0099535D"/>
    <w:rsid w:val="00997281"/>
    <w:rsid w:val="009A08B6"/>
    <w:rsid w:val="009A0F29"/>
    <w:rsid w:val="009A17C8"/>
    <w:rsid w:val="009A1E68"/>
    <w:rsid w:val="009A3399"/>
    <w:rsid w:val="009A3572"/>
    <w:rsid w:val="009A3692"/>
    <w:rsid w:val="009A499C"/>
    <w:rsid w:val="009A5127"/>
    <w:rsid w:val="009A5547"/>
    <w:rsid w:val="009A6296"/>
    <w:rsid w:val="009A662B"/>
    <w:rsid w:val="009A688D"/>
    <w:rsid w:val="009A695F"/>
    <w:rsid w:val="009A7259"/>
    <w:rsid w:val="009A7774"/>
    <w:rsid w:val="009A7CAB"/>
    <w:rsid w:val="009B020F"/>
    <w:rsid w:val="009B0584"/>
    <w:rsid w:val="009B3B34"/>
    <w:rsid w:val="009B437D"/>
    <w:rsid w:val="009B58BE"/>
    <w:rsid w:val="009B5C2C"/>
    <w:rsid w:val="009B6260"/>
    <w:rsid w:val="009C053F"/>
    <w:rsid w:val="009C1A09"/>
    <w:rsid w:val="009C1D78"/>
    <w:rsid w:val="009C1F8A"/>
    <w:rsid w:val="009C2965"/>
    <w:rsid w:val="009C4C42"/>
    <w:rsid w:val="009C6CBA"/>
    <w:rsid w:val="009C6E7A"/>
    <w:rsid w:val="009C7265"/>
    <w:rsid w:val="009C7A13"/>
    <w:rsid w:val="009C7F03"/>
    <w:rsid w:val="009D2063"/>
    <w:rsid w:val="009D2132"/>
    <w:rsid w:val="009D255F"/>
    <w:rsid w:val="009D2FA2"/>
    <w:rsid w:val="009D3F28"/>
    <w:rsid w:val="009D5908"/>
    <w:rsid w:val="009D5DD1"/>
    <w:rsid w:val="009D66B5"/>
    <w:rsid w:val="009D74F5"/>
    <w:rsid w:val="009D7A04"/>
    <w:rsid w:val="009E048A"/>
    <w:rsid w:val="009E31B8"/>
    <w:rsid w:val="009E418C"/>
    <w:rsid w:val="009E4AAC"/>
    <w:rsid w:val="009E526E"/>
    <w:rsid w:val="009E5282"/>
    <w:rsid w:val="009E61B6"/>
    <w:rsid w:val="009E70DC"/>
    <w:rsid w:val="009E7F5C"/>
    <w:rsid w:val="009F0115"/>
    <w:rsid w:val="009F0DD1"/>
    <w:rsid w:val="009F17C4"/>
    <w:rsid w:val="009F1836"/>
    <w:rsid w:val="009F2CA1"/>
    <w:rsid w:val="009F3D33"/>
    <w:rsid w:val="009F402F"/>
    <w:rsid w:val="009F47E4"/>
    <w:rsid w:val="009F4883"/>
    <w:rsid w:val="009F48D9"/>
    <w:rsid w:val="009F4BDE"/>
    <w:rsid w:val="009F5173"/>
    <w:rsid w:val="009F5563"/>
    <w:rsid w:val="009F5924"/>
    <w:rsid w:val="009F610B"/>
    <w:rsid w:val="009F6484"/>
    <w:rsid w:val="00A015D1"/>
    <w:rsid w:val="00A02588"/>
    <w:rsid w:val="00A02BB4"/>
    <w:rsid w:val="00A03186"/>
    <w:rsid w:val="00A054DF"/>
    <w:rsid w:val="00A0558C"/>
    <w:rsid w:val="00A05F29"/>
    <w:rsid w:val="00A0773C"/>
    <w:rsid w:val="00A10502"/>
    <w:rsid w:val="00A114E6"/>
    <w:rsid w:val="00A1205D"/>
    <w:rsid w:val="00A13A5D"/>
    <w:rsid w:val="00A14063"/>
    <w:rsid w:val="00A15217"/>
    <w:rsid w:val="00A16A06"/>
    <w:rsid w:val="00A16A28"/>
    <w:rsid w:val="00A17AAD"/>
    <w:rsid w:val="00A17CA3"/>
    <w:rsid w:val="00A21722"/>
    <w:rsid w:val="00A22329"/>
    <w:rsid w:val="00A224F9"/>
    <w:rsid w:val="00A235D0"/>
    <w:rsid w:val="00A23781"/>
    <w:rsid w:val="00A23D17"/>
    <w:rsid w:val="00A250FE"/>
    <w:rsid w:val="00A253AC"/>
    <w:rsid w:val="00A2572B"/>
    <w:rsid w:val="00A25E62"/>
    <w:rsid w:val="00A260FA"/>
    <w:rsid w:val="00A26301"/>
    <w:rsid w:val="00A26761"/>
    <w:rsid w:val="00A26CA1"/>
    <w:rsid w:val="00A26DAB"/>
    <w:rsid w:val="00A278AC"/>
    <w:rsid w:val="00A27C4D"/>
    <w:rsid w:val="00A30096"/>
    <w:rsid w:val="00A30794"/>
    <w:rsid w:val="00A30AE2"/>
    <w:rsid w:val="00A319A8"/>
    <w:rsid w:val="00A321FD"/>
    <w:rsid w:val="00A32233"/>
    <w:rsid w:val="00A324D9"/>
    <w:rsid w:val="00A32704"/>
    <w:rsid w:val="00A32BEE"/>
    <w:rsid w:val="00A334DE"/>
    <w:rsid w:val="00A348F6"/>
    <w:rsid w:val="00A34AFC"/>
    <w:rsid w:val="00A35215"/>
    <w:rsid w:val="00A3632C"/>
    <w:rsid w:val="00A367CC"/>
    <w:rsid w:val="00A369A1"/>
    <w:rsid w:val="00A37116"/>
    <w:rsid w:val="00A371D6"/>
    <w:rsid w:val="00A37B26"/>
    <w:rsid w:val="00A40673"/>
    <w:rsid w:val="00A408D1"/>
    <w:rsid w:val="00A41354"/>
    <w:rsid w:val="00A4281D"/>
    <w:rsid w:val="00A43002"/>
    <w:rsid w:val="00A433A3"/>
    <w:rsid w:val="00A44BC8"/>
    <w:rsid w:val="00A44DAA"/>
    <w:rsid w:val="00A4523C"/>
    <w:rsid w:val="00A4551E"/>
    <w:rsid w:val="00A45B45"/>
    <w:rsid w:val="00A45FBA"/>
    <w:rsid w:val="00A52898"/>
    <w:rsid w:val="00A532A2"/>
    <w:rsid w:val="00A5352D"/>
    <w:rsid w:val="00A5428F"/>
    <w:rsid w:val="00A542A3"/>
    <w:rsid w:val="00A54377"/>
    <w:rsid w:val="00A54E5C"/>
    <w:rsid w:val="00A55B7B"/>
    <w:rsid w:val="00A55F87"/>
    <w:rsid w:val="00A560CC"/>
    <w:rsid w:val="00A5783E"/>
    <w:rsid w:val="00A605D2"/>
    <w:rsid w:val="00A61182"/>
    <w:rsid w:val="00A6185B"/>
    <w:rsid w:val="00A61CB6"/>
    <w:rsid w:val="00A627B6"/>
    <w:rsid w:val="00A63084"/>
    <w:rsid w:val="00A64812"/>
    <w:rsid w:val="00A65618"/>
    <w:rsid w:val="00A65B6E"/>
    <w:rsid w:val="00A65F9C"/>
    <w:rsid w:val="00A6651D"/>
    <w:rsid w:val="00A673E4"/>
    <w:rsid w:val="00A67704"/>
    <w:rsid w:val="00A67F18"/>
    <w:rsid w:val="00A70297"/>
    <w:rsid w:val="00A704A9"/>
    <w:rsid w:val="00A70557"/>
    <w:rsid w:val="00A7066B"/>
    <w:rsid w:val="00A7098B"/>
    <w:rsid w:val="00A717F0"/>
    <w:rsid w:val="00A71E8F"/>
    <w:rsid w:val="00A729AF"/>
    <w:rsid w:val="00A72A3E"/>
    <w:rsid w:val="00A7398C"/>
    <w:rsid w:val="00A739B7"/>
    <w:rsid w:val="00A73A9A"/>
    <w:rsid w:val="00A73AFF"/>
    <w:rsid w:val="00A74508"/>
    <w:rsid w:val="00A76061"/>
    <w:rsid w:val="00A7661C"/>
    <w:rsid w:val="00A7699A"/>
    <w:rsid w:val="00A76A4F"/>
    <w:rsid w:val="00A76F4F"/>
    <w:rsid w:val="00A774BC"/>
    <w:rsid w:val="00A778FF"/>
    <w:rsid w:val="00A80EAF"/>
    <w:rsid w:val="00A81A6E"/>
    <w:rsid w:val="00A823AE"/>
    <w:rsid w:val="00A826FD"/>
    <w:rsid w:val="00A828ED"/>
    <w:rsid w:val="00A83851"/>
    <w:rsid w:val="00A83A08"/>
    <w:rsid w:val="00A83D31"/>
    <w:rsid w:val="00A84E18"/>
    <w:rsid w:val="00A8529D"/>
    <w:rsid w:val="00A868FD"/>
    <w:rsid w:val="00A87ED0"/>
    <w:rsid w:val="00A87FD4"/>
    <w:rsid w:val="00A91244"/>
    <w:rsid w:val="00A917EB"/>
    <w:rsid w:val="00A91AF4"/>
    <w:rsid w:val="00A9349C"/>
    <w:rsid w:val="00A93D13"/>
    <w:rsid w:val="00A93F46"/>
    <w:rsid w:val="00A943DA"/>
    <w:rsid w:val="00A94621"/>
    <w:rsid w:val="00A952F3"/>
    <w:rsid w:val="00A95807"/>
    <w:rsid w:val="00A96395"/>
    <w:rsid w:val="00A96693"/>
    <w:rsid w:val="00A970A8"/>
    <w:rsid w:val="00AA18A2"/>
    <w:rsid w:val="00AA19BE"/>
    <w:rsid w:val="00AA2245"/>
    <w:rsid w:val="00AA3730"/>
    <w:rsid w:val="00AA3A8A"/>
    <w:rsid w:val="00AA3E62"/>
    <w:rsid w:val="00AA44D2"/>
    <w:rsid w:val="00AA4A22"/>
    <w:rsid w:val="00AA5B6A"/>
    <w:rsid w:val="00AA6057"/>
    <w:rsid w:val="00AA6899"/>
    <w:rsid w:val="00AA6C14"/>
    <w:rsid w:val="00AB1B3E"/>
    <w:rsid w:val="00AB1FEE"/>
    <w:rsid w:val="00AB2FF5"/>
    <w:rsid w:val="00AB30EB"/>
    <w:rsid w:val="00AB3924"/>
    <w:rsid w:val="00AB3C6A"/>
    <w:rsid w:val="00AB7282"/>
    <w:rsid w:val="00AB7D44"/>
    <w:rsid w:val="00AC0044"/>
    <w:rsid w:val="00AC0945"/>
    <w:rsid w:val="00AC0B82"/>
    <w:rsid w:val="00AC17AF"/>
    <w:rsid w:val="00AC2159"/>
    <w:rsid w:val="00AC296A"/>
    <w:rsid w:val="00AC4B90"/>
    <w:rsid w:val="00AC651B"/>
    <w:rsid w:val="00AC6658"/>
    <w:rsid w:val="00AC6F45"/>
    <w:rsid w:val="00AD02AE"/>
    <w:rsid w:val="00AD06F8"/>
    <w:rsid w:val="00AD1523"/>
    <w:rsid w:val="00AD1BEF"/>
    <w:rsid w:val="00AD316A"/>
    <w:rsid w:val="00AD3B15"/>
    <w:rsid w:val="00AD3D96"/>
    <w:rsid w:val="00AD402A"/>
    <w:rsid w:val="00AD460E"/>
    <w:rsid w:val="00AD47F3"/>
    <w:rsid w:val="00AD636B"/>
    <w:rsid w:val="00AD6967"/>
    <w:rsid w:val="00AD7BDF"/>
    <w:rsid w:val="00AD7EB2"/>
    <w:rsid w:val="00AD7EEA"/>
    <w:rsid w:val="00AE24E6"/>
    <w:rsid w:val="00AE4CB0"/>
    <w:rsid w:val="00AE58DD"/>
    <w:rsid w:val="00AE6298"/>
    <w:rsid w:val="00AE631D"/>
    <w:rsid w:val="00AE6575"/>
    <w:rsid w:val="00AE6DA6"/>
    <w:rsid w:val="00AE7134"/>
    <w:rsid w:val="00AE74CE"/>
    <w:rsid w:val="00AF0C76"/>
    <w:rsid w:val="00AF0D0C"/>
    <w:rsid w:val="00AF1574"/>
    <w:rsid w:val="00AF2948"/>
    <w:rsid w:val="00AF41A2"/>
    <w:rsid w:val="00AF4EF0"/>
    <w:rsid w:val="00AF5167"/>
    <w:rsid w:val="00AF6167"/>
    <w:rsid w:val="00AF67BC"/>
    <w:rsid w:val="00AF6CB5"/>
    <w:rsid w:val="00AF71FF"/>
    <w:rsid w:val="00AF7227"/>
    <w:rsid w:val="00B01BA2"/>
    <w:rsid w:val="00B01BD6"/>
    <w:rsid w:val="00B01CD0"/>
    <w:rsid w:val="00B02D8A"/>
    <w:rsid w:val="00B03A5D"/>
    <w:rsid w:val="00B0423F"/>
    <w:rsid w:val="00B0431D"/>
    <w:rsid w:val="00B04536"/>
    <w:rsid w:val="00B04E09"/>
    <w:rsid w:val="00B0587F"/>
    <w:rsid w:val="00B068E6"/>
    <w:rsid w:val="00B0766E"/>
    <w:rsid w:val="00B0798C"/>
    <w:rsid w:val="00B10AA6"/>
    <w:rsid w:val="00B114BA"/>
    <w:rsid w:val="00B11845"/>
    <w:rsid w:val="00B11C98"/>
    <w:rsid w:val="00B13141"/>
    <w:rsid w:val="00B1389F"/>
    <w:rsid w:val="00B147A6"/>
    <w:rsid w:val="00B15F52"/>
    <w:rsid w:val="00B161A9"/>
    <w:rsid w:val="00B166FD"/>
    <w:rsid w:val="00B16F17"/>
    <w:rsid w:val="00B17425"/>
    <w:rsid w:val="00B17B5E"/>
    <w:rsid w:val="00B20491"/>
    <w:rsid w:val="00B220B5"/>
    <w:rsid w:val="00B2223C"/>
    <w:rsid w:val="00B226CF"/>
    <w:rsid w:val="00B241FD"/>
    <w:rsid w:val="00B242A3"/>
    <w:rsid w:val="00B24A68"/>
    <w:rsid w:val="00B273A2"/>
    <w:rsid w:val="00B27D3C"/>
    <w:rsid w:val="00B30923"/>
    <w:rsid w:val="00B325A3"/>
    <w:rsid w:val="00B338A0"/>
    <w:rsid w:val="00B33DF4"/>
    <w:rsid w:val="00B355DA"/>
    <w:rsid w:val="00B35853"/>
    <w:rsid w:val="00B366ED"/>
    <w:rsid w:val="00B3791F"/>
    <w:rsid w:val="00B4029E"/>
    <w:rsid w:val="00B40438"/>
    <w:rsid w:val="00B40C7D"/>
    <w:rsid w:val="00B4158A"/>
    <w:rsid w:val="00B41E70"/>
    <w:rsid w:val="00B43FC8"/>
    <w:rsid w:val="00B4546D"/>
    <w:rsid w:val="00B456E8"/>
    <w:rsid w:val="00B46A56"/>
    <w:rsid w:val="00B46C39"/>
    <w:rsid w:val="00B512E8"/>
    <w:rsid w:val="00B512FC"/>
    <w:rsid w:val="00B51F2E"/>
    <w:rsid w:val="00B52321"/>
    <w:rsid w:val="00B52FCB"/>
    <w:rsid w:val="00B53930"/>
    <w:rsid w:val="00B5434B"/>
    <w:rsid w:val="00B54C7D"/>
    <w:rsid w:val="00B552A7"/>
    <w:rsid w:val="00B55ABC"/>
    <w:rsid w:val="00B564E6"/>
    <w:rsid w:val="00B62EFA"/>
    <w:rsid w:val="00B63EED"/>
    <w:rsid w:val="00B659AA"/>
    <w:rsid w:val="00B6655A"/>
    <w:rsid w:val="00B6710B"/>
    <w:rsid w:val="00B67136"/>
    <w:rsid w:val="00B67968"/>
    <w:rsid w:val="00B67DC7"/>
    <w:rsid w:val="00B70E95"/>
    <w:rsid w:val="00B70F1E"/>
    <w:rsid w:val="00B71106"/>
    <w:rsid w:val="00B7189A"/>
    <w:rsid w:val="00B72D1A"/>
    <w:rsid w:val="00B732F4"/>
    <w:rsid w:val="00B74506"/>
    <w:rsid w:val="00B77826"/>
    <w:rsid w:val="00B77A9C"/>
    <w:rsid w:val="00B8009C"/>
    <w:rsid w:val="00B80E9D"/>
    <w:rsid w:val="00B81B35"/>
    <w:rsid w:val="00B81E15"/>
    <w:rsid w:val="00B82131"/>
    <w:rsid w:val="00B82ED5"/>
    <w:rsid w:val="00B83088"/>
    <w:rsid w:val="00B836A7"/>
    <w:rsid w:val="00B8451B"/>
    <w:rsid w:val="00B85556"/>
    <w:rsid w:val="00B85C47"/>
    <w:rsid w:val="00B86910"/>
    <w:rsid w:val="00B86C2C"/>
    <w:rsid w:val="00B875C0"/>
    <w:rsid w:val="00B877EB"/>
    <w:rsid w:val="00B87E35"/>
    <w:rsid w:val="00B905EE"/>
    <w:rsid w:val="00B915C7"/>
    <w:rsid w:val="00B916ED"/>
    <w:rsid w:val="00B91E50"/>
    <w:rsid w:val="00B923A7"/>
    <w:rsid w:val="00B93C0D"/>
    <w:rsid w:val="00B93DFE"/>
    <w:rsid w:val="00B9446C"/>
    <w:rsid w:val="00B95011"/>
    <w:rsid w:val="00B953FF"/>
    <w:rsid w:val="00B95AF6"/>
    <w:rsid w:val="00B95E59"/>
    <w:rsid w:val="00B96DDE"/>
    <w:rsid w:val="00B9731A"/>
    <w:rsid w:val="00B977F7"/>
    <w:rsid w:val="00B97FD0"/>
    <w:rsid w:val="00BA03E2"/>
    <w:rsid w:val="00BA0E6F"/>
    <w:rsid w:val="00BA14BA"/>
    <w:rsid w:val="00BA36FC"/>
    <w:rsid w:val="00BA3FAE"/>
    <w:rsid w:val="00BA4F13"/>
    <w:rsid w:val="00BA597C"/>
    <w:rsid w:val="00BA5D03"/>
    <w:rsid w:val="00BA5E67"/>
    <w:rsid w:val="00BA76A4"/>
    <w:rsid w:val="00BA79FF"/>
    <w:rsid w:val="00BB1883"/>
    <w:rsid w:val="00BB1BDA"/>
    <w:rsid w:val="00BB1F9A"/>
    <w:rsid w:val="00BB20F4"/>
    <w:rsid w:val="00BB2338"/>
    <w:rsid w:val="00BB39EE"/>
    <w:rsid w:val="00BB4F2B"/>
    <w:rsid w:val="00BB5469"/>
    <w:rsid w:val="00BB5C4F"/>
    <w:rsid w:val="00BB7744"/>
    <w:rsid w:val="00BB78F6"/>
    <w:rsid w:val="00BC0C4F"/>
    <w:rsid w:val="00BC0CFC"/>
    <w:rsid w:val="00BC0E8B"/>
    <w:rsid w:val="00BC0F83"/>
    <w:rsid w:val="00BC1972"/>
    <w:rsid w:val="00BC1F44"/>
    <w:rsid w:val="00BC2907"/>
    <w:rsid w:val="00BC2AA2"/>
    <w:rsid w:val="00BC2ABD"/>
    <w:rsid w:val="00BC39BA"/>
    <w:rsid w:val="00BC5183"/>
    <w:rsid w:val="00BC698D"/>
    <w:rsid w:val="00BC72C6"/>
    <w:rsid w:val="00BC793E"/>
    <w:rsid w:val="00BC7B26"/>
    <w:rsid w:val="00BD0CEA"/>
    <w:rsid w:val="00BD0DBF"/>
    <w:rsid w:val="00BD224F"/>
    <w:rsid w:val="00BD22B7"/>
    <w:rsid w:val="00BD25F8"/>
    <w:rsid w:val="00BD3AB6"/>
    <w:rsid w:val="00BD5176"/>
    <w:rsid w:val="00BD60FF"/>
    <w:rsid w:val="00BD75B3"/>
    <w:rsid w:val="00BE1894"/>
    <w:rsid w:val="00BE1A5B"/>
    <w:rsid w:val="00BE1CDE"/>
    <w:rsid w:val="00BE2F01"/>
    <w:rsid w:val="00BE37EC"/>
    <w:rsid w:val="00BE5DD4"/>
    <w:rsid w:val="00BE6491"/>
    <w:rsid w:val="00BE7A0F"/>
    <w:rsid w:val="00BF0523"/>
    <w:rsid w:val="00BF0BC8"/>
    <w:rsid w:val="00BF145F"/>
    <w:rsid w:val="00BF23EF"/>
    <w:rsid w:val="00BF273A"/>
    <w:rsid w:val="00BF289C"/>
    <w:rsid w:val="00BF3424"/>
    <w:rsid w:val="00BF44A8"/>
    <w:rsid w:val="00BF59E7"/>
    <w:rsid w:val="00BF5EC6"/>
    <w:rsid w:val="00BF6BDE"/>
    <w:rsid w:val="00BF74B7"/>
    <w:rsid w:val="00BF7D0E"/>
    <w:rsid w:val="00BF7DEC"/>
    <w:rsid w:val="00BF7E78"/>
    <w:rsid w:val="00C00500"/>
    <w:rsid w:val="00C011D4"/>
    <w:rsid w:val="00C02B98"/>
    <w:rsid w:val="00C0360F"/>
    <w:rsid w:val="00C05101"/>
    <w:rsid w:val="00C05376"/>
    <w:rsid w:val="00C05E57"/>
    <w:rsid w:val="00C065DD"/>
    <w:rsid w:val="00C06932"/>
    <w:rsid w:val="00C06FA5"/>
    <w:rsid w:val="00C07BAD"/>
    <w:rsid w:val="00C07CCA"/>
    <w:rsid w:val="00C1036A"/>
    <w:rsid w:val="00C10663"/>
    <w:rsid w:val="00C11378"/>
    <w:rsid w:val="00C11396"/>
    <w:rsid w:val="00C11866"/>
    <w:rsid w:val="00C13E41"/>
    <w:rsid w:val="00C13E72"/>
    <w:rsid w:val="00C15A13"/>
    <w:rsid w:val="00C16370"/>
    <w:rsid w:val="00C16A03"/>
    <w:rsid w:val="00C16B6D"/>
    <w:rsid w:val="00C16C19"/>
    <w:rsid w:val="00C16D18"/>
    <w:rsid w:val="00C17059"/>
    <w:rsid w:val="00C17262"/>
    <w:rsid w:val="00C17ABB"/>
    <w:rsid w:val="00C200AA"/>
    <w:rsid w:val="00C200CA"/>
    <w:rsid w:val="00C206BD"/>
    <w:rsid w:val="00C209EA"/>
    <w:rsid w:val="00C20C09"/>
    <w:rsid w:val="00C21551"/>
    <w:rsid w:val="00C2360C"/>
    <w:rsid w:val="00C23F69"/>
    <w:rsid w:val="00C24095"/>
    <w:rsid w:val="00C24A23"/>
    <w:rsid w:val="00C24C03"/>
    <w:rsid w:val="00C2569A"/>
    <w:rsid w:val="00C25D09"/>
    <w:rsid w:val="00C30902"/>
    <w:rsid w:val="00C31116"/>
    <w:rsid w:val="00C33EC0"/>
    <w:rsid w:val="00C34305"/>
    <w:rsid w:val="00C35649"/>
    <w:rsid w:val="00C35A16"/>
    <w:rsid w:val="00C35D86"/>
    <w:rsid w:val="00C37236"/>
    <w:rsid w:val="00C402DE"/>
    <w:rsid w:val="00C40451"/>
    <w:rsid w:val="00C4088D"/>
    <w:rsid w:val="00C40936"/>
    <w:rsid w:val="00C41375"/>
    <w:rsid w:val="00C41A2B"/>
    <w:rsid w:val="00C41B5D"/>
    <w:rsid w:val="00C41B73"/>
    <w:rsid w:val="00C423D7"/>
    <w:rsid w:val="00C424D3"/>
    <w:rsid w:val="00C424DE"/>
    <w:rsid w:val="00C4362E"/>
    <w:rsid w:val="00C44248"/>
    <w:rsid w:val="00C44ACB"/>
    <w:rsid w:val="00C44D23"/>
    <w:rsid w:val="00C44EAB"/>
    <w:rsid w:val="00C459CE"/>
    <w:rsid w:val="00C46DE0"/>
    <w:rsid w:val="00C46E79"/>
    <w:rsid w:val="00C47091"/>
    <w:rsid w:val="00C51706"/>
    <w:rsid w:val="00C51C28"/>
    <w:rsid w:val="00C53C75"/>
    <w:rsid w:val="00C5454F"/>
    <w:rsid w:val="00C55C3C"/>
    <w:rsid w:val="00C55CB5"/>
    <w:rsid w:val="00C55F1C"/>
    <w:rsid w:val="00C56D48"/>
    <w:rsid w:val="00C60339"/>
    <w:rsid w:val="00C60938"/>
    <w:rsid w:val="00C6094B"/>
    <w:rsid w:val="00C609CE"/>
    <w:rsid w:val="00C61D05"/>
    <w:rsid w:val="00C61F48"/>
    <w:rsid w:val="00C62CD8"/>
    <w:rsid w:val="00C64AD4"/>
    <w:rsid w:val="00C656DC"/>
    <w:rsid w:val="00C667C2"/>
    <w:rsid w:val="00C66DAC"/>
    <w:rsid w:val="00C70734"/>
    <w:rsid w:val="00C70FFC"/>
    <w:rsid w:val="00C71BD8"/>
    <w:rsid w:val="00C7217B"/>
    <w:rsid w:val="00C748F8"/>
    <w:rsid w:val="00C748FD"/>
    <w:rsid w:val="00C7675B"/>
    <w:rsid w:val="00C80349"/>
    <w:rsid w:val="00C8049A"/>
    <w:rsid w:val="00C814C7"/>
    <w:rsid w:val="00C81E5A"/>
    <w:rsid w:val="00C82054"/>
    <w:rsid w:val="00C83394"/>
    <w:rsid w:val="00C8455F"/>
    <w:rsid w:val="00C8507B"/>
    <w:rsid w:val="00C861D7"/>
    <w:rsid w:val="00C86259"/>
    <w:rsid w:val="00C866A8"/>
    <w:rsid w:val="00C86785"/>
    <w:rsid w:val="00C879D6"/>
    <w:rsid w:val="00C87B02"/>
    <w:rsid w:val="00C91B28"/>
    <w:rsid w:val="00C925D1"/>
    <w:rsid w:val="00C92606"/>
    <w:rsid w:val="00C92B75"/>
    <w:rsid w:val="00C9339A"/>
    <w:rsid w:val="00C93955"/>
    <w:rsid w:val="00C9450C"/>
    <w:rsid w:val="00C949CA"/>
    <w:rsid w:val="00C9538D"/>
    <w:rsid w:val="00C954C7"/>
    <w:rsid w:val="00C95757"/>
    <w:rsid w:val="00C95BD6"/>
    <w:rsid w:val="00C96290"/>
    <w:rsid w:val="00C96292"/>
    <w:rsid w:val="00C96BB8"/>
    <w:rsid w:val="00CA1B9E"/>
    <w:rsid w:val="00CA1DF3"/>
    <w:rsid w:val="00CA2B15"/>
    <w:rsid w:val="00CA2C33"/>
    <w:rsid w:val="00CA3624"/>
    <w:rsid w:val="00CA3EDC"/>
    <w:rsid w:val="00CA487E"/>
    <w:rsid w:val="00CA601A"/>
    <w:rsid w:val="00CA67BF"/>
    <w:rsid w:val="00CA6E26"/>
    <w:rsid w:val="00CB0499"/>
    <w:rsid w:val="00CB0A29"/>
    <w:rsid w:val="00CB0CEE"/>
    <w:rsid w:val="00CB3CE5"/>
    <w:rsid w:val="00CB3FEA"/>
    <w:rsid w:val="00CB46A6"/>
    <w:rsid w:val="00CB47CC"/>
    <w:rsid w:val="00CB5EA1"/>
    <w:rsid w:val="00CB6869"/>
    <w:rsid w:val="00CB70F2"/>
    <w:rsid w:val="00CB7354"/>
    <w:rsid w:val="00CC0922"/>
    <w:rsid w:val="00CC0E59"/>
    <w:rsid w:val="00CC17B5"/>
    <w:rsid w:val="00CC1901"/>
    <w:rsid w:val="00CC2450"/>
    <w:rsid w:val="00CC2516"/>
    <w:rsid w:val="00CC55CC"/>
    <w:rsid w:val="00CC5754"/>
    <w:rsid w:val="00CC5B7D"/>
    <w:rsid w:val="00CC6A38"/>
    <w:rsid w:val="00CC6EE1"/>
    <w:rsid w:val="00CC7814"/>
    <w:rsid w:val="00CD009E"/>
    <w:rsid w:val="00CD0380"/>
    <w:rsid w:val="00CD063B"/>
    <w:rsid w:val="00CD0F10"/>
    <w:rsid w:val="00CD15A0"/>
    <w:rsid w:val="00CD1675"/>
    <w:rsid w:val="00CD2285"/>
    <w:rsid w:val="00CD256C"/>
    <w:rsid w:val="00CD3C33"/>
    <w:rsid w:val="00CD3E89"/>
    <w:rsid w:val="00CD44D9"/>
    <w:rsid w:val="00CD556D"/>
    <w:rsid w:val="00CD5E39"/>
    <w:rsid w:val="00CD678A"/>
    <w:rsid w:val="00CD7B80"/>
    <w:rsid w:val="00CD7D63"/>
    <w:rsid w:val="00CE04FD"/>
    <w:rsid w:val="00CE1073"/>
    <w:rsid w:val="00CE13E8"/>
    <w:rsid w:val="00CE1B3B"/>
    <w:rsid w:val="00CE246A"/>
    <w:rsid w:val="00CE2617"/>
    <w:rsid w:val="00CE2C57"/>
    <w:rsid w:val="00CE3D39"/>
    <w:rsid w:val="00CE45A5"/>
    <w:rsid w:val="00CE49EA"/>
    <w:rsid w:val="00CE5997"/>
    <w:rsid w:val="00CE673C"/>
    <w:rsid w:val="00CE6752"/>
    <w:rsid w:val="00CE68F0"/>
    <w:rsid w:val="00CE70C8"/>
    <w:rsid w:val="00CE7243"/>
    <w:rsid w:val="00CE7FE8"/>
    <w:rsid w:val="00CF132A"/>
    <w:rsid w:val="00CF1547"/>
    <w:rsid w:val="00CF1599"/>
    <w:rsid w:val="00CF168B"/>
    <w:rsid w:val="00CF1EA8"/>
    <w:rsid w:val="00CF29CF"/>
    <w:rsid w:val="00CF3602"/>
    <w:rsid w:val="00CF37F3"/>
    <w:rsid w:val="00CF562A"/>
    <w:rsid w:val="00CF5D17"/>
    <w:rsid w:val="00CF61FE"/>
    <w:rsid w:val="00D0188B"/>
    <w:rsid w:val="00D024F9"/>
    <w:rsid w:val="00D02BCE"/>
    <w:rsid w:val="00D02C19"/>
    <w:rsid w:val="00D0340C"/>
    <w:rsid w:val="00D039CD"/>
    <w:rsid w:val="00D03F91"/>
    <w:rsid w:val="00D05AF3"/>
    <w:rsid w:val="00D0618A"/>
    <w:rsid w:val="00D06350"/>
    <w:rsid w:val="00D0682E"/>
    <w:rsid w:val="00D07798"/>
    <w:rsid w:val="00D102D6"/>
    <w:rsid w:val="00D12C0B"/>
    <w:rsid w:val="00D1329A"/>
    <w:rsid w:val="00D13501"/>
    <w:rsid w:val="00D13BBD"/>
    <w:rsid w:val="00D13FA4"/>
    <w:rsid w:val="00D14615"/>
    <w:rsid w:val="00D1492D"/>
    <w:rsid w:val="00D161CE"/>
    <w:rsid w:val="00D167B2"/>
    <w:rsid w:val="00D16801"/>
    <w:rsid w:val="00D17753"/>
    <w:rsid w:val="00D17D50"/>
    <w:rsid w:val="00D20539"/>
    <w:rsid w:val="00D20F23"/>
    <w:rsid w:val="00D21447"/>
    <w:rsid w:val="00D21B83"/>
    <w:rsid w:val="00D22583"/>
    <w:rsid w:val="00D2361C"/>
    <w:rsid w:val="00D256BD"/>
    <w:rsid w:val="00D25FCA"/>
    <w:rsid w:val="00D261B1"/>
    <w:rsid w:val="00D26D23"/>
    <w:rsid w:val="00D27180"/>
    <w:rsid w:val="00D31267"/>
    <w:rsid w:val="00D31975"/>
    <w:rsid w:val="00D31BCF"/>
    <w:rsid w:val="00D31E7C"/>
    <w:rsid w:val="00D324E9"/>
    <w:rsid w:val="00D34B67"/>
    <w:rsid w:val="00D4012C"/>
    <w:rsid w:val="00D40203"/>
    <w:rsid w:val="00D40D7C"/>
    <w:rsid w:val="00D41833"/>
    <w:rsid w:val="00D42C77"/>
    <w:rsid w:val="00D437F1"/>
    <w:rsid w:val="00D439AE"/>
    <w:rsid w:val="00D43BB8"/>
    <w:rsid w:val="00D4460E"/>
    <w:rsid w:val="00D44B92"/>
    <w:rsid w:val="00D44F31"/>
    <w:rsid w:val="00D468DD"/>
    <w:rsid w:val="00D47493"/>
    <w:rsid w:val="00D479D1"/>
    <w:rsid w:val="00D479F0"/>
    <w:rsid w:val="00D50BB5"/>
    <w:rsid w:val="00D50C65"/>
    <w:rsid w:val="00D50DED"/>
    <w:rsid w:val="00D52743"/>
    <w:rsid w:val="00D535A8"/>
    <w:rsid w:val="00D53ADD"/>
    <w:rsid w:val="00D53C30"/>
    <w:rsid w:val="00D547DA"/>
    <w:rsid w:val="00D54F2D"/>
    <w:rsid w:val="00D551BC"/>
    <w:rsid w:val="00D5766C"/>
    <w:rsid w:val="00D576E9"/>
    <w:rsid w:val="00D577AD"/>
    <w:rsid w:val="00D5795A"/>
    <w:rsid w:val="00D60379"/>
    <w:rsid w:val="00D60812"/>
    <w:rsid w:val="00D610E6"/>
    <w:rsid w:val="00D6187C"/>
    <w:rsid w:val="00D61CD7"/>
    <w:rsid w:val="00D62110"/>
    <w:rsid w:val="00D630EF"/>
    <w:rsid w:val="00D63B68"/>
    <w:rsid w:val="00D643BB"/>
    <w:rsid w:val="00D643F6"/>
    <w:rsid w:val="00D66C33"/>
    <w:rsid w:val="00D66F0E"/>
    <w:rsid w:val="00D67D96"/>
    <w:rsid w:val="00D7119E"/>
    <w:rsid w:val="00D72256"/>
    <w:rsid w:val="00D73C27"/>
    <w:rsid w:val="00D75BB1"/>
    <w:rsid w:val="00D76560"/>
    <w:rsid w:val="00D765F0"/>
    <w:rsid w:val="00D76FC9"/>
    <w:rsid w:val="00D773BD"/>
    <w:rsid w:val="00D774E2"/>
    <w:rsid w:val="00D779FC"/>
    <w:rsid w:val="00D80247"/>
    <w:rsid w:val="00D81C64"/>
    <w:rsid w:val="00D81EBF"/>
    <w:rsid w:val="00D82D93"/>
    <w:rsid w:val="00D8514E"/>
    <w:rsid w:val="00D85A42"/>
    <w:rsid w:val="00D85F3D"/>
    <w:rsid w:val="00D8652F"/>
    <w:rsid w:val="00D8680A"/>
    <w:rsid w:val="00D86FDF"/>
    <w:rsid w:val="00D918B7"/>
    <w:rsid w:val="00D93958"/>
    <w:rsid w:val="00D94957"/>
    <w:rsid w:val="00D958BA"/>
    <w:rsid w:val="00D9596D"/>
    <w:rsid w:val="00D95C18"/>
    <w:rsid w:val="00D9706F"/>
    <w:rsid w:val="00D97177"/>
    <w:rsid w:val="00D971B8"/>
    <w:rsid w:val="00D9772B"/>
    <w:rsid w:val="00D978FE"/>
    <w:rsid w:val="00D97ECD"/>
    <w:rsid w:val="00DA06EB"/>
    <w:rsid w:val="00DA1379"/>
    <w:rsid w:val="00DA391F"/>
    <w:rsid w:val="00DA59DE"/>
    <w:rsid w:val="00DA6A61"/>
    <w:rsid w:val="00DA78BF"/>
    <w:rsid w:val="00DB23FD"/>
    <w:rsid w:val="00DB3669"/>
    <w:rsid w:val="00DB4519"/>
    <w:rsid w:val="00DB6DCE"/>
    <w:rsid w:val="00DC135E"/>
    <w:rsid w:val="00DC25AE"/>
    <w:rsid w:val="00DC26A2"/>
    <w:rsid w:val="00DC307F"/>
    <w:rsid w:val="00DC393B"/>
    <w:rsid w:val="00DC3DA7"/>
    <w:rsid w:val="00DC4BD3"/>
    <w:rsid w:val="00DC4D61"/>
    <w:rsid w:val="00DC6411"/>
    <w:rsid w:val="00DC69A6"/>
    <w:rsid w:val="00DC7048"/>
    <w:rsid w:val="00DC7057"/>
    <w:rsid w:val="00DC7211"/>
    <w:rsid w:val="00DC72E0"/>
    <w:rsid w:val="00DC7ECE"/>
    <w:rsid w:val="00DD0277"/>
    <w:rsid w:val="00DD05F3"/>
    <w:rsid w:val="00DD1D74"/>
    <w:rsid w:val="00DD2444"/>
    <w:rsid w:val="00DD3051"/>
    <w:rsid w:val="00DD3216"/>
    <w:rsid w:val="00DD322B"/>
    <w:rsid w:val="00DD3FD8"/>
    <w:rsid w:val="00DD5278"/>
    <w:rsid w:val="00DD5B09"/>
    <w:rsid w:val="00DD61AB"/>
    <w:rsid w:val="00DD6B4A"/>
    <w:rsid w:val="00DD7BC2"/>
    <w:rsid w:val="00DE0530"/>
    <w:rsid w:val="00DE128E"/>
    <w:rsid w:val="00DE236C"/>
    <w:rsid w:val="00DE29AA"/>
    <w:rsid w:val="00DE2E3E"/>
    <w:rsid w:val="00DE3C1D"/>
    <w:rsid w:val="00DE541B"/>
    <w:rsid w:val="00DE5439"/>
    <w:rsid w:val="00DE5EA2"/>
    <w:rsid w:val="00DE65B2"/>
    <w:rsid w:val="00DE6948"/>
    <w:rsid w:val="00DE6BAA"/>
    <w:rsid w:val="00DE7351"/>
    <w:rsid w:val="00DF00BD"/>
    <w:rsid w:val="00DF01C2"/>
    <w:rsid w:val="00DF0C4E"/>
    <w:rsid w:val="00DF1D05"/>
    <w:rsid w:val="00DF2151"/>
    <w:rsid w:val="00DF22D3"/>
    <w:rsid w:val="00DF2B56"/>
    <w:rsid w:val="00DF300B"/>
    <w:rsid w:val="00DF3023"/>
    <w:rsid w:val="00DF5EA3"/>
    <w:rsid w:val="00DF6078"/>
    <w:rsid w:val="00DF6300"/>
    <w:rsid w:val="00DF6F33"/>
    <w:rsid w:val="00E003CF"/>
    <w:rsid w:val="00E00B0B"/>
    <w:rsid w:val="00E040DC"/>
    <w:rsid w:val="00E041D9"/>
    <w:rsid w:val="00E04FAF"/>
    <w:rsid w:val="00E050CD"/>
    <w:rsid w:val="00E062DE"/>
    <w:rsid w:val="00E06F84"/>
    <w:rsid w:val="00E112D2"/>
    <w:rsid w:val="00E128DD"/>
    <w:rsid w:val="00E13F1A"/>
    <w:rsid w:val="00E157EA"/>
    <w:rsid w:val="00E173B4"/>
    <w:rsid w:val="00E178CF"/>
    <w:rsid w:val="00E17DA9"/>
    <w:rsid w:val="00E207EB"/>
    <w:rsid w:val="00E214A2"/>
    <w:rsid w:val="00E214C6"/>
    <w:rsid w:val="00E21D9C"/>
    <w:rsid w:val="00E22DAA"/>
    <w:rsid w:val="00E242E2"/>
    <w:rsid w:val="00E2435E"/>
    <w:rsid w:val="00E24955"/>
    <w:rsid w:val="00E25659"/>
    <w:rsid w:val="00E26546"/>
    <w:rsid w:val="00E269D2"/>
    <w:rsid w:val="00E27B8C"/>
    <w:rsid w:val="00E304BD"/>
    <w:rsid w:val="00E30B81"/>
    <w:rsid w:val="00E314F8"/>
    <w:rsid w:val="00E316DA"/>
    <w:rsid w:val="00E3212C"/>
    <w:rsid w:val="00E330DE"/>
    <w:rsid w:val="00E34A2F"/>
    <w:rsid w:val="00E34CA2"/>
    <w:rsid w:val="00E35739"/>
    <w:rsid w:val="00E35872"/>
    <w:rsid w:val="00E40143"/>
    <w:rsid w:val="00E40910"/>
    <w:rsid w:val="00E4114B"/>
    <w:rsid w:val="00E41D96"/>
    <w:rsid w:val="00E4250F"/>
    <w:rsid w:val="00E4284B"/>
    <w:rsid w:val="00E439F2"/>
    <w:rsid w:val="00E43C09"/>
    <w:rsid w:val="00E449B9"/>
    <w:rsid w:val="00E456A0"/>
    <w:rsid w:val="00E45A1C"/>
    <w:rsid w:val="00E4771A"/>
    <w:rsid w:val="00E50020"/>
    <w:rsid w:val="00E51113"/>
    <w:rsid w:val="00E51357"/>
    <w:rsid w:val="00E51427"/>
    <w:rsid w:val="00E51827"/>
    <w:rsid w:val="00E52223"/>
    <w:rsid w:val="00E53D3B"/>
    <w:rsid w:val="00E54628"/>
    <w:rsid w:val="00E547CD"/>
    <w:rsid w:val="00E555B7"/>
    <w:rsid w:val="00E555E2"/>
    <w:rsid w:val="00E5560C"/>
    <w:rsid w:val="00E56368"/>
    <w:rsid w:val="00E60068"/>
    <w:rsid w:val="00E6011C"/>
    <w:rsid w:val="00E61834"/>
    <w:rsid w:val="00E61AD0"/>
    <w:rsid w:val="00E634D7"/>
    <w:rsid w:val="00E647E3"/>
    <w:rsid w:val="00E647F8"/>
    <w:rsid w:val="00E6549E"/>
    <w:rsid w:val="00E65628"/>
    <w:rsid w:val="00E658AF"/>
    <w:rsid w:val="00E66230"/>
    <w:rsid w:val="00E66711"/>
    <w:rsid w:val="00E67187"/>
    <w:rsid w:val="00E70A91"/>
    <w:rsid w:val="00E72607"/>
    <w:rsid w:val="00E73C29"/>
    <w:rsid w:val="00E745DD"/>
    <w:rsid w:val="00E74995"/>
    <w:rsid w:val="00E74D87"/>
    <w:rsid w:val="00E76F7E"/>
    <w:rsid w:val="00E802E7"/>
    <w:rsid w:val="00E81687"/>
    <w:rsid w:val="00E81DAA"/>
    <w:rsid w:val="00E82655"/>
    <w:rsid w:val="00E8349A"/>
    <w:rsid w:val="00E834D5"/>
    <w:rsid w:val="00E85942"/>
    <w:rsid w:val="00E85EF8"/>
    <w:rsid w:val="00E8721F"/>
    <w:rsid w:val="00E878A2"/>
    <w:rsid w:val="00E87B2C"/>
    <w:rsid w:val="00E902CC"/>
    <w:rsid w:val="00E90587"/>
    <w:rsid w:val="00E905A1"/>
    <w:rsid w:val="00E9073B"/>
    <w:rsid w:val="00E90D7F"/>
    <w:rsid w:val="00E919C9"/>
    <w:rsid w:val="00E92125"/>
    <w:rsid w:val="00E92688"/>
    <w:rsid w:val="00E93284"/>
    <w:rsid w:val="00E939C6"/>
    <w:rsid w:val="00E94854"/>
    <w:rsid w:val="00E95F2A"/>
    <w:rsid w:val="00E96154"/>
    <w:rsid w:val="00E96794"/>
    <w:rsid w:val="00E97DE6"/>
    <w:rsid w:val="00EA291F"/>
    <w:rsid w:val="00EA414E"/>
    <w:rsid w:val="00EA46E1"/>
    <w:rsid w:val="00EA4A1D"/>
    <w:rsid w:val="00EA4EC6"/>
    <w:rsid w:val="00EA4F37"/>
    <w:rsid w:val="00EA56F1"/>
    <w:rsid w:val="00EA594D"/>
    <w:rsid w:val="00EA59B1"/>
    <w:rsid w:val="00EA5D55"/>
    <w:rsid w:val="00EA655C"/>
    <w:rsid w:val="00EA7386"/>
    <w:rsid w:val="00EA7896"/>
    <w:rsid w:val="00EA7D2D"/>
    <w:rsid w:val="00EB0B3E"/>
    <w:rsid w:val="00EB15DA"/>
    <w:rsid w:val="00EB24F2"/>
    <w:rsid w:val="00EB27E9"/>
    <w:rsid w:val="00EB2DEE"/>
    <w:rsid w:val="00EB5922"/>
    <w:rsid w:val="00EB5C51"/>
    <w:rsid w:val="00EB65FD"/>
    <w:rsid w:val="00EB6796"/>
    <w:rsid w:val="00EB6E5F"/>
    <w:rsid w:val="00EC0CBF"/>
    <w:rsid w:val="00EC14DF"/>
    <w:rsid w:val="00EC21B0"/>
    <w:rsid w:val="00EC2456"/>
    <w:rsid w:val="00EC2923"/>
    <w:rsid w:val="00EC29F7"/>
    <w:rsid w:val="00EC4744"/>
    <w:rsid w:val="00EC66ED"/>
    <w:rsid w:val="00EC6A17"/>
    <w:rsid w:val="00EC6B62"/>
    <w:rsid w:val="00EC6E73"/>
    <w:rsid w:val="00EC74E4"/>
    <w:rsid w:val="00ED05D8"/>
    <w:rsid w:val="00ED0926"/>
    <w:rsid w:val="00ED10DD"/>
    <w:rsid w:val="00ED15FC"/>
    <w:rsid w:val="00ED25C3"/>
    <w:rsid w:val="00ED3931"/>
    <w:rsid w:val="00ED4265"/>
    <w:rsid w:val="00ED48FF"/>
    <w:rsid w:val="00ED4F1D"/>
    <w:rsid w:val="00ED50BF"/>
    <w:rsid w:val="00ED65E0"/>
    <w:rsid w:val="00ED6B8E"/>
    <w:rsid w:val="00ED6D95"/>
    <w:rsid w:val="00ED6F02"/>
    <w:rsid w:val="00ED72C1"/>
    <w:rsid w:val="00EE1C1D"/>
    <w:rsid w:val="00EE3DC2"/>
    <w:rsid w:val="00EE3E01"/>
    <w:rsid w:val="00EE4DCA"/>
    <w:rsid w:val="00EE5189"/>
    <w:rsid w:val="00EE545E"/>
    <w:rsid w:val="00EE59E7"/>
    <w:rsid w:val="00EE5CB3"/>
    <w:rsid w:val="00EE6D33"/>
    <w:rsid w:val="00EE7350"/>
    <w:rsid w:val="00EE766B"/>
    <w:rsid w:val="00EE77CD"/>
    <w:rsid w:val="00EE7C36"/>
    <w:rsid w:val="00EF02C4"/>
    <w:rsid w:val="00EF0E64"/>
    <w:rsid w:val="00EF193B"/>
    <w:rsid w:val="00EF1ECE"/>
    <w:rsid w:val="00EF201E"/>
    <w:rsid w:val="00EF610A"/>
    <w:rsid w:val="00EF68EE"/>
    <w:rsid w:val="00EF77AD"/>
    <w:rsid w:val="00F0112A"/>
    <w:rsid w:val="00F01400"/>
    <w:rsid w:val="00F0192F"/>
    <w:rsid w:val="00F027B2"/>
    <w:rsid w:val="00F0355B"/>
    <w:rsid w:val="00F04080"/>
    <w:rsid w:val="00F05AA4"/>
    <w:rsid w:val="00F05DE3"/>
    <w:rsid w:val="00F06512"/>
    <w:rsid w:val="00F07935"/>
    <w:rsid w:val="00F10108"/>
    <w:rsid w:val="00F14B47"/>
    <w:rsid w:val="00F154E9"/>
    <w:rsid w:val="00F165C5"/>
    <w:rsid w:val="00F175F1"/>
    <w:rsid w:val="00F17D24"/>
    <w:rsid w:val="00F21327"/>
    <w:rsid w:val="00F23814"/>
    <w:rsid w:val="00F23AC8"/>
    <w:rsid w:val="00F2598E"/>
    <w:rsid w:val="00F26372"/>
    <w:rsid w:val="00F26462"/>
    <w:rsid w:val="00F26E93"/>
    <w:rsid w:val="00F27298"/>
    <w:rsid w:val="00F27530"/>
    <w:rsid w:val="00F3061D"/>
    <w:rsid w:val="00F32065"/>
    <w:rsid w:val="00F35186"/>
    <w:rsid w:val="00F36F25"/>
    <w:rsid w:val="00F37217"/>
    <w:rsid w:val="00F3742E"/>
    <w:rsid w:val="00F40CD7"/>
    <w:rsid w:val="00F40D52"/>
    <w:rsid w:val="00F40D6D"/>
    <w:rsid w:val="00F41BB6"/>
    <w:rsid w:val="00F420A4"/>
    <w:rsid w:val="00F42173"/>
    <w:rsid w:val="00F43948"/>
    <w:rsid w:val="00F43B2E"/>
    <w:rsid w:val="00F44458"/>
    <w:rsid w:val="00F44BDA"/>
    <w:rsid w:val="00F45F98"/>
    <w:rsid w:val="00F46B51"/>
    <w:rsid w:val="00F46E5F"/>
    <w:rsid w:val="00F47E44"/>
    <w:rsid w:val="00F506C7"/>
    <w:rsid w:val="00F50BB2"/>
    <w:rsid w:val="00F50ECD"/>
    <w:rsid w:val="00F50EDB"/>
    <w:rsid w:val="00F51399"/>
    <w:rsid w:val="00F52E21"/>
    <w:rsid w:val="00F537A6"/>
    <w:rsid w:val="00F53846"/>
    <w:rsid w:val="00F544E4"/>
    <w:rsid w:val="00F548BB"/>
    <w:rsid w:val="00F54FCD"/>
    <w:rsid w:val="00F559EF"/>
    <w:rsid w:val="00F561B7"/>
    <w:rsid w:val="00F565E1"/>
    <w:rsid w:val="00F56AE7"/>
    <w:rsid w:val="00F577FF"/>
    <w:rsid w:val="00F60A3C"/>
    <w:rsid w:val="00F60C61"/>
    <w:rsid w:val="00F6237C"/>
    <w:rsid w:val="00F62D4C"/>
    <w:rsid w:val="00F62E24"/>
    <w:rsid w:val="00F63D92"/>
    <w:rsid w:val="00F652DB"/>
    <w:rsid w:val="00F65A0C"/>
    <w:rsid w:val="00F6622B"/>
    <w:rsid w:val="00F66E4D"/>
    <w:rsid w:val="00F7114A"/>
    <w:rsid w:val="00F7116F"/>
    <w:rsid w:val="00F7120A"/>
    <w:rsid w:val="00F71ABF"/>
    <w:rsid w:val="00F71B38"/>
    <w:rsid w:val="00F722B4"/>
    <w:rsid w:val="00F72364"/>
    <w:rsid w:val="00F734AA"/>
    <w:rsid w:val="00F73897"/>
    <w:rsid w:val="00F7391E"/>
    <w:rsid w:val="00F73C63"/>
    <w:rsid w:val="00F749CF"/>
    <w:rsid w:val="00F75541"/>
    <w:rsid w:val="00F75E56"/>
    <w:rsid w:val="00F772CE"/>
    <w:rsid w:val="00F772D4"/>
    <w:rsid w:val="00F80D22"/>
    <w:rsid w:val="00F81771"/>
    <w:rsid w:val="00F81E67"/>
    <w:rsid w:val="00F82959"/>
    <w:rsid w:val="00F8331E"/>
    <w:rsid w:val="00F839CD"/>
    <w:rsid w:val="00F83CCF"/>
    <w:rsid w:val="00F83D62"/>
    <w:rsid w:val="00F83E5C"/>
    <w:rsid w:val="00F8449A"/>
    <w:rsid w:val="00F84581"/>
    <w:rsid w:val="00F85552"/>
    <w:rsid w:val="00F856F0"/>
    <w:rsid w:val="00F86BE9"/>
    <w:rsid w:val="00F8728D"/>
    <w:rsid w:val="00F87CF3"/>
    <w:rsid w:val="00F917BF"/>
    <w:rsid w:val="00F91B79"/>
    <w:rsid w:val="00F92FF8"/>
    <w:rsid w:val="00F93242"/>
    <w:rsid w:val="00F93728"/>
    <w:rsid w:val="00F93D21"/>
    <w:rsid w:val="00F95783"/>
    <w:rsid w:val="00F96C58"/>
    <w:rsid w:val="00F96DFD"/>
    <w:rsid w:val="00F97AC4"/>
    <w:rsid w:val="00F97EC8"/>
    <w:rsid w:val="00FA2BAB"/>
    <w:rsid w:val="00FA32B7"/>
    <w:rsid w:val="00FA3F05"/>
    <w:rsid w:val="00FA40A1"/>
    <w:rsid w:val="00FA5348"/>
    <w:rsid w:val="00FA7038"/>
    <w:rsid w:val="00FA7BC4"/>
    <w:rsid w:val="00FB0D2E"/>
    <w:rsid w:val="00FB1206"/>
    <w:rsid w:val="00FB150C"/>
    <w:rsid w:val="00FB1AF0"/>
    <w:rsid w:val="00FB2168"/>
    <w:rsid w:val="00FB2399"/>
    <w:rsid w:val="00FB281B"/>
    <w:rsid w:val="00FB39FE"/>
    <w:rsid w:val="00FB3B79"/>
    <w:rsid w:val="00FB541A"/>
    <w:rsid w:val="00FB58A2"/>
    <w:rsid w:val="00FB685E"/>
    <w:rsid w:val="00FB6AD2"/>
    <w:rsid w:val="00FB75E4"/>
    <w:rsid w:val="00FB7616"/>
    <w:rsid w:val="00FB79C0"/>
    <w:rsid w:val="00FC1388"/>
    <w:rsid w:val="00FC212F"/>
    <w:rsid w:val="00FC28CC"/>
    <w:rsid w:val="00FC28CD"/>
    <w:rsid w:val="00FC2900"/>
    <w:rsid w:val="00FC2E48"/>
    <w:rsid w:val="00FC30BF"/>
    <w:rsid w:val="00FC3144"/>
    <w:rsid w:val="00FC3EE0"/>
    <w:rsid w:val="00FC4003"/>
    <w:rsid w:val="00FC4006"/>
    <w:rsid w:val="00FC4F13"/>
    <w:rsid w:val="00FC57BC"/>
    <w:rsid w:val="00FC5A03"/>
    <w:rsid w:val="00FC6B73"/>
    <w:rsid w:val="00FD0DF1"/>
    <w:rsid w:val="00FD3434"/>
    <w:rsid w:val="00FD346C"/>
    <w:rsid w:val="00FD3B47"/>
    <w:rsid w:val="00FD3FF5"/>
    <w:rsid w:val="00FD50AD"/>
    <w:rsid w:val="00FD57B4"/>
    <w:rsid w:val="00FD5A2F"/>
    <w:rsid w:val="00FD65F5"/>
    <w:rsid w:val="00FE0482"/>
    <w:rsid w:val="00FE0998"/>
    <w:rsid w:val="00FE0E4B"/>
    <w:rsid w:val="00FE1325"/>
    <w:rsid w:val="00FE1986"/>
    <w:rsid w:val="00FE20A0"/>
    <w:rsid w:val="00FE25A3"/>
    <w:rsid w:val="00FE278F"/>
    <w:rsid w:val="00FE2879"/>
    <w:rsid w:val="00FE2A9A"/>
    <w:rsid w:val="00FE378D"/>
    <w:rsid w:val="00FE37FA"/>
    <w:rsid w:val="00FE3F90"/>
    <w:rsid w:val="00FE5503"/>
    <w:rsid w:val="00FE68EE"/>
    <w:rsid w:val="00FE77E7"/>
    <w:rsid w:val="00FF079F"/>
    <w:rsid w:val="00FF1039"/>
    <w:rsid w:val="00FF17BE"/>
    <w:rsid w:val="00FF1B7C"/>
    <w:rsid w:val="00FF1DF3"/>
    <w:rsid w:val="00FF2437"/>
    <w:rsid w:val="00FF2BC6"/>
    <w:rsid w:val="00FF37BE"/>
    <w:rsid w:val="00FF466B"/>
    <w:rsid w:val="00FF5425"/>
    <w:rsid w:val="00FF5D96"/>
    <w:rsid w:val="00FF66AB"/>
    <w:rsid w:val="00FF6E73"/>
    <w:rsid w:val="00FF79B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3EF4A"/>
  <w15:chartTrackingRefBased/>
  <w15:docId w15:val="{30799950-5A6B-4FC5-8D51-440D928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69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56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569A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569A"/>
    <w:pPr>
      <w:keepNext/>
      <w:ind w:firstLine="136"/>
      <w:outlineLvl w:val="2"/>
    </w:pPr>
    <w:rPr>
      <w:rFonts w:ascii="Arial" w:hAnsi="Arial" w:cs="Arial"/>
      <w:i/>
      <w:iCs/>
      <w:sz w:val="16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C2569A"/>
    <w:pPr>
      <w:keepNext/>
      <w:ind w:firstLine="136"/>
      <w:jc w:val="center"/>
      <w:outlineLvl w:val="3"/>
    </w:pPr>
    <w:rPr>
      <w:rFonts w:ascii="Arial" w:hAnsi="Arial" w:cs="Arial"/>
      <w:b/>
      <w:bCs/>
      <w:i/>
      <w:iCs/>
      <w:sz w:val="16"/>
      <w:szCs w:val="1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2569A"/>
    <w:pPr>
      <w:keepNext/>
      <w:autoSpaceDE w:val="0"/>
      <w:autoSpaceDN w:val="0"/>
      <w:adjustRightInd w:val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C2569A"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21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214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214F0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214F0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214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214F0"/>
    <w:rPr>
      <w:rFonts w:ascii="Calibri" w:hAnsi="Calibri" w:cs="Times New Roman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rsid w:val="00C2569A"/>
    <w:pPr>
      <w:ind w:left="3060"/>
    </w:pPr>
    <w:rPr>
      <w:b/>
      <w:bCs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214F0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2569A"/>
    <w:pPr>
      <w:widowControl w:val="0"/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214F0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2569A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56392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2569A"/>
    <w:pPr>
      <w:spacing w:after="120"/>
      <w:ind w:firstLine="70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32895"/>
    <w:rPr>
      <w:rFonts w:cs="Times New Roman"/>
      <w:sz w:val="24"/>
    </w:rPr>
  </w:style>
  <w:style w:type="paragraph" w:customStyle="1" w:styleId="xl29">
    <w:name w:val="xl29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0">
    <w:name w:val="xl30"/>
    <w:basedOn w:val="Normal"/>
    <w:uiPriority w:val="99"/>
    <w:rsid w:val="00C256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Normal"/>
    <w:uiPriority w:val="99"/>
    <w:rsid w:val="00C256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2">
    <w:name w:val="xl32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3">
    <w:name w:val="xl33"/>
    <w:basedOn w:val="Normal"/>
    <w:uiPriority w:val="99"/>
    <w:rsid w:val="00C25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4">
    <w:name w:val="xl34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5">
    <w:name w:val="xl35"/>
    <w:basedOn w:val="Normal"/>
    <w:uiPriority w:val="99"/>
    <w:rsid w:val="00C25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6">
    <w:name w:val="xl36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7">
    <w:name w:val="xl37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8">
    <w:name w:val="xl38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9">
    <w:name w:val="xl39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2">
    <w:name w:val="xl4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3">
    <w:name w:val="xl4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4">
    <w:name w:val="xl44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27">
    <w:name w:val="xl27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28">
    <w:name w:val="xl28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styleId="Rodap">
    <w:name w:val="footer"/>
    <w:basedOn w:val="Normal"/>
    <w:link w:val="RodapChar"/>
    <w:uiPriority w:val="99"/>
    <w:rsid w:val="00C256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214F0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2569A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256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214F0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C256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214F0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color w:val="000000"/>
      <w:sz w:val="14"/>
      <w:szCs w:val="14"/>
    </w:rPr>
  </w:style>
  <w:style w:type="paragraph" w:customStyle="1" w:styleId="xl25">
    <w:name w:val="xl25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26">
    <w:name w:val="xl26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45">
    <w:name w:val="xl45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6">
    <w:name w:val="xl46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uiPriority w:val="99"/>
    <w:rsid w:val="00C2569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C2569A"/>
    <w:pPr>
      <w:spacing w:before="100" w:beforeAutospacing="1" w:after="100" w:afterAutospacing="1"/>
    </w:pPr>
    <w:rPr>
      <w:rFonts w:eastAsia="Arial Unicode MS"/>
    </w:rPr>
  </w:style>
  <w:style w:type="paragraph" w:styleId="Textodebalo">
    <w:name w:val="Balloon Text"/>
    <w:basedOn w:val="Normal"/>
    <w:link w:val="TextodebaloChar"/>
    <w:uiPriority w:val="99"/>
    <w:semiHidden/>
    <w:rsid w:val="00C25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214F0"/>
    <w:rPr>
      <w:rFonts w:cs="Times New Roman"/>
      <w:sz w:val="2"/>
    </w:rPr>
  </w:style>
  <w:style w:type="character" w:styleId="Hyperlink">
    <w:name w:val="Hyperlink"/>
    <w:basedOn w:val="Fontepargpadro"/>
    <w:uiPriority w:val="99"/>
    <w:rsid w:val="00C2569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C2569A"/>
    <w:rPr>
      <w:rFonts w:cs="Times New Roman"/>
      <w:color w:val="606420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B6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agrostat.agricultura.gov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42D9-7BE8-4449-A75A-E5E2BFC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12</Pages>
  <Words>4820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do mês</vt:lpstr>
    </vt:vector>
  </TitlesOfParts>
  <Company>.</Company>
  <LinksUpToDate>false</LinksUpToDate>
  <CharactersWithSpaces>30407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http://www.agrostat.agricultura.gov.br/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do mês</dc:title>
  <dc:subject/>
  <dc:creator>.</dc:creator>
  <cp:keywords/>
  <cp:lastModifiedBy>Gastao Giometti</cp:lastModifiedBy>
  <cp:revision>28</cp:revision>
  <cp:lastPrinted>2015-01-09T11:18:00Z</cp:lastPrinted>
  <dcterms:created xsi:type="dcterms:W3CDTF">2019-10-04T18:01:00Z</dcterms:created>
  <dcterms:modified xsi:type="dcterms:W3CDTF">2019-10-09T20:41:00Z</dcterms:modified>
</cp:coreProperties>
</file>