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8B84" w14:textId="77777777" w:rsidR="00C87B02" w:rsidRPr="00161E3F" w:rsidRDefault="00C87B02" w:rsidP="004706CC">
      <w:pPr>
        <w:pStyle w:val="Cabealho"/>
        <w:rPr>
          <w:rFonts w:ascii="Arial" w:hAnsi="Arial" w:cs="Arial"/>
          <w:b/>
        </w:rPr>
      </w:pPr>
      <w:r w:rsidRPr="00161E3F">
        <w:rPr>
          <w:rFonts w:ascii="Arial" w:hAnsi="Arial" w:cs="Arial"/>
          <w:b/>
        </w:rPr>
        <w:t>MINISTÉRIO DA AGRICULTURA, PECUÁRIA E ABASTECIMENTO</w:t>
      </w:r>
    </w:p>
    <w:p w14:paraId="0012FA22" w14:textId="77777777" w:rsidR="00C87B02" w:rsidRPr="00161E3F" w:rsidRDefault="00C87B02">
      <w:pPr>
        <w:pStyle w:val="Cabealho"/>
        <w:tabs>
          <w:tab w:val="clear" w:pos="4419"/>
          <w:tab w:val="clear" w:pos="8838"/>
        </w:tabs>
        <w:rPr>
          <w:rFonts w:ascii="Arial" w:hAnsi="Arial" w:cs="Arial"/>
          <w:b/>
        </w:rPr>
      </w:pPr>
      <w:r w:rsidRPr="00161E3F">
        <w:rPr>
          <w:rFonts w:ascii="Arial" w:hAnsi="Arial" w:cs="Arial"/>
          <w:b/>
        </w:rPr>
        <w:t>Secretaria de Relações Internacionais do Agronegócio</w:t>
      </w:r>
    </w:p>
    <w:p w14:paraId="7312A026" w14:textId="77777777" w:rsidR="00C87B02" w:rsidRPr="00161E3F" w:rsidRDefault="00C87B02">
      <w:pPr>
        <w:pStyle w:val="Ttulo1"/>
        <w:rPr>
          <w:rFonts w:ascii="Arial" w:hAnsi="Arial" w:cs="Arial"/>
          <w:sz w:val="20"/>
          <w:szCs w:val="20"/>
        </w:rPr>
      </w:pPr>
    </w:p>
    <w:p w14:paraId="2C96BBAE" w14:textId="00253C3D" w:rsidR="00C87B02" w:rsidRPr="00161E3F" w:rsidRDefault="00C87B02">
      <w:pPr>
        <w:pStyle w:val="Ttulo1"/>
        <w:rPr>
          <w:rFonts w:ascii="Arial" w:hAnsi="Arial" w:cs="Arial"/>
          <w:sz w:val="20"/>
          <w:szCs w:val="20"/>
        </w:rPr>
      </w:pPr>
      <w:r w:rsidRPr="00161E3F">
        <w:rPr>
          <w:rFonts w:ascii="Arial" w:hAnsi="Arial" w:cs="Arial"/>
          <w:sz w:val="20"/>
          <w:szCs w:val="20"/>
        </w:rPr>
        <w:t xml:space="preserve">Balança Comercial do Agronegócio – </w:t>
      </w:r>
      <w:proofErr w:type="gramStart"/>
      <w:r w:rsidR="00EB665F" w:rsidRPr="00161E3F">
        <w:rPr>
          <w:rFonts w:ascii="Arial" w:hAnsi="Arial" w:cs="Arial"/>
          <w:sz w:val="20"/>
          <w:szCs w:val="20"/>
        </w:rPr>
        <w:t>Outubro</w:t>
      </w:r>
      <w:proofErr w:type="gramEnd"/>
      <w:r w:rsidR="007763E5" w:rsidRPr="00161E3F">
        <w:rPr>
          <w:rFonts w:ascii="Arial" w:hAnsi="Arial" w:cs="Arial"/>
          <w:sz w:val="20"/>
          <w:szCs w:val="20"/>
        </w:rPr>
        <w:t>/</w:t>
      </w:r>
      <w:r w:rsidR="007C6628" w:rsidRPr="00161E3F">
        <w:rPr>
          <w:rFonts w:ascii="Arial" w:hAnsi="Arial" w:cs="Arial"/>
          <w:sz w:val="20"/>
          <w:szCs w:val="20"/>
        </w:rPr>
        <w:t>2019</w:t>
      </w:r>
    </w:p>
    <w:p w14:paraId="2DAADCA7" w14:textId="77777777" w:rsidR="008035E6" w:rsidRPr="00161E3F" w:rsidRDefault="008035E6" w:rsidP="008035E6">
      <w:pPr>
        <w:rPr>
          <w:rFonts w:ascii="Arial" w:hAnsi="Arial" w:cs="Arial"/>
          <w:sz w:val="20"/>
          <w:szCs w:val="20"/>
        </w:rPr>
      </w:pPr>
    </w:p>
    <w:p w14:paraId="0EDFAF5D" w14:textId="2E0538ED" w:rsidR="008035E6" w:rsidRPr="00161E3F" w:rsidRDefault="00161E3F" w:rsidP="008035E6">
      <w:pPr>
        <w:rPr>
          <w:rFonts w:ascii="Arial" w:hAnsi="Arial" w:cs="Arial"/>
          <w:sz w:val="20"/>
          <w:szCs w:val="20"/>
        </w:rPr>
      </w:pPr>
      <w:r w:rsidRPr="00161E3F">
        <w:rPr>
          <w:rFonts w:ascii="Arial" w:hAnsi="Arial" w:cs="Arial"/>
          <w:noProof/>
          <w:sz w:val="20"/>
          <w:szCs w:val="20"/>
        </w:rPr>
        <w:drawing>
          <wp:inline distT="0" distB="0" distL="0" distR="0" wp14:anchorId="1965BA36" wp14:editId="7E7C35F7">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14:paraId="36573B35" w14:textId="77777777" w:rsidR="00C87B02" w:rsidRPr="00161E3F" w:rsidRDefault="00C87B02">
      <w:pPr>
        <w:pStyle w:val="Ttulo5"/>
        <w:autoSpaceDE/>
        <w:autoSpaceDN/>
        <w:adjustRightInd/>
        <w:rPr>
          <w:rFonts w:ascii="Arial" w:hAnsi="Arial" w:cs="Arial"/>
          <w:sz w:val="20"/>
          <w:szCs w:val="20"/>
        </w:rPr>
      </w:pPr>
    </w:p>
    <w:p w14:paraId="4B87317A" w14:textId="77777777" w:rsidR="00E04FAF" w:rsidRPr="00161E3F" w:rsidRDefault="00E04FAF">
      <w:pPr>
        <w:pStyle w:val="Ttulo5"/>
        <w:autoSpaceDE/>
        <w:autoSpaceDN/>
        <w:adjustRightInd/>
        <w:rPr>
          <w:rFonts w:ascii="Arial" w:hAnsi="Arial" w:cs="Arial"/>
          <w:sz w:val="20"/>
          <w:szCs w:val="20"/>
        </w:rPr>
      </w:pPr>
    </w:p>
    <w:p w14:paraId="1C81EB44" w14:textId="0EADD3DC" w:rsidR="003E2A9B" w:rsidRPr="00161E3F" w:rsidRDefault="003E2A9B" w:rsidP="003E2A9B">
      <w:pPr>
        <w:pStyle w:val="Ttulo5"/>
        <w:autoSpaceDE/>
        <w:autoSpaceDN/>
        <w:adjustRightInd/>
        <w:rPr>
          <w:rFonts w:ascii="Arial" w:hAnsi="Arial" w:cs="Arial"/>
          <w:sz w:val="20"/>
          <w:szCs w:val="20"/>
        </w:rPr>
      </w:pPr>
      <w:r w:rsidRPr="00161E3F">
        <w:rPr>
          <w:rFonts w:ascii="Arial" w:hAnsi="Arial" w:cs="Arial"/>
          <w:sz w:val="20"/>
          <w:szCs w:val="20"/>
        </w:rPr>
        <w:t xml:space="preserve">I – Resultados do mês (comparativo </w:t>
      </w:r>
      <w:proofErr w:type="gramStart"/>
      <w:r w:rsidR="00EB665F" w:rsidRPr="00161E3F">
        <w:rPr>
          <w:rFonts w:ascii="Arial" w:hAnsi="Arial" w:cs="Arial"/>
          <w:sz w:val="20"/>
          <w:szCs w:val="20"/>
        </w:rPr>
        <w:t>Outubro</w:t>
      </w:r>
      <w:proofErr w:type="gramEnd"/>
      <w:r w:rsidRPr="00161E3F">
        <w:rPr>
          <w:rFonts w:ascii="Arial" w:hAnsi="Arial" w:cs="Arial"/>
          <w:sz w:val="20"/>
          <w:szCs w:val="20"/>
        </w:rPr>
        <w:t>/</w:t>
      </w:r>
      <w:r w:rsidR="007C6628" w:rsidRPr="00161E3F">
        <w:rPr>
          <w:rFonts w:ascii="Arial" w:hAnsi="Arial" w:cs="Arial"/>
          <w:sz w:val="20"/>
          <w:szCs w:val="20"/>
        </w:rPr>
        <w:t>2019</w:t>
      </w:r>
      <w:r w:rsidRPr="00161E3F">
        <w:rPr>
          <w:rFonts w:ascii="Arial" w:hAnsi="Arial" w:cs="Arial"/>
          <w:sz w:val="20"/>
          <w:szCs w:val="20"/>
        </w:rPr>
        <w:t xml:space="preserve"> – </w:t>
      </w:r>
      <w:r w:rsidR="00EB665F" w:rsidRPr="00161E3F">
        <w:rPr>
          <w:rFonts w:ascii="Arial" w:hAnsi="Arial" w:cs="Arial"/>
          <w:sz w:val="20"/>
          <w:szCs w:val="20"/>
        </w:rPr>
        <w:t>Outubro</w:t>
      </w:r>
      <w:r w:rsidRPr="00161E3F">
        <w:rPr>
          <w:rFonts w:ascii="Arial" w:hAnsi="Arial" w:cs="Arial"/>
          <w:sz w:val="20"/>
          <w:szCs w:val="20"/>
        </w:rPr>
        <w:t>/</w:t>
      </w:r>
      <w:r w:rsidR="007C6628" w:rsidRPr="00161E3F">
        <w:rPr>
          <w:rFonts w:ascii="Arial" w:hAnsi="Arial" w:cs="Arial"/>
          <w:sz w:val="20"/>
          <w:szCs w:val="20"/>
        </w:rPr>
        <w:t>2018</w:t>
      </w:r>
      <w:r w:rsidRPr="00161E3F">
        <w:rPr>
          <w:rFonts w:ascii="Arial" w:hAnsi="Arial" w:cs="Arial"/>
          <w:sz w:val="20"/>
          <w:szCs w:val="20"/>
        </w:rPr>
        <w:t>)</w:t>
      </w:r>
    </w:p>
    <w:p w14:paraId="3F2B504B" w14:textId="77777777" w:rsidR="003E2A9B" w:rsidRPr="00161E3F" w:rsidRDefault="003E2A9B" w:rsidP="00EB665F">
      <w:pPr>
        <w:pStyle w:val="Recuodecorpodetexto"/>
        <w:rPr>
          <w:rFonts w:ascii="Arial" w:hAnsi="Arial" w:cs="Arial"/>
          <w:sz w:val="20"/>
          <w:szCs w:val="20"/>
        </w:rPr>
      </w:pPr>
    </w:p>
    <w:p w14:paraId="3E8CB8A6" w14:textId="795A1FF0" w:rsidR="009B53FE" w:rsidRDefault="009B53FE" w:rsidP="009B53FE">
      <w:pPr>
        <w:pStyle w:val="Recuodecorpodetexto"/>
        <w:rPr>
          <w:sz w:val="22"/>
          <w:szCs w:val="22"/>
        </w:rPr>
      </w:pPr>
      <w:r w:rsidRPr="009B53FE">
        <w:rPr>
          <w:sz w:val="22"/>
          <w:szCs w:val="22"/>
        </w:rPr>
        <w:t xml:space="preserve">As exportações do agronegócio foram de US$ 8,41 bilhões em outubro de 2019, número que representou um crescimento de 0,8% em relação aos US$ 8,35 bilhões exportados em outubro de 2018. O aumento das exportações ocorreu em função do crescimento do índice de quantum das exportações, que registrou incremento de 6,8%. Por outro lado, o índice de preço das exportações teve redução de 5,7% na comparação com outubro de 2018. Ou seja, as exportações tiveram aumento de 0,8% em função do crescimento da quantidade exportada. </w:t>
      </w:r>
    </w:p>
    <w:p w14:paraId="11883D51" w14:textId="77777777" w:rsidR="009B53FE" w:rsidRPr="009B53FE" w:rsidRDefault="009B53FE" w:rsidP="009B53FE">
      <w:pPr>
        <w:pStyle w:val="Recuodecorpodetexto"/>
        <w:rPr>
          <w:sz w:val="22"/>
          <w:szCs w:val="22"/>
        </w:rPr>
      </w:pPr>
    </w:p>
    <w:p w14:paraId="3794931E" w14:textId="32A4FB1B" w:rsidR="009B53FE" w:rsidRDefault="009B53FE" w:rsidP="009B53FE">
      <w:pPr>
        <w:pStyle w:val="Recuodecorpodetexto"/>
        <w:rPr>
          <w:sz w:val="22"/>
          <w:szCs w:val="22"/>
        </w:rPr>
      </w:pPr>
      <w:r w:rsidRPr="009B53FE">
        <w:rPr>
          <w:sz w:val="22"/>
          <w:szCs w:val="22"/>
        </w:rPr>
        <w:t>O produto de destaque para a elevação da quantidade exportada foi o milho. As vendas externas do cereal subiram de 3,1 milhões de toneladas em outubro de 2018 para 6,1 milhões de toneladas em outubro de 2019 (+97,6%). Uma quantidade recorde de exportação de milho para os meses de outubro.</w:t>
      </w:r>
    </w:p>
    <w:p w14:paraId="7E421ADD" w14:textId="77777777" w:rsidR="009B53FE" w:rsidRPr="009B53FE" w:rsidRDefault="009B53FE" w:rsidP="009B53FE">
      <w:pPr>
        <w:pStyle w:val="Recuodecorpodetexto"/>
        <w:rPr>
          <w:sz w:val="22"/>
          <w:szCs w:val="22"/>
        </w:rPr>
      </w:pPr>
    </w:p>
    <w:p w14:paraId="59DCC56E" w14:textId="77777777" w:rsidR="009B53FE" w:rsidRPr="009B53FE" w:rsidRDefault="009B53FE" w:rsidP="009B53FE">
      <w:pPr>
        <w:pStyle w:val="Recuodecorpodetexto"/>
        <w:rPr>
          <w:sz w:val="22"/>
          <w:szCs w:val="22"/>
        </w:rPr>
      </w:pPr>
      <w:r w:rsidRPr="009B53FE">
        <w:rPr>
          <w:sz w:val="22"/>
          <w:szCs w:val="22"/>
        </w:rPr>
        <w:t xml:space="preserve">As importações de produtos do agronegócio também cresceram, passando de US$ 1,19 bilhão em outubro de 2018 para US$ 1,21 bilhão em outubro de 2019 (+1,3%). Assim como o índice de preço das exportações, o índice de preço dos produtos importados também caiu, registrando uma queda de 2,1% entre outubro de 2018 e outubro de 2019. Já a quantidade importada, apurada pelo índice de quantum das importações, subiu 3,5%. </w:t>
      </w:r>
    </w:p>
    <w:p w14:paraId="46D9A4DB" w14:textId="64EE8514" w:rsidR="003E2A9B" w:rsidRPr="00161E3F" w:rsidRDefault="003E2A9B" w:rsidP="00455FAB">
      <w:pPr>
        <w:pStyle w:val="Recuodecorpodetexto"/>
        <w:rPr>
          <w:rFonts w:ascii="Arial" w:hAnsi="Arial" w:cs="Arial"/>
          <w:sz w:val="20"/>
          <w:szCs w:val="20"/>
        </w:rPr>
      </w:pPr>
    </w:p>
    <w:p w14:paraId="26964EFC" w14:textId="77777777" w:rsidR="003E2A9B" w:rsidRPr="00161E3F" w:rsidRDefault="003E2A9B" w:rsidP="003E2A9B">
      <w:pPr>
        <w:pStyle w:val="Recuodecorpodetexto"/>
        <w:ind w:firstLine="0"/>
        <w:rPr>
          <w:rFonts w:ascii="Arial" w:hAnsi="Arial" w:cs="Arial"/>
          <w:color w:val="000000" w:themeColor="text1"/>
          <w:sz w:val="20"/>
          <w:szCs w:val="20"/>
        </w:rPr>
      </w:pPr>
    </w:p>
    <w:p w14:paraId="6F60E2D3" w14:textId="77777777" w:rsidR="003E2A9B" w:rsidRPr="00161E3F" w:rsidRDefault="003E2A9B" w:rsidP="003E2A9B">
      <w:pPr>
        <w:pStyle w:val="Ttulo5"/>
        <w:autoSpaceDE/>
        <w:autoSpaceDN/>
        <w:adjustRightInd/>
        <w:rPr>
          <w:rFonts w:ascii="Arial" w:hAnsi="Arial" w:cs="Arial"/>
          <w:sz w:val="20"/>
          <w:szCs w:val="20"/>
        </w:rPr>
      </w:pPr>
      <w:proofErr w:type="spellStart"/>
      <w:r w:rsidRPr="00161E3F">
        <w:rPr>
          <w:rFonts w:ascii="Arial" w:hAnsi="Arial" w:cs="Arial"/>
          <w:sz w:val="20"/>
          <w:szCs w:val="20"/>
        </w:rPr>
        <w:t>I.a</w:t>
      </w:r>
      <w:proofErr w:type="spellEnd"/>
      <w:r w:rsidRPr="00161E3F">
        <w:rPr>
          <w:rFonts w:ascii="Arial" w:hAnsi="Arial" w:cs="Arial"/>
          <w:sz w:val="20"/>
          <w:szCs w:val="20"/>
        </w:rPr>
        <w:t xml:space="preserve"> – Setores do Agronegócio</w:t>
      </w:r>
    </w:p>
    <w:p w14:paraId="72EAAB37" w14:textId="77777777" w:rsidR="003E2A9B" w:rsidRPr="00161E3F" w:rsidRDefault="003E2A9B" w:rsidP="003E2A9B">
      <w:pPr>
        <w:pStyle w:val="Recuodecorpodetexto"/>
        <w:rPr>
          <w:rFonts w:ascii="Arial" w:hAnsi="Arial" w:cs="Arial"/>
          <w:sz w:val="20"/>
          <w:szCs w:val="20"/>
        </w:rPr>
      </w:pPr>
    </w:p>
    <w:p w14:paraId="1D36666F" w14:textId="63BE1A54" w:rsidR="009B53FE" w:rsidRDefault="009B53FE" w:rsidP="009B53FE">
      <w:pPr>
        <w:pStyle w:val="Recuodecorpodetexto"/>
        <w:rPr>
          <w:sz w:val="22"/>
          <w:szCs w:val="22"/>
        </w:rPr>
      </w:pPr>
      <w:r w:rsidRPr="009B53FE">
        <w:rPr>
          <w:sz w:val="22"/>
          <w:szCs w:val="22"/>
        </w:rPr>
        <w:t xml:space="preserve">Em outubro de 2019, os cinco principais setores exportadores do agronegócio foram: complexo soja (27,0%); carnes (18,1%); cereais, farinhas e preparações (12,8%); produtos florestais (10,8%); e complexo sucroalcooleiro (7,8%). A soma da participação dos cinco principais setores exportadores atingiu 76,5% do valor total exportado em outubro de 2019. Esta porcentagem correspondeu a uma concentração das vendas externas nesses setores, uma vez que os mesmos setores foram responsáveis por 75,3% das exportações em outubro de 2018. </w:t>
      </w:r>
    </w:p>
    <w:p w14:paraId="0F04E73A" w14:textId="77777777" w:rsidR="009B53FE" w:rsidRPr="009B53FE" w:rsidRDefault="009B53FE" w:rsidP="009B53FE">
      <w:pPr>
        <w:pStyle w:val="Recuodecorpodetexto"/>
        <w:rPr>
          <w:sz w:val="22"/>
          <w:szCs w:val="22"/>
        </w:rPr>
      </w:pPr>
    </w:p>
    <w:p w14:paraId="4B048285" w14:textId="4A276653" w:rsidR="009B53FE" w:rsidRDefault="009B53FE" w:rsidP="009B53FE">
      <w:pPr>
        <w:pStyle w:val="Recuodecorpodetexto"/>
        <w:rPr>
          <w:sz w:val="22"/>
          <w:szCs w:val="22"/>
        </w:rPr>
      </w:pPr>
      <w:r w:rsidRPr="009B53FE">
        <w:rPr>
          <w:sz w:val="22"/>
          <w:szCs w:val="22"/>
        </w:rPr>
        <w:t xml:space="preserve">O principal setor exportador do agronegócio foi o complexo soja. As vendas externas do setor atingiram US$ 2,27 bilhões em outubro de 2019 (-10,9%). A soja em grão é o principal produto de exportação do setor, com US$ 1,75 bilhão exportados em outubro de 2019 (-14,3%) ou 77,2% do valor exportado pelo setor. Outros dois produtos exportados pelo setor foram: farelo de soja (US$ 481,63 milhões; +10,0%) e óleo de soja (US$ 36,10 milhões; -43,8%). </w:t>
      </w:r>
    </w:p>
    <w:p w14:paraId="648D5837" w14:textId="77777777" w:rsidR="009B53FE" w:rsidRPr="009B53FE" w:rsidRDefault="009B53FE" w:rsidP="009B53FE">
      <w:pPr>
        <w:pStyle w:val="Recuodecorpodetexto"/>
        <w:rPr>
          <w:sz w:val="22"/>
          <w:szCs w:val="22"/>
        </w:rPr>
      </w:pPr>
    </w:p>
    <w:p w14:paraId="07100C20" w14:textId="1D7E1C8F" w:rsidR="009B53FE" w:rsidRDefault="009B53FE" w:rsidP="009B53FE">
      <w:pPr>
        <w:pStyle w:val="Recuodecorpodetexto"/>
        <w:rPr>
          <w:sz w:val="22"/>
          <w:szCs w:val="22"/>
        </w:rPr>
      </w:pPr>
      <w:r w:rsidRPr="009B53FE">
        <w:rPr>
          <w:sz w:val="22"/>
          <w:szCs w:val="22"/>
        </w:rPr>
        <w:t xml:space="preserve">As carnes ficaram na segunda posição. Foram exportados US$ 1,53 bilhão em carnes em outubro de 2019. Destacaram-se as exportações de carne bovina, com registros recordes de valor e quantidade, US$ 806,61 milhões (+30,4%) e 185,4 mil toneladas (+14,9%). As exportações de carne suína também subiram, atingindo US$ 148,51 </w:t>
      </w:r>
      <w:r w:rsidRPr="009B53FE">
        <w:rPr>
          <w:sz w:val="22"/>
          <w:szCs w:val="22"/>
        </w:rPr>
        <w:lastRenderedPageBreak/>
        <w:t xml:space="preserve">milhões (+38,5%) e 67,1 mil toneladas em outubro de 2019. Por outro lado, as vendas externas de carne de frango caíram 7,8%, atingindo US$ 529,13 milhões ou 326,9 mil toneladas (-8,3%) exportadas no período em análise. </w:t>
      </w:r>
    </w:p>
    <w:p w14:paraId="0A1A66FB" w14:textId="77777777" w:rsidR="009B53FE" w:rsidRPr="009B53FE" w:rsidRDefault="009B53FE" w:rsidP="009B53FE">
      <w:pPr>
        <w:pStyle w:val="Recuodecorpodetexto"/>
        <w:rPr>
          <w:sz w:val="22"/>
          <w:szCs w:val="22"/>
        </w:rPr>
      </w:pPr>
    </w:p>
    <w:p w14:paraId="0DADD902" w14:textId="31ED542C" w:rsidR="009B53FE" w:rsidRDefault="009B53FE" w:rsidP="009B53FE">
      <w:pPr>
        <w:pStyle w:val="Recuodecorpodetexto"/>
        <w:rPr>
          <w:sz w:val="22"/>
          <w:szCs w:val="22"/>
        </w:rPr>
      </w:pPr>
      <w:r w:rsidRPr="009B53FE">
        <w:rPr>
          <w:sz w:val="22"/>
          <w:szCs w:val="22"/>
        </w:rPr>
        <w:t xml:space="preserve">O terceiro principal setor exportador foi o de cereais, farinhas e preparações. As vendas externas do setor foram resultado quase que exclusivamente das exportações de milho, que registraram valor e quantidade recorde exportada para o mês de outubro. As exportações de milho em outubro de 2019 foram de US$ 1,02 bilhão, o que equivaleu a um crescimento de 91,3% em relação às exportações de outubro de 2018. A quantidade exportada de milho foi também recorde, com 6,14 milhões toneladas exportadas (+97,6%). </w:t>
      </w:r>
    </w:p>
    <w:p w14:paraId="78C2DD2B" w14:textId="77777777" w:rsidR="009B53FE" w:rsidRPr="009B53FE" w:rsidRDefault="009B53FE" w:rsidP="009B53FE">
      <w:pPr>
        <w:pStyle w:val="Recuodecorpodetexto"/>
        <w:rPr>
          <w:sz w:val="22"/>
          <w:szCs w:val="22"/>
        </w:rPr>
      </w:pPr>
    </w:p>
    <w:p w14:paraId="616AC9BD" w14:textId="66ABBBDF" w:rsidR="009B53FE" w:rsidRDefault="009B53FE" w:rsidP="009B53FE">
      <w:pPr>
        <w:pStyle w:val="Recuodecorpodetexto"/>
        <w:rPr>
          <w:sz w:val="22"/>
          <w:szCs w:val="22"/>
        </w:rPr>
      </w:pPr>
      <w:r w:rsidRPr="009B53FE">
        <w:rPr>
          <w:sz w:val="22"/>
          <w:szCs w:val="22"/>
        </w:rPr>
        <w:t>As vendas externas de produtos florestais foram de US$ 906,0 milhões (-15,6%), cifra que colocou o setor na quarta posição entre os principais setores exportadores. O principal produto de exportação do setor, a celulose, teve redução dos preços internacionais de 25,4% entre outubro de 2018 e outubro de 2019. Esta queda nos preços internacionais do produto diminuiu o valor exportado para US$ 508,21 milhões (-11,5%), embora a quantidade vendida ao exterior tenha sido recorde para os meses de outubro (1,24 milhão de toneladas). Outros produtos de exportação do setor foram: madeiras e suas obras (US$ 246 milhões; -23,4%) e papel (US$ 152 milhões; -14,8%).</w:t>
      </w:r>
    </w:p>
    <w:p w14:paraId="65534096" w14:textId="77777777" w:rsidR="009B53FE" w:rsidRPr="009B53FE" w:rsidRDefault="009B53FE" w:rsidP="009B53FE">
      <w:pPr>
        <w:pStyle w:val="Recuodecorpodetexto"/>
        <w:rPr>
          <w:sz w:val="22"/>
          <w:szCs w:val="22"/>
        </w:rPr>
      </w:pPr>
    </w:p>
    <w:p w14:paraId="58CA3159" w14:textId="45E1ADE2" w:rsidR="009B53FE" w:rsidRDefault="009B53FE" w:rsidP="009B53FE">
      <w:pPr>
        <w:pStyle w:val="Recuodecorpodetexto"/>
        <w:rPr>
          <w:sz w:val="22"/>
          <w:szCs w:val="22"/>
        </w:rPr>
      </w:pPr>
      <w:r w:rsidRPr="009B53FE">
        <w:rPr>
          <w:sz w:val="22"/>
          <w:szCs w:val="22"/>
        </w:rPr>
        <w:t xml:space="preserve">A quinta posição entre os principais setores exportadores foi do complexo sucroalcooleiro. As exportações do setor foram de US$ 652,69 milhões (-7,5%). No setor, as vendas externas de açúcar foram de US$ 545,68 milhões (-3,0%) em outubro de 2019, enquanto as exportações de álcool foram de US$ 105,91 milhões (-25,4%) no mesmo mês. </w:t>
      </w:r>
    </w:p>
    <w:p w14:paraId="7DD88672" w14:textId="77777777" w:rsidR="009B53FE" w:rsidRPr="009B53FE" w:rsidRDefault="009B53FE" w:rsidP="009B53FE">
      <w:pPr>
        <w:pStyle w:val="Recuodecorpodetexto"/>
        <w:rPr>
          <w:sz w:val="22"/>
          <w:szCs w:val="22"/>
        </w:rPr>
      </w:pPr>
    </w:p>
    <w:p w14:paraId="5FD40D6E" w14:textId="76AAD153" w:rsidR="009B53FE" w:rsidRDefault="009B53FE" w:rsidP="009B53FE">
      <w:pPr>
        <w:pStyle w:val="Recuodecorpodetexto"/>
        <w:rPr>
          <w:sz w:val="22"/>
          <w:szCs w:val="22"/>
        </w:rPr>
      </w:pPr>
      <w:r w:rsidRPr="009B53FE">
        <w:rPr>
          <w:sz w:val="22"/>
          <w:szCs w:val="22"/>
        </w:rPr>
        <w:t xml:space="preserve">Os demais 20 setores exportadores exportaram US$ 1,98 bilhão em outubro de 2019, o que representou uma queda de 4,0% em relação aos US$ 2,06 bilhões exportados pelos mesmos vinte setores em outubro de 2018. Com essa queda, a participação desses setores recuou para 23,6%, uma queda de 1,2 pontos percentuais. Tal fato demonstra que houve uma concentração das exportações entre os principais setores exportadores do agronegócio entre outubro de 2018 e outubro de 2019. </w:t>
      </w:r>
    </w:p>
    <w:p w14:paraId="122D5E8E" w14:textId="77777777" w:rsidR="009B53FE" w:rsidRPr="009B53FE" w:rsidRDefault="009B53FE" w:rsidP="009B53FE">
      <w:pPr>
        <w:pStyle w:val="Recuodecorpodetexto"/>
        <w:rPr>
          <w:sz w:val="22"/>
          <w:szCs w:val="22"/>
        </w:rPr>
      </w:pPr>
    </w:p>
    <w:p w14:paraId="65141697" w14:textId="71913BBC" w:rsidR="009B53FE" w:rsidRDefault="009B53FE" w:rsidP="009B53FE">
      <w:pPr>
        <w:pStyle w:val="Recuodecorpodetexto"/>
        <w:rPr>
          <w:sz w:val="22"/>
          <w:szCs w:val="22"/>
        </w:rPr>
      </w:pPr>
      <w:r w:rsidRPr="009B53FE">
        <w:rPr>
          <w:sz w:val="22"/>
          <w:szCs w:val="22"/>
        </w:rPr>
        <w:t xml:space="preserve">Um produto que mereceu destaque nesses vinte setores exportadores foi o algodão. As exportações do algodão não cardado nem penteado subiram de US$ 306,78 milhões em outubro de 2018 para US$ 440,73 milhões em outubro de 2019 (+43,7%). Tal resultado foi obtido em função do crescimento da quantidade exportada, que subiu de 177,1 mil toneladas em outubro de 2018 para 273,4 mil toneladas em outubro de 2019. Com esse valor exportado, o algodão não cardado nem penteado respondeu sozinho por cerca de uma quarta parte do valor total exportado nos vinte setores do agronegócio com menor valor de exportação. </w:t>
      </w:r>
    </w:p>
    <w:p w14:paraId="6BAD8671" w14:textId="77777777" w:rsidR="009B53FE" w:rsidRPr="009B53FE" w:rsidRDefault="009B53FE" w:rsidP="009B53FE">
      <w:pPr>
        <w:pStyle w:val="Recuodecorpodetexto"/>
        <w:rPr>
          <w:sz w:val="22"/>
          <w:szCs w:val="22"/>
        </w:rPr>
      </w:pPr>
    </w:p>
    <w:p w14:paraId="4EB392B2" w14:textId="77777777" w:rsidR="009B53FE" w:rsidRPr="009B53FE" w:rsidRDefault="009B53FE" w:rsidP="009B53FE">
      <w:pPr>
        <w:pStyle w:val="Recuodecorpodetexto"/>
        <w:rPr>
          <w:sz w:val="22"/>
          <w:szCs w:val="22"/>
        </w:rPr>
      </w:pPr>
      <w:r w:rsidRPr="009B53FE">
        <w:rPr>
          <w:sz w:val="22"/>
          <w:szCs w:val="22"/>
        </w:rPr>
        <w:t>As importações de produtos do agronegócio foram de US$ 1,21 bilhão (+1,3%). Os dez principais produtos importados foram: trigo (US$ 138,65 milhões; +16,6%); papel (US$ 79,89 milhões; +5,7%); vestuário e outros produtos têxteis de algodão (US$ 56,58 milhões; -14,0%); salmões (US$ 45,03 milhões; -12,6%); malte (US$ 41,11 milhões; +18,8%); vinho (US$ 40,84 milhões; 0%); álcool etílico (US$ 36,15 milhões; +99,2%); borracha natural (US$ 35,64 milhões; +17,1%); azeite de oliva (US$ 34,38 milhões; -18,2%); e batatas preparadas ou conservadas (US$ 27,48 milhões; -2,6%).</w:t>
      </w:r>
    </w:p>
    <w:p w14:paraId="348A6DCE" w14:textId="77777777" w:rsidR="00EB665F" w:rsidRPr="00161E3F" w:rsidRDefault="00EB665F" w:rsidP="00EB665F">
      <w:pPr>
        <w:pStyle w:val="Recuodecorpodetexto"/>
        <w:rPr>
          <w:rFonts w:ascii="Arial" w:hAnsi="Arial" w:cs="Arial"/>
          <w:sz w:val="20"/>
          <w:szCs w:val="20"/>
        </w:rPr>
      </w:pPr>
    </w:p>
    <w:p w14:paraId="0F326764" w14:textId="77777777" w:rsidR="00EB665F" w:rsidRPr="00161E3F" w:rsidRDefault="00EB665F" w:rsidP="00A560CC">
      <w:pPr>
        <w:pStyle w:val="Recuodecorpodetexto"/>
        <w:ind w:firstLine="0"/>
        <w:rPr>
          <w:rFonts w:ascii="Arial" w:hAnsi="Arial" w:cs="Arial"/>
          <w:color w:val="000000" w:themeColor="text1"/>
          <w:sz w:val="20"/>
          <w:szCs w:val="20"/>
        </w:rPr>
      </w:pPr>
    </w:p>
    <w:p w14:paraId="0D9F533C" w14:textId="38A6188F" w:rsidR="00CF132A" w:rsidRPr="00161E3F" w:rsidRDefault="00161E3F" w:rsidP="00A560CC">
      <w:pPr>
        <w:pStyle w:val="Recuodecorpodetexto"/>
        <w:ind w:firstLine="0"/>
        <w:rPr>
          <w:rFonts w:ascii="Arial" w:hAnsi="Arial" w:cs="Arial"/>
          <w:color w:val="000000" w:themeColor="text1"/>
          <w:sz w:val="20"/>
          <w:szCs w:val="20"/>
        </w:rPr>
      </w:pPr>
      <w:r w:rsidRPr="00161E3F">
        <w:rPr>
          <w:rFonts w:ascii="Arial" w:hAnsi="Arial" w:cs="Arial"/>
          <w:noProof/>
          <w:sz w:val="20"/>
          <w:szCs w:val="20"/>
        </w:rPr>
        <w:lastRenderedPageBreak/>
        <w:drawing>
          <wp:inline distT="0" distB="0" distL="0" distR="0" wp14:anchorId="5709039C" wp14:editId="5C9C6AEC">
            <wp:extent cx="6480175" cy="385508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14:paraId="3448EF5A" w14:textId="77777777" w:rsidR="00AB3924" w:rsidRPr="00161E3F" w:rsidRDefault="00AB3924" w:rsidP="005A162D">
      <w:pPr>
        <w:jc w:val="both"/>
        <w:rPr>
          <w:rFonts w:ascii="Arial" w:hAnsi="Arial" w:cs="Arial"/>
          <w:sz w:val="20"/>
          <w:szCs w:val="20"/>
        </w:rPr>
      </w:pPr>
    </w:p>
    <w:p w14:paraId="6D131F44" w14:textId="77777777" w:rsidR="00FA7BC4" w:rsidRPr="00161E3F" w:rsidRDefault="00FA7BC4" w:rsidP="00E207EB">
      <w:pPr>
        <w:jc w:val="both"/>
        <w:rPr>
          <w:rFonts w:ascii="Arial" w:hAnsi="Arial" w:cs="Arial"/>
          <w:b/>
          <w:sz w:val="20"/>
          <w:szCs w:val="20"/>
        </w:rPr>
      </w:pPr>
    </w:p>
    <w:p w14:paraId="11A3702A" w14:textId="77777777" w:rsidR="001D51EE" w:rsidRPr="00161E3F" w:rsidRDefault="006D7B33" w:rsidP="00E207EB">
      <w:pPr>
        <w:jc w:val="both"/>
        <w:rPr>
          <w:rFonts w:ascii="Arial" w:hAnsi="Arial" w:cs="Arial"/>
          <w:b/>
          <w:sz w:val="20"/>
          <w:szCs w:val="20"/>
        </w:rPr>
      </w:pPr>
      <w:proofErr w:type="spellStart"/>
      <w:r w:rsidRPr="00161E3F">
        <w:rPr>
          <w:rFonts w:ascii="Arial" w:hAnsi="Arial" w:cs="Arial"/>
          <w:b/>
          <w:sz w:val="20"/>
          <w:szCs w:val="20"/>
        </w:rPr>
        <w:t>I.b</w:t>
      </w:r>
      <w:proofErr w:type="spellEnd"/>
      <w:r w:rsidRPr="00161E3F">
        <w:rPr>
          <w:rFonts w:ascii="Arial" w:hAnsi="Arial" w:cs="Arial"/>
          <w:b/>
          <w:sz w:val="20"/>
          <w:szCs w:val="20"/>
        </w:rPr>
        <w:t xml:space="preserve"> – Blocos Econômicos e Regiões Geográficas</w:t>
      </w:r>
    </w:p>
    <w:p w14:paraId="4612A37F" w14:textId="77777777" w:rsidR="008F667F" w:rsidRPr="00161E3F" w:rsidRDefault="008F667F" w:rsidP="00EB665F">
      <w:pPr>
        <w:pStyle w:val="Recuodecorpodetexto"/>
        <w:rPr>
          <w:rFonts w:ascii="Arial" w:hAnsi="Arial" w:cs="Arial"/>
          <w:sz w:val="20"/>
          <w:szCs w:val="20"/>
        </w:rPr>
      </w:pPr>
    </w:p>
    <w:p w14:paraId="7A58EFD9" w14:textId="4C93B7FF" w:rsidR="009B53FE" w:rsidRDefault="009B53FE" w:rsidP="009B53FE">
      <w:pPr>
        <w:pStyle w:val="Recuodecorpodetexto"/>
        <w:rPr>
          <w:sz w:val="22"/>
          <w:szCs w:val="22"/>
        </w:rPr>
      </w:pPr>
      <w:r w:rsidRPr="009B53FE">
        <w:rPr>
          <w:sz w:val="22"/>
          <w:szCs w:val="22"/>
        </w:rPr>
        <w:t>Em outubro de 2019, a Ásia aumentou sua participação para 52,0% do valor total das exportações brasileiras do agronegócio, atingindo US$ 4,37 bilhões. O aumento de 4,2 pontos percentuais em relação a outubro de 2018 ocorreu em função do crescimento de 9,7% nas aquisições do continente. Em outubro de 2019, a Ásia adquiriu 95% da quantidade de soja em grão exportada pelo Brasil e 92% do algodão não cardado nem penteado. Além da oleaginosa e do algodão, a Ásia se destacou adquirindo cerca de 50% do milho e da celulose e mais de 60% da carne bovina exportados pelo Brasil.</w:t>
      </w:r>
    </w:p>
    <w:p w14:paraId="5A069118" w14:textId="77777777" w:rsidR="009B53FE" w:rsidRPr="009B53FE" w:rsidRDefault="009B53FE" w:rsidP="009B53FE">
      <w:pPr>
        <w:pStyle w:val="Recuodecorpodetexto"/>
        <w:rPr>
          <w:sz w:val="22"/>
          <w:szCs w:val="22"/>
        </w:rPr>
      </w:pPr>
    </w:p>
    <w:p w14:paraId="40F645AD" w14:textId="77777777" w:rsidR="009B53FE" w:rsidRPr="009B53FE" w:rsidRDefault="009B53FE" w:rsidP="009B53FE">
      <w:pPr>
        <w:pStyle w:val="Recuodecorpodetexto"/>
        <w:rPr>
          <w:sz w:val="22"/>
          <w:szCs w:val="22"/>
        </w:rPr>
      </w:pPr>
      <w:r w:rsidRPr="009B53FE">
        <w:rPr>
          <w:sz w:val="22"/>
          <w:szCs w:val="22"/>
        </w:rPr>
        <w:t xml:space="preserve">Outras regiões ou blocos que apresentaram incremento de </w:t>
      </w:r>
      <w:proofErr w:type="spellStart"/>
      <w:r w:rsidRPr="009B53FE">
        <w:rPr>
          <w:sz w:val="22"/>
          <w:szCs w:val="22"/>
        </w:rPr>
        <w:t>market</w:t>
      </w:r>
      <w:proofErr w:type="spellEnd"/>
      <w:r w:rsidRPr="009B53FE">
        <w:rPr>
          <w:sz w:val="22"/>
          <w:szCs w:val="22"/>
        </w:rPr>
        <w:t xml:space="preserve"> </w:t>
      </w:r>
      <w:proofErr w:type="spellStart"/>
      <w:r w:rsidRPr="009B53FE">
        <w:rPr>
          <w:sz w:val="22"/>
          <w:szCs w:val="22"/>
        </w:rPr>
        <w:t>share</w:t>
      </w:r>
      <w:proofErr w:type="spellEnd"/>
      <w:r w:rsidRPr="009B53FE">
        <w:rPr>
          <w:sz w:val="22"/>
          <w:szCs w:val="22"/>
        </w:rPr>
        <w:t xml:space="preserve"> no período em análise foram: África (de 5,7% para 6,3%); ALADI (de 4,4% para 4,5%); outros países da Europa Ocidental (de 0,6% para 1,2%); Oceania (de 0,2% para 0,3%). </w:t>
      </w:r>
    </w:p>
    <w:p w14:paraId="3D7B5F93" w14:textId="77777777" w:rsidR="00EB665F" w:rsidRPr="00161E3F" w:rsidRDefault="00EB665F" w:rsidP="00EB665F">
      <w:pPr>
        <w:pStyle w:val="Recuodecorpodetexto"/>
        <w:rPr>
          <w:rFonts w:ascii="Arial" w:hAnsi="Arial" w:cs="Arial"/>
          <w:sz w:val="20"/>
          <w:szCs w:val="20"/>
        </w:rPr>
      </w:pPr>
    </w:p>
    <w:p w14:paraId="01B34308" w14:textId="1C5E64C5" w:rsidR="00196B83" w:rsidRPr="00161E3F" w:rsidRDefault="00161E3F" w:rsidP="002B1A0F">
      <w:pPr>
        <w:pStyle w:val="Recuodecorpodetexto"/>
        <w:ind w:firstLine="0"/>
        <w:rPr>
          <w:rFonts w:ascii="Arial" w:hAnsi="Arial" w:cs="Arial"/>
          <w:color w:val="000000" w:themeColor="text1"/>
          <w:sz w:val="20"/>
          <w:szCs w:val="20"/>
        </w:rPr>
      </w:pPr>
      <w:r w:rsidRPr="00161E3F">
        <w:rPr>
          <w:rFonts w:ascii="Arial" w:hAnsi="Arial" w:cs="Arial"/>
          <w:noProof/>
          <w:sz w:val="20"/>
          <w:szCs w:val="20"/>
        </w:rPr>
        <w:drawing>
          <wp:inline distT="0" distB="0" distL="0" distR="0" wp14:anchorId="6C4C9D00" wp14:editId="6B817696">
            <wp:extent cx="6480175" cy="23482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14:paraId="551F3151" w14:textId="77777777" w:rsidR="007D0604" w:rsidRPr="00161E3F" w:rsidRDefault="007D0604" w:rsidP="00050C8F">
      <w:pPr>
        <w:jc w:val="both"/>
        <w:rPr>
          <w:rFonts w:ascii="Arial" w:hAnsi="Arial" w:cs="Arial"/>
          <w:sz w:val="20"/>
          <w:szCs w:val="20"/>
        </w:rPr>
      </w:pPr>
    </w:p>
    <w:p w14:paraId="28B3DF19" w14:textId="77777777" w:rsidR="00907DCF" w:rsidRPr="00161E3F" w:rsidRDefault="00907DCF" w:rsidP="00050C8F">
      <w:pPr>
        <w:jc w:val="both"/>
        <w:rPr>
          <w:rFonts w:ascii="Arial" w:hAnsi="Arial" w:cs="Arial"/>
          <w:sz w:val="20"/>
          <w:szCs w:val="20"/>
        </w:rPr>
      </w:pPr>
    </w:p>
    <w:p w14:paraId="1782976E" w14:textId="77777777" w:rsidR="001D51EE" w:rsidRPr="00161E3F" w:rsidRDefault="001D51EE" w:rsidP="001D51EE">
      <w:pPr>
        <w:pStyle w:val="Ttulo5"/>
        <w:autoSpaceDE/>
        <w:autoSpaceDN/>
        <w:adjustRightInd/>
        <w:rPr>
          <w:rFonts w:ascii="Arial" w:hAnsi="Arial" w:cs="Arial"/>
          <w:sz w:val="20"/>
          <w:szCs w:val="20"/>
        </w:rPr>
      </w:pPr>
      <w:proofErr w:type="spellStart"/>
      <w:r w:rsidRPr="00161E3F">
        <w:rPr>
          <w:rFonts w:ascii="Arial" w:hAnsi="Arial" w:cs="Arial"/>
          <w:sz w:val="20"/>
          <w:szCs w:val="20"/>
        </w:rPr>
        <w:t>I.c</w:t>
      </w:r>
      <w:proofErr w:type="spellEnd"/>
      <w:r w:rsidRPr="00161E3F">
        <w:rPr>
          <w:rFonts w:ascii="Arial" w:hAnsi="Arial" w:cs="Arial"/>
          <w:sz w:val="20"/>
          <w:szCs w:val="20"/>
        </w:rPr>
        <w:t xml:space="preserve"> – Países</w:t>
      </w:r>
    </w:p>
    <w:p w14:paraId="23A15571" w14:textId="061BEDA7" w:rsidR="00EB665F" w:rsidRDefault="00EB665F" w:rsidP="00EB665F">
      <w:pPr>
        <w:pStyle w:val="Recuodecorpodetexto"/>
        <w:rPr>
          <w:rFonts w:ascii="Arial" w:hAnsi="Arial" w:cs="Arial"/>
          <w:sz w:val="20"/>
          <w:szCs w:val="20"/>
        </w:rPr>
      </w:pPr>
    </w:p>
    <w:p w14:paraId="4CFCD50F" w14:textId="6E3E719E" w:rsidR="009B53FE" w:rsidRDefault="009B53FE" w:rsidP="009B53FE">
      <w:pPr>
        <w:pStyle w:val="Recuodecorpodetexto"/>
        <w:rPr>
          <w:sz w:val="22"/>
          <w:szCs w:val="22"/>
        </w:rPr>
      </w:pPr>
      <w:r w:rsidRPr="009B53FE">
        <w:rPr>
          <w:sz w:val="22"/>
          <w:szCs w:val="22"/>
        </w:rPr>
        <w:t xml:space="preserve">A China adquiriu US$ 2,69 bilhões em produtos do agronegócio brasileiro em outubro de 2019. Esse valor representou um crescimento de 3,3% em relação aos US$ 2,60 bilhões adquiridos em outubro de 2018. Dessa forma, o país aumentou sua participação em 0,8 ponto percentual nas exportações brasileiras do agronegócio de outubro, </w:t>
      </w:r>
      <w:r w:rsidRPr="009B53FE">
        <w:rPr>
          <w:sz w:val="22"/>
          <w:szCs w:val="22"/>
        </w:rPr>
        <w:lastRenderedPageBreak/>
        <w:t>atingindo 32,0% de participação. Cinco produtos tiveram valor exportado que suplantou US$ 100 milhões: soja em grãos (US$ 1,58 bilhão; -17,8%); carne bovina in natura (US$ 373,28; +163,2%); celulose (US$ 222,43 milhões; +14,7%); algodão não cardado nem penteado (US$ 174,63 milhões; +99,4%); carne de frango in natura (US$ 103,27 milhões; +61,5%).</w:t>
      </w:r>
    </w:p>
    <w:p w14:paraId="6C99B1FB" w14:textId="77777777" w:rsidR="009B53FE" w:rsidRPr="009B53FE" w:rsidRDefault="009B53FE" w:rsidP="009B53FE">
      <w:pPr>
        <w:pStyle w:val="Recuodecorpodetexto"/>
        <w:rPr>
          <w:sz w:val="22"/>
          <w:szCs w:val="22"/>
        </w:rPr>
      </w:pPr>
    </w:p>
    <w:p w14:paraId="1A8678F1" w14:textId="5F4DE67D" w:rsidR="009B53FE" w:rsidRDefault="009B53FE" w:rsidP="009B53FE">
      <w:pPr>
        <w:pStyle w:val="Recuodecorpodetexto"/>
        <w:rPr>
          <w:sz w:val="22"/>
          <w:szCs w:val="22"/>
        </w:rPr>
      </w:pPr>
      <w:r w:rsidRPr="009B53FE">
        <w:rPr>
          <w:sz w:val="22"/>
          <w:szCs w:val="22"/>
        </w:rPr>
        <w:t xml:space="preserve">Além da China, outros países tiveram significativo aumento de participação (de 0,5 ponto percentual para mais): Japão (de 2,0% em outubro de 2018 para 4,3% em outubro de 2019); Bangladesh (de 1,2% para 1,7%); Tailândia (de 1,1% para 1,7%); México (de 0,9% para 1,7%); e Turquia (de 0,5% para 1,1%). </w:t>
      </w:r>
    </w:p>
    <w:p w14:paraId="4A903070" w14:textId="77777777" w:rsidR="009B53FE" w:rsidRPr="009B53FE" w:rsidRDefault="009B53FE" w:rsidP="009B53FE">
      <w:pPr>
        <w:pStyle w:val="Recuodecorpodetexto"/>
        <w:rPr>
          <w:sz w:val="22"/>
          <w:szCs w:val="22"/>
        </w:rPr>
      </w:pPr>
    </w:p>
    <w:p w14:paraId="33DA7CE2" w14:textId="189F092A" w:rsidR="009B53FE" w:rsidRDefault="009B53FE" w:rsidP="009B53FE">
      <w:pPr>
        <w:pStyle w:val="Recuodecorpodetexto"/>
        <w:rPr>
          <w:sz w:val="22"/>
          <w:szCs w:val="22"/>
        </w:rPr>
      </w:pPr>
      <w:r w:rsidRPr="009B53FE">
        <w:rPr>
          <w:sz w:val="22"/>
          <w:szCs w:val="22"/>
        </w:rPr>
        <w:t xml:space="preserve">Em outubro de 2019, o Japão aumentou as aquisições de produtos do agronegócio brasileiro em 114,2% na comparação com outubro de 2018, atingindo US$ 363,75 milhões em importações. O milho foi o produto responsável por esse aumento das importações, com US$ 194,97 milhões exportados (1,16 milhão de toneladas) ou 53,6% do valor total importado pelo Japão em produtos do agronegócio brasileiro. </w:t>
      </w:r>
    </w:p>
    <w:p w14:paraId="282F46E2" w14:textId="77777777" w:rsidR="009B53FE" w:rsidRPr="009B53FE" w:rsidRDefault="009B53FE" w:rsidP="009B53FE">
      <w:pPr>
        <w:pStyle w:val="Recuodecorpodetexto"/>
        <w:rPr>
          <w:sz w:val="22"/>
          <w:szCs w:val="22"/>
        </w:rPr>
      </w:pPr>
    </w:p>
    <w:p w14:paraId="5FF5C0F1" w14:textId="38BF0F8A" w:rsidR="009B53FE" w:rsidRDefault="009B53FE" w:rsidP="009B53FE">
      <w:pPr>
        <w:pStyle w:val="Recuodecorpodetexto"/>
        <w:rPr>
          <w:sz w:val="22"/>
          <w:szCs w:val="22"/>
        </w:rPr>
      </w:pPr>
      <w:r w:rsidRPr="009B53FE">
        <w:rPr>
          <w:sz w:val="22"/>
          <w:szCs w:val="22"/>
        </w:rPr>
        <w:t>O milho também foi o produto responsável pelo incremento das exportações ao México, que foram de US$ 139,89 milhões (+82,6%). As exportações de milho atingiram US$ 84,66 milhões em outubro de 2019 ou 518,3 mil toneladas, sendo o principal produto de exportação para o país.</w:t>
      </w:r>
    </w:p>
    <w:p w14:paraId="14C3E6E5" w14:textId="77777777" w:rsidR="009B53FE" w:rsidRPr="009B53FE" w:rsidRDefault="009B53FE" w:rsidP="009B53FE">
      <w:pPr>
        <w:pStyle w:val="Recuodecorpodetexto"/>
        <w:rPr>
          <w:sz w:val="22"/>
          <w:szCs w:val="22"/>
        </w:rPr>
      </w:pPr>
    </w:p>
    <w:p w14:paraId="71F7CB65" w14:textId="3A7D96CA" w:rsidR="009B53FE" w:rsidRDefault="009B53FE" w:rsidP="009B53FE">
      <w:pPr>
        <w:pStyle w:val="Recuodecorpodetexto"/>
        <w:rPr>
          <w:sz w:val="22"/>
          <w:szCs w:val="22"/>
        </w:rPr>
      </w:pPr>
      <w:r w:rsidRPr="009B53FE">
        <w:rPr>
          <w:sz w:val="22"/>
          <w:szCs w:val="22"/>
        </w:rPr>
        <w:t>O crescimento das exportações do agronegócio para Bangladesh ocorreu em função de três produtos: algodão não cardado nem penteado (US$ 48,90 milhões; +27,0%), açúcar de cana em bruto (US$ 47,21 milhões: +164,0%) e milho (US$ 44,96 milhões; +53,7%). Estes três produtos foram responsáveis por 97,1% do valor total exportado à Bangladesh, que foi de US$ 145,28 milhões.</w:t>
      </w:r>
    </w:p>
    <w:p w14:paraId="7F0E94AD" w14:textId="77777777" w:rsidR="009B53FE" w:rsidRPr="009B53FE" w:rsidRDefault="009B53FE" w:rsidP="009B53FE">
      <w:pPr>
        <w:pStyle w:val="Recuodecorpodetexto"/>
        <w:rPr>
          <w:sz w:val="22"/>
          <w:szCs w:val="22"/>
        </w:rPr>
      </w:pPr>
    </w:p>
    <w:p w14:paraId="4A42C678" w14:textId="77777777" w:rsidR="009B53FE" w:rsidRPr="009B53FE" w:rsidRDefault="009B53FE" w:rsidP="009B53FE">
      <w:pPr>
        <w:pStyle w:val="Recuodecorpodetexto"/>
        <w:rPr>
          <w:sz w:val="22"/>
          <w:szCs w:val="22"/>
        </w:rPr>
      </w:pPr>
      <w:r w:rsidRPr="009B53FE">
        <w:rPr>
          <w:sz w:val="22"/>
          <w:szCs w:val="22"/>
        </w:rPr>
        <w:t>Para a Tailândia, as exportações cresceram 52,7%, chegando a US$ 139,88 milhões. O principal produto responsável pelo incremento das exportações ao país foi a soja em grão. As vendas externas da oleaginosa à Tailândia subiram de US$ 12,93 milhões em outubro de 2018 para US$ 78,23 milhões em outubro de 2019 (+505,0%).</w:t>
      </w:r>
    </w:p>
    <w:p w14:paraId="7878CA7B" w14:textId="77777777" w:rsidR="009B53FE" w:rsidRPr="00161E3F" w:rsidRDefault="009B53FE" w:rsidP="00EB665F">
      <w:pPr>
        <w:pStyle w:val="Recuodecorpodetexto"/>
        <w:rPr>
          <w:rFonts w:ascii="Arial" w:hAnsi="Arial" w:cs="Arial"/>
          <w:sz w:val="20"/>
          <w:szCs w:val="20"/>
        </w:rPr>
      </w:pPr>
    </w:p>
    <w:p w14:paraId="79ADD71E" w14:textId="043B25DE" w:rsidR="004731CC" w:rsidRPr="00161E3F" w:rsidRDefault="00161E3F" w:rsidP="00AB2FF5">
      <w:pPr>
        <w:rPr>
          <w:rFonts w:ascii="Arial" w:hAnsi="Arial" w:cs="Arial"/>
          <w:sz w:val="20"/>
          <w:szCs w:val="20"/>
        </w:rPr>
      </w:pPr>
      <w:r w:rsidRPr="00161E3F">
        <w:rPr>
          <w:rFonts w:ascii="Arial" w:hAnsi="Arial" w:cs="Arial"/>
          <w:noProof/>
          <w:sz w:val="20"/>
          <w:szCs w:val="20"/>
        </w:rPr>
        <w:drawing>
          <wp:inline distT="0" distB="0" distL="0" distR="0" wp14:anchorId="6C287B68" wp14:editId="0BD820CD">
            <wp:extent cx="6480175" cy="3879215"/>
            <wp:effectExtent l="0" t="0" r="0" b="698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14:paraId="1D229FA6" w14:textId="77777777" w:rsidR="00202D83" w:rsidRPr="00161E3F" w:rsidRDefault="00202D83" w:rsidP="00AB2FF5">
      <w:pPr>
        <w:rPr>
          <w:rFonts w:ascii="Arial" w:hAnsi="Arial" w:cs="Arial"/>
          <w:sz w:val="20"/>
          <w:szCs w:val="20"/>
        </w:rPr>
      </w:pPr>
    </w:p>
    <w:p w14:paraId="54535F9F" w14:textId="77777777" w:rsidR="00826906" w:rsidRPr="00161E3F" w:rsidRDefault="00826906" w:rsidP="00AB2FF5">
      <w:pPr>
        <w:rPr>
          <w:rFonts w:ascii="Arial" w:hAnsi="Arial" w:cs="Arial"/>
          <w:sz w:val="20"/>
          <w:szCs w:val="20"/>
        </w:rPr>
      </w:pPr>
    </w:p>
    <w:p w14:paraId="1D883912" w14:textId="30D572D3" w:rsidR="003B632E" w:rsidRPr="00161E3F" w:rsidRDefault="003B632E" w:rsidP="003B632E">
      <w:pPr>
        <w:autoSpaceDE w:val="0"/>
        <w:autoSpaceDN w:val="0"/>
        <w:adjustRightInd w:val="0"/>
        <w:jc w:val="both"/>
        <w:rPr>
          <w:rFonts w:ascii="Arial" w:hAnsi="Arial" w:cs="Arial"/>
          <w:b/>
          <w:sz w:val="20"/>
          <w:szCs w:val="20"/>
        </w:rPr>
      </w:pPr>
      <w:r w:rsidRPr="00161E3F">
        <w:rPr>
          <w:rFonts w:ascii="Arial" w:hAnsi="Arial" w:cs="Arial"/>
          <w:b/>
          <w:sz w:val="20"/>
          <w:szCs w:val="20"/>
        </w:rPr>
        <w:t>II – Resultados do Ano (comparativo Janeiro-</w:t>
      </w:r>
      <w:r w:rsidR="00EB665F" w:rsidRPr="00161E3F">
        <w:rPr>
          <w:rFonts w:ascii="Arial" w:hAnsi="Arial" w:cs="Arial"/>
          <w:b/>
          <w:sz w:val="20"/>
          <w:szCs w:val="20"/>
        </w:rPr>
        <w:t>Outubro</w:t>
      </w:r>
      <w:r w:rsidR="007763E5" w:rsidRPr="00161E3F">
        <w:rPr>
          <w:rFonts w:ascii="Arial" w:hAnsi="Arial" w:cs="Arial"/>
          <w:b/>
          <w:sz w:val="20"/>
          <w:szCs w:val="20"/>
        </w:rPr>
        <w:t>/</w:t>
      </w:r>
      <w:r w:rsidR="007C6628" w:rsidRPr="00161E3F">
        <w:rPr>
          <w:rFonts w:ascii="Arial" w:hAnsi="Arial" w:cs="Arial"/>
          <w:b/>
          <w:sz w:val="20"/>
          <w:szCs w:val="20"/>
        </w:rPr>
        <w:t>2019</w:t>
      </w:r>
      <w:r w:rsidRPr="00161E3F">
        <w:rPr>
          <w:rFonts w:ascii="Arial" w:hAnsi="Arial" w:cs="Arial"/>
          <w:b/>
          <w:sz w:val="20"/>
          <w:szCs w:val="20"/>
        </w:rPr>
        <w:t xml:space="preserve"> – Janeiro-</w:t>
      </w:r>
      <w:r w:rsidR="00EB665F" w:rsidRPr="00161E3F">
        <w:rPr>
          <w:rFonts w:ascii="Arial" w:hAnsi="Arial" w:cs="Arial"/>
          <w:b/>
          <w:sz w:val="20"/>
          <w:szCs w:val="20"/>
        </w:rPr>
        <w:t>Outubro</w:t>
      </w:r>
      <w:r w:rsidRPr="00161E3F">
        <w:rPr>
          <w:rFonts w:ascii="Arial" w:hAnsi="Arial" w:cs="Arial"/>
          <w:b/>
          <w:sz w:val="20"/>
          <w:szCs w:val="20"/>
        </w:rPr>
        <w:t>/</w:t>
      </w:r>
      <w:r w:rsidR="007C6628" w:rsidRPr="00161E3F">
        <w:rPr>
          <w:rFonts w:ascii="Arial" w:hAnsi="Arial" w:cs="Arial"/>
          <w:b/>
          <w:sz w:val="20"/>
          <w:szCs w:val="20"/>
        </w:rPr>
        <w:t>2018</w:t>
      </w:r>
      <w:r w:rsidRPr="00161E3F">
        <w:rPr>
          <w:rFonts w:ascii="Arial" w:hAnsi="Arial" w:cs="Arial"/>
          <w:b/>
          <w:sz w:val="20"/>
          <w:szCs w:val="20"/>
        </w:rPr>
        <w:t>)</w:t>
      </w:r>
    </w:p>
    <w:p w14:paraId="06A59877" w14:textId="77777777" w:rsidR="00EB665F" w:rsidRPr="00161E3F" w:rsidRDefault="00EB665F" w:rsidP="00EB665F">
      <w:pPr>
        <w:pStyle w:val="Recuodecorpodetexto"/>
        <w:rPr>
          <w:rFonts w:ascii="Arial" w:hAnsi="Arial" w:cs="Arial"/>
          <w:sz w:val="20"/>
          <w:szCs w:val="20"/>
        </w:rPr>
      </w:pPr>
    </w:p>
    <w:p w14:paraId="19D6CE0C" w14:textId="00F5537A" w:rsidR="00EB665F" w:rsidRPr="009B53FE" w:rsidRDefault="002271DC" w:rsidP="00EB665F">
      <w:pPr>
        <w:pStyle w:val="Recuodecorpodetexto"/>
        <w:rPr>
          <w:sz w:val="22"/>
          <w:szCs w:val="22"/>
        </w:rPr>
      </w:pPr>
      <w:r w:rsidRPr="009B53FE">
        <w:rPr>
          <w:sz w:val="22"/>
          <w:szCs w:val="22"/>
        </w:rPr>
        <w:t xml:space="preserve">No acumulado do ano (janeiro a outubro) as exportações brasileiras do agronegócio somaram US$ </w:t>
      </w:r>
      <w:r w:rsidR="00E94857" w:rsidRPr="009B53FE">
        <w:rPr>
          <w:sz w:val="22"/>
          <w:szCs w:val="22"/>
        </w:rPr>
        <w:t>80,17</w:t>
      </w:r>
      <w:r w:rsidRPr="009B53FE">
        <w:rPr>
          <w:sz w:val="22"/>
          <w:szCs w:val="22"/>
        </w:rPr>
        <w:t xml:space="preserve"> bilhões, o que representou queda de 5,</w:t>
      </w:r>
      <w:r w:rsidR="00E94857" w:rsidRPr="009B53FE">
        <w:rPr>
          <w:sz w:val="22"/>
          <w:szCs w:val="22"/>
        </w:rPr>
        <w:t>3</w:t>
      </w:r>
      <w:r w:rsidRPr="009B53FE">
        <w:rPr>
          <w:sz w:val="22"/>
          <w:szCs w:val="22"/>
        </w:rPr>
        <w:t xml:space="preserve">% em relação ao mesmo período do ano anterior. Por outro lado, as importações alcançaram a cifra de US$ </w:t>
      </w:r>
      <w:r w:rsidR="00E94857" w:rsidRPr="009B53FE">
        <w:rPr>
          <w:sz w:val="22"/>
          <w:szCs w:val="22"/>
        </w:rPr>
        <w:t>11,48</w:t>
      </w:r>
      <w:r w:rsidRPr="009B53FE">
        <w:rPr>
          <w:sz w:val="22"/>
          <w:szCs w:val="22"/>
        </w:rPr>
        <w:t xml:space="preserve"> bilhões, isto é, 2,</w:t>
      </w:r>
      <w:r w:rsidR="00E94857" w:rsidRPr="009B53FE">
        <w:rPr>
          <w:sz w:val="22"/>
          <w:szCs w:val="22"/>
        </w:rPr>
        <w:t>1</w:t>
      </w:r>
      <w:r w:rsidRPr="009B53FE">
        <w:rPr>
          <w:sz w:val="22"/>
          <w:szCs w:val="22"/>
        </w:rPr>
        <w:t>% a menos em relação ao acumulado 2018.</w:t>
      </w:r>
      <w:r w:rsidR="002018BC" w:rsidRPr="009B53FE">
        <w:rPr>
          <w:sz w:val="22"/>
          <w:szCs w:val="22"/>
        </w:rPr>
        <w:t xml:space="preserve"> Como resultado, o saldo da balança comercial do setor foi superavitário em US$ </w:t>
      </w:r>
      <w:r w:rsidR="00E94857" w:rsidRPr="009B53FE">
        <w:rPr>
          <w:sz w:val="22"/>
          <w:szCs w:val="22"/>
        </w:rPr>
        <w:t>68,68</w:t>
      </w:r>
      <w:r w:rsidR="002018BC" w:rsidRPr="009B53FE">
        <w:rPr>
          <w:sz w:val="22"/>
          <w:szCs w:val="22"/>
        </w:rPr>
        <w:t xml:space="preserve"> bilhões.</w:t>
      </w:r>
    </w:p>
    <w:p w14:paraId="68B3274E" w14:textId="77777777" w:rsidR="003D07B0" w:rsidRPr="009B53FE" w:rsidRDefault="003D07B0" w:rsidP="00EB665F">
      <w:pPr>
        <w:pStyle w:val="Recuodecorpodetexto"/>
        <w:rPr>
          <w:sz w:val="20"/>
          <w:szCs w:val="20"/>
        </w:rPr>
      </w:pPr>
    </w:p>
    <w:p w14:paraId="60AB5A67" w14:textId="77777777" w:rsidR="00EB665F" w:rsidRPr="00161E3F" w:rsidRDefault="00EB665F" w:rsidP="00EB665F">
      <w:pPr>
        <w:pStyle w:val="Recuodecorpodetexto"/>
        <w:rPr>
          <w:rFonts w:ascii="Arial" w:hAnsi="Arial" w:cs="Arial"/>
          <w:sz w:val="20"/>
          <w:szCs w:val="20"/>
        </w:rPr>
      </w:pPr>
    </w:p>
    <w:p w14:paraId="01C7B8BE" w14:textId="40A109CD" w:rsidR="003B632E" w:rsidRPr="00161E3F" w:rsidRDefault="003B632E" w:rsidP="003B632E">
      <w:pPr>
        <w:pStyle w:val="Ttulo5"/>
        <w:autoSpaceDE/>
        <w:autoSpaceDN/>
        <w:adjustRightInd/>
        <w:rPr>
          <w:rFonts w:ascii="Arial" w:hAnsi="Arial" w:cs="Arial"/>
          <w:sz w:val="20"/>
          <w:szCs w:val="20"/>
        </w:rPr>
      </w:pPr>
      <w:proofErr w:type="spellStart"/>
      <w:r w:rsidRPr="00161E3F">
        <w:rPr>
          <w:rFonts w:ascii="Arial" w:hAnsi="Arial" w:cs="Arial"/>
          <w:sz w:val="20"/>
          <w:szCs w:val="20"/>
        </w:rPr>
        <w:t>II.a</w:t>
      </w:r>
      <w:proofErr w:type="spellEnd"/>
      <w:r w:rsidRPr="00161E3F">
        <w:rPr>
          <w:rFonts w:ascii="Arial" w:hAnsi="Arial" w:cs="Arial"/>
          <w:sz w:val="20"/>
          <w:szCs w:val="20"/>
        </w:rPr>
        <w:t xml:space="preserve"> – Setores do Agronegócio</w:t>
      </w:r>
    </w:p>
    <w:p w14:paraId="28B81C87" w14:textId="77777777" w:rsidR="00EB665F" w:rsidRPr="00161E3F" w:rsidRDefault="00EB665F" w:rsidP="00EB665F">
      <w:pPr>
        <w:pStyle w:val="Recuodecorpodetexto"/>
        <w:rPr>
          <w:rFonts w:ascii="Arial" w:hAnsi="Arial" w:cs="Arial"/>
          <w:sz w:val="20"/>
          <w:szCs w:val="20"/>
        </w:rPr>
      </w:pPr>
    </w:p>
    <w:p w14:paraId="3A2B2B3A" w14:textId="5FB06069" w:rsidR="00EB665F" w:rsidRPr="009B53FE" w:rsidRDefault="00F84289" w:rsidP="00EB665F">
      <w:pPr>
        <w:pStyle w:val="Recuodecorpodetexto"/>
        <w:rPr>
          <w:sz w:val="22"/>
          <w:szCs w:val="22"/>
        </w:rPr>
      </w:pPr>
      <w:r w:rsidRPr="009B53FE">
        <w:rPr>
          <w:sz w:val="22"/>
          <w:szCs w:val="22"/>
        </w:rPr>
        <w:t xml:space="preserve">Os produtos de origem vegetal foram os que mais contribuíram para a queda de US$ </w:t>
      </w:r>
      <w:r w:rsidR="00E94857" w:rsidRPr="009B53FE">
        <w:rPr>
          <w:sz w:val="22"/>
          <w:szCs w:val="22"/>
        </w:rPr>
        <w:t>4,5</w:t>
      </w:r>
      <w:r w:rsidRPr="009B53FE">
        <w:rPr>
          <w:sz w:val="22"/>
          <w:szCs w:val="22"/>
        </w:rPr>
        <w:t xml:space="preserve"> bilhões nas exportações dos produtos agropecuários no período</w:t>
      </w:r>
      <w:r w:rsidR="00CC0F6C" w:rsidRPr="009B53FE">
        <w:rPr>
          <w:sz w:val="22"/>
          <w:szCs w:val="22"/>
        </w:rPr>
        <w:t>, com redução 7,</w:t>
      </w:r>
      <w:r w:rsidR="00E94857" w:rsidRPr="009B53FE">
        <w:rPr>
          <w:sz w:val="22"/>
          <w:szCs w:val="22"/>
        </w:rPr>
        <w:t>4</w:t>
      </w:r>
      <w:r w:rsidR="00CC0F6C" w:rsidRPr="009B53FE">
        <w:rPr>
          <w:sz w:val="22"/>
          <w:szCs w:val="22"/>
        </w:rPr>
        <w:t xml:space="preserve">%. Os produtos de origem animal, por sua vez aumentaram as vendas externas em </w:t>
      </w:r>
      <w:r w:rsidR="00E94857" w:rsidRPr="009B53FE">
        <w:rPr>
          <w:sz w:val="22"/>
          <w:szCs w:val="22"/>
        </w:rPr>
        <w:t>4,2</w:t>
      </w:r>
      <w:r w:rsidR="00CC0F6C" w:rsidRPr="009B53FE">
        <w:rPr>
          <w:sz w:val="22"/>
          <w:szCs w:val="22"/>
        </w:rPr>
        <w:t>%, o que amenizou a redução das exportações.</w:t>
      </w:r>
    </w:p>
    <w:p w14:paraId="3C036A65" w14:textId="33F15DF0" w:rsidR="00CC0F6C" w:rsidRPr="009B53FE" w:rsidRDefault="00CC0F6C" w:rsidP="00EB665F">
      <w:pPr>
        <w:pStyle w:val="Recuodecorpodetexto"/>
        <w:rPr>
          <w:sz w:val="22"/>
          <w:szCs w:val="22"/>
        </w:rPr>
      </w:pPr>
    </w:p>
    <w:p w14:paraId="4DAD9B26" w14:textId="4461811E" w:rsidR="00CC0F6C" w:rsidRPr="009B53FE" w:rsidRDefault="00CC0F6C" w:rsidP="00EB665F">
      <w:pPr>
        <w:pStyle w:val="Recuodecorpodetexto"/>
        <w:rPr>
          <w:sz w:val="22"/>
          <w:szCs w:val="22"/>
        </w:rPr>
      </w:pPr>
      <w:r w:rsidRPr="009B53FE">
        <w:rPr>
          <w:sz w:val="22"/>
          <w:szCs w:val="22"/>
        </w:rPr>
        <w:t xml:space="preserve">Em relação ao valor exportado, o ranking dos setores foi liderado pelos produtos do complexo soja. </w:t>
      </w:r>
      <w:r w:rsidR="006F736C" w:rsidRPr="009B53FE">
        <w:rPr>
          <w:sz w:val="22"/>
          <w:szCs w:val="22"/>
        </w:rPr>
        <w:t>As vendas foram de US$ 28,40 bilhões nos dez primeiros meses do ano, dos quais 80,8% foram representados pela soja em grãos. Quando se compara ao mesmo período em 2018, o produto registrou retração de 22,5% em valor e 12,1%</w:t>
      </w:r>
      <w:r w:rsidR="00CD2280" w:rsidRPr="009B53FE">
        <w:rPr>
          <w:sz w:val="22"/>
          <w:szCs w:val="22"/>
        </w:rPr>
        <w:t xml:space="preserve"> na quantidade embarcada. </w:t>
      </w:r>
      <w:r w:rsidR="00616B41" w:rsidRPr="009B53FE">
        <w:rPr>
          <w:sz w:val="22"/>
          <w:szCs w:val="22"/>
        </w:rPr>
        <w:t>H</w:t>
      </w:r>
      <w:r w:rsidR="00CD2280" w:rsidRPr="009B53FE">
        <w:rPr>
          <w:sz w:val="22"/>
          <w:szCs w:val="22"/>
        </w:rPr>
        <w:t>ouve queda no preço médio do produto: de US$ 398 para US$ 351 por tonelada (-11,8%).</w:t>
      </w:r>
      <w:r w:rsidR="001629CA" w:rsidRPr="009B53FE">
        <w:rPr>
          <w:sz w:val="22"/>
          <w:szCs w:val="22"/>
        </w:rPr>
        <w:t xml:space="preserve"> </w:t>
      </w:r>
      <w:r w:rsidR="00DC29EB" w:rsidRPr="009B53FE">
        <w:rPr>
          <w:sz w:val="22"/>
          <w:szCs w:val="22"/>
        </w:rPr>
        <w:t xml:space="preserve">Tal redução decorreu, principalmente, da queda nas exportações brasileiras para a China (-US$ 6,25 bilhões), ainda que o país tenha se mantido como principal destino do produto, com 76,8% das aquisições de soja do Brasil. </w:t>
      </w:r>
      <w:r w:rsidR="001629CA" w:rsidRPr="009B53FE">
        <w:rPr>
          <w:sz w:val="22"/>
          <w:szCs w:val="22"/>
        </w:rPr>
        <w:t xml:space="preserve">Assim como o grão, houve redução nas vendas de farelo e óleo, com quedas de </w:t>
      </w:r>
      <w:r w:rsidR="00616B41" w:rsidRPr="009B53FE">
        <w:rPr>
          <w:sz w:val="22"/>
          <w:szCs w:val="22"/>
        </w:rPr>
        <w:t>14,3</w:t>
      </w:r>
      <w:r w:rsidR="001629CA" w:rsidRPr="009B53FE">
        <w:rPr>
          <w:sz w:val="22"/>
          <w:szCs w:val="22"/>
        </w:rPr>
        <w:t xml:space="preserve">% e </w:t>
      </w:r>
      <w:r w:rsidR="00616B41" w:rsidRPr="009B53FE">
        <w:rPr>
          <w:sz w:val="22"/>
          <w:szCs w:val="22"/>
        </w:rPr>
        <w:t>33,4</w:t>
      </w:r>
      <w:r w:rsidR="001629CA" w:rsidRPr="009B53FE">
        <w:rPr>
          <w:sz w:val="22"/>
          <w:szCs w:val="22"/>
        </w:rPr>
        <w:t>%, respectivamente.</w:t>
      </w:r>
    </w:p>
    <w:p w14:paraId="0A3797FF" w14:textId="11CED1B4" w:rsidR="00CC0F6C" w:rsidRPr="009B53FE" w:rsidRDefault="00CC0F6C" w:rsidP="00EB665F">
      <w:pPr>
        <w:pStyle w:val="Recuodecorpodetexto"/>
        <w:rPr>
          <w:sz w:val="22"/>
          <w:szCs w:val="22"/>
        </w:rPr>
      </w:pPr>
    </w:p>
    <w:p w14:paraId="464FA57B" w14:textId="6D6AB41F" w:rsidR="00CC0F6C" w:rsidRPr="009B53FE" w:rsidRDefault="00CC0F6C" w:rsidP="00EB665F">
      <w:pPr>
        <w:pStyle w:val="Recuodecorpodetexto"/>
        <w:rPr>
          <w:sz w:val="22"/>
          <w:szCs w:val="22"/>
        </w:rPr>
      </w:pPr>
      <w:r w:rsidRPr="009B53FE">
        <w:rPr>
          <w:sz w:val="22"/>
          <w:szCs w:val="22"/>
        </w:rPr>
        <w:t xml:space="preserve">Destacam-se, em seguida, as carnes, com US$ </w:t>
      </w:r>
      <w:r w:rsidR="00E94857" w:rsidRPr="009B53FE">
        <w:rPr>
          <w:sz w:val="22"/>
          <w:szCs w:val="22"/>
        </w:rPr>
        <w:t>13,03</w:t>
      </w:r>
      <w:r w:rsidRPr="009B53FE">
        <w:rPr>
          <w:sz w:val="22"/>
          <w:szCs w:val="22"/>
        </w:rPr>
        <w:t xml:space="preserve"> bilhões.</w:t>
      </w:r>
      <w:r w:rsidR="00DC0400" w:rsidRPr="009B53FE">
        <w:rPr>
          <w:sz w:val="22"/>
          <w:szCs w:val="22"/>
        </w:rPr>
        <w:t xml:space="preserve"> O principal produto do setor foi a carne bovina, com US$ 5,75 bilhões, seguindo da carne de frango, com US$ 5,66 bilhões.</w:t>
      </w:r>
      <w:r w:rsidR="00B671B1" w:rsidRPr="009B53FE">
        <w:rPr>
          <w:sz w:val="22"/>
          <w:szCs w:val="22"/>
        </w:rPr>
        <w:t xml:space="preserve"> </w:t>
      </w:r>
      <w:r w:rsidR="00911323" w:rsidRPr="009B53FE">
        <w:rPr>
          <w:sz w:val="22"/>
          <w:szCs w:val="22"/>
        </w:rPr>
        <w:t>A</w:t>
      </w:r>
      <w:r w:rsidR="00B671B1" w:rsidRPr="009B53FE">
        <w:rPr>
          <w:sz w:val="22"/>
          <w:szCs w:val="22"/>
        </w:rPr>
        <w:t xml:space="preserve"> carne bovina in natura alcançou recorde em valor e quantidade, com US$ 4,88 bilhões e 1,22 milhão de toneladas.</w:t>
      </w:r>
      <w:r w:rsidR="00911323" w:rsidRPr="009B53FE">
        <w:rPr>
          <w:sz w:val="22"/>
          <w:szCs w:val="22"/>
        </w:rPr>
        <w:t xml:space="preserve"> As exportações de carne suína somaram US$ 1,23 bilhão, o que representou crescimento de 24,8% em relação ao período janeiro-outubro/2018. Também houve crescimento no </w:t>
      </w:r>
      <w:r w:rsidR="00911323" w:rsidRPr="009B53FE">
        <w:rPr>
          <w:i/>
          <w:sz w:val="22"/>
          <w:szCs w:val="22"/>
        </w:rPr>
        <w:t>quantum</w:t>
      </w:r>
      <w:r w:rsidR="00911323" w:rsidRPr="009B53FE">
        <w:rPr>
          <w:sz w:val="22"/>
          <w:szCs w:val="22"/>
        </w:rPr>
        <w:t xml:space="preserve"> de carne suína, de 522,77 para 585,55 mil toneladas.</w:t>
      </w:r>
    </w:p>
    <w:p w14:paraId="23C13F92" w14:textId="47B0836E" w:rsidR="00672558" w:rsidRPr="009B53FE" w:rsidRDefault="00672558" w:rsidP="00EB665F">
      <w:pPr>
        <w:pStyle w:val="Recuodecorpodetexto"/>
        <w:rPr>
          <w:sz w:val="22"/>
          <w:szCs w:val="22"/>
        </w:rPr>
      </w:pPr>
    </w:p>
    <w:p w14:paraId="59AEE010" w14:textId="77C9F98E" w:rsidR="00672558" w:rsidRPr="009B53FE" w:rsidRDefault="00672558" w:rsidP="00EB665F">
      <w:pPr>
        <w:pStyle w:val="Recuodecorpodetexto"/>
        <w:rPr>
          <w:sz w:val="22"/>
          <w:szCs w:val="22"/>
        </w:rPr>
      </w:pPr>
      <w:r w:rsidRPr="009B53FE">
        <w:rPr>
          <w:sz w:val="22"/>
          <w:szCs w:val="22"/>
        </w:rPr>
        <w:t xml:space="preserve">Os produtos florestais registraram </w:t>
      </w:r>
      <w:r w:rsidR="00E94857" w:rsidRPr="009B53FE">
        <w:rPr>
          <w:sz w:val="22"/>
          <w:szCs w:val="22"/>
        </w:rPr>
        <w:t>11,01</w:t>
      </w:r>
      <w:r w:rsidRPr="009B53FE">
        <w:rPr>
          <w:sz w:val="22"/>
          <w:szCs w:val="22"/>
        </w:rPr>
        <w:t xml:space="preserve"> bilhões em exportações no acumulado do ano.</w:t>
      </w:r>
      <w:r w:rsidR="00736BC0" w:rsidRPr="009B53FE">
        <w:rPr>
          <w:sz w:val="22"/>
          <w:szCs w:val="22"/>
        </w:rPr>
        <w:t xml:space="preserve"> As vendas de celulose representaram quase 60% das exportações do setor, com US$ 6,55 bilhões. A quantidade </w:t>
      </w:r>
      <w:r w:rsidR="00F85E69" w:rsidRPr="009B53FE">
        <w:rPr>
          <w:sz w:val="22"/>
          <w:szCs w:val="22"/>
        </w:rPr>
        <w:t>embarcada</w:t>
      </w:r>
      <w:r w:rsidR="00736BC0" w:rsidRPr="009B53FE">
        <w:rPr>
          <w:sz w:val="22"/>
          <w:szCs w:val="22"/>
        </w:rPr>
        <w:t xml:space="preserve"> do produto alcançou o recorde de 12,63 milhões de toneladas</w:t>
      </w:r>
      <w:r w:rsidR="00AA75E3" w:rsidRPr="009B53FE">
        <w:rPr>
          <w:sz w:val="22"/>
          <w:szCs w:val="22"/>
        </w:rPr>
        <w:t xml:space="preserve"> (+0,9% ante 2018).</w:t>
      </w:r>
      <w:r w:rsidR="00DC29EB" w:rsidRPr="009B53FE">
        <w:rPr>
          <w:sz w:val="22"/>
          <w:szCs w:val="22"/>
        </w:rPr>
        <w:t xml:space="preserve"> Também houve queda em valor nas vendas de madeiras e suas obras (-6,3%), apesar do aumento da quantidade (+3,0%). As exportações de papel somaram US$ 1,66 bilhão</w:t>
      </w:r>
      <w:r w:rsidR="005A4EF2" w:rsidRPr="009B53FE">
        <w:rPr>
          <w:sz w:val="22"/>
          <w:szCs w:val="22"/>
        </w:rPr>
        <w:t>, ou seja +0,1%</w:t>
      </w:r>
      <w:r w:rsidR="00DC29EB" w:rsidRPr="009B53FE">
        <w:rPr>
          <w:sz w:val="22"/>
          <w:szCs w:val="22"/>
        </w:rPr>
        <w:t xml:space="preserve"> em comparação ao mesmo período do ano anterior</w:t>
      </w:r>
      <w:r w:rsidR="005A4EF2" w:rsidRPr="009B53FE">
        <w:rPr>
          <w:sz w:val="22"/>
          <w:szCs w:val="22"/>
        </w:rPr>
        <w:t>.</w:t>
      </w:r>
    </w:p>
    <w:p w14:paraId="6A893B15" w14:textId="2DAC944F" w:rsidR="00CC0F6C" w:rsidRPr="009B53FE" w:rsidRDefault="00CC0F6C" w:rsidP="00EB665F">
      <w:pPr>
        <w:pStyle w:val="Recuodecorpodetexto"/>
        <w:rPr>
          <w:sz w:val="22"/>
          <w:szCs w:val="22"/>
        </w:rPr>
      </w:pPr>
    </w:p>
    <w:p w14:paraId="50C261F5" w14:textId="213F3DF8" w:rsidR="00CC0F6C" w:rsidRPr="009B53FE" w:rsidRDefault="00CC0F6C" w:rsidP="00EB665F">
      <w:pPr>
        <w:pStyle w:val="Recuodecorpodetexto"/>
        <w:rPr>
          <w:sz w:val="22"/>
          <w:szCs w:val="22"/>
        </w:rPr>
      </w:pPr>
      <w:r w:rsidRPr="009B53FE">
        <w:rPr>
          <w:sz w:val="22"/>
          <w:szCs w:val="22"/>
        </w:rPr>
        <w:t xml:space="preserve">O setor de cereais, farinhas e preparações ocupou a </w:t>
      </w:r>
      <w:r w:rsidR="00672558" w:rsidRPr="009B53FE">
        <w:rPr>
          <w:sz w:val="22"/>
          <w:szCs w:val="22"/>
        </w:rPr>
        <w:t>quarta</w:t>
      </w:r>
      <w:r w:rsidRPr="009B53FE">
        <w:rPr>
          <w:sz w:val="22"/>
          <w:szCs w:val="22"/>
        </w:rPr>
        <w:t xml:space="preserve"> posição entre os setores exportadores do agro brasileiro, somando US$ </w:t>
      </w:r>
      <w:r w:rsidR="00E94857" w:rsidRPr="009B53FE">
        <w:rPr>
          <w:sz w:val="22"/>
          <w:szCs w:val="22"/>
        </w:rPr>
        <w:t>6,54</w:t>
      </w:r>
      <w:r w:rsidRPr="009B53FE">
        <w:rPr>
          <w:sz w:val="22"/>
          <w:szCs w:val="22"/>
        </w:rPr>
        <w:t xml:space="preserve"> bilhões no acumulado do ano.</w:t>
      </w:r>
      <w:r w:rsidR="00C60E4B" w:rsidRPr="009B53FE">
        <w:rPr>
          <w:sz w:val="22"/>
          <w:szCs w:val="22"/>
        </w:rPr>
        <w:t xml:space="preserve"> O milho, principal produto do setor, representou 90,6% desse montante, com o recorde de US$ 5,92 bilhões. O quantum também alcançou o recorde na série histórica, somando 34,72 milhões de toneladas exportadas.</w:t>
      </w:r>
      <w:r w:rsidR="000B2071" w:rsidRPr="009B53FE">
        <w:rPr>
          <w:sz w:val="22"/>
          <w:szCs w:val="22"/>
        </w:rPr>
        <w:t xml:space="preserve"> A expansão nas exportações para os países asiáticos foi determinante para o resultado das vendas de milho: Japão (+US$ 785,01 milhões); Coreia do Sul (+US$ 442,49 milhões), Taiwan (+US$ 346,02 milhões) e Vietnã (+US$ 302,08 milhões).</w:t>
      </w:r>
    </w:p>
    <w:p w14:paraId="118A3BAE" w14:textId="7F20432C" w:rsidR="00672558" w:rsidRPr="009B53FE" w:rsidRDefault="00672558" w:rsidP="00EB665F">
      <w:pPr>
        <w:pStyle w:val="Recuodecorpodetexto"/>
        <w:rPr>
          <w:sz w:val="22"/>
          <w:szCs w:val="22"/>
        </w:rPr>
      </w:pPr>
    </w:p>
    <w:p w14:paraId="13BDDB55" w14:textId="0BEC36EF" w:rsidR="00672558" w:rsidRPr="009B53FE" w:rsidRDefault="00672558" w:rsidP="00EB665F">
      <w:pPr>
        <w:pStyle w:val="Recuodecorpodetexto"/>
        <w:rPr>
          <w:sz w:val="22"/>
          <w:szCs w:val="22"/>
        </w:rPr>
      </w:pPr>
      <w:r w:rsidRPr="009B53FE">
        <w:rPr>
          <w:sz w:val="22"/>
          <w:szCs w:val="22"/>
        </w:rPr>
        <w:t xml:space="preserve">Por fim, cabe destacar o complexo sucroalcooleiro, com US$ </w:t>
      </w:r>
      <w:r w:rsidR="00E94857" w:rsidRPr="009B53FE">
        <w:rPr>
          <w:sz w:val="22"/>
          <w:szCs w:val="22"/>
        </w:rPr>
        <w:t>5,08</w:t>
      </w:r>
      <w:r w:rsidRPr="009B53FE">
        <w:rPr>
          <w:sz w:val="22"/>
          <w:szCs w:val="22"/>
        </w:rPr>
        <w:t xml:space="preserve"> bilhões em vendas externas.</w:t>
      </w:r>
      <w:r w:rsidR="00A57B3E" w:rsidRPr="009B53FE">
        <w:rPr>
          <w:sz w:val="22"/>
          <w:szCs w:val="22"/>
        </w:rPr>
        <w:t xml:space="preserve"> </w:t>
      </w:r>
      <w:r w:rsidR="00732D7B" w:rsidRPr="009B53FE">
        <w:rPr>
          <w:sz w:val="22"/>
          <w:szCs w:val="22"/>
        </w:rPr>
        <w:t xml:space="preserve">Desse montante, o açúcar teve 83,5% de </w:t>
      </w:r>
      <w:proofErr w:type="spellStart"/>
      <w:r w:rsidR="00732D7B" w:rsidRPr="009B53FE">
        <w:rPr>
          <w:sz w:val="22"/>
          <w:szCs w:val="22"/>
        </w:rPr>
        <w:t>share</w:t>
      </w:r>
      <w:proofErr w:type="spellEnd"/>
      <w:r w:rsidR="00732D7B" w:rsidRPr="009B53FE">
        <w:rPr>
          <w:sz w:val="22"/>
          <w:szCs w:val="22"/>
        </w:rPr>
        <w:t>, com US$ 4,25 bilhões. Contudo, em relação ao acumulado do ano anterior, houve redução de 23,2% em valor e 18,0% em quantidade. As exportações brasileiras de álcool etílico, por sua vez, apresentaram crescimento de 7,9% em valor, alcançando a cifra de US$ 825,05 milhões</w:t>
      </w:r>
      <w:r w:rsidR="004613FF" w:rsidRPr="009B53FE">
        <w:rPr>
          <w:sz w:val="22"/>
          <w:szCs w:val="22"/>
        </w:rPr>
        <w:t>, além da ampliação na quantidade em 11,3%.</w:t>
      </w:r>
    </w:p>
    <w:p w14:paraId="529257FF" w14:textId="5346B0B8" w:rsidR="00672558" w:rsidRPr="009B53FE" w:rsidRDefault="00672558" w:rsidP="00EB665F">
      <w:pPr>
        <w:pStyle w:val="Recuodecorpodetexto"/>
        <w:rPr>
          <w:sz w:val="22"/>
          <w:szCs w:val="22"/>
        </w:rPr>
      </w:pPr>
    </w:p>
    <w:p w14:paraId="59F66FF0" w14:textId="00043064" w:rsidR="00672558" w:rsidRPr="009B53FE" w:rsidRDefault="00672558" w:rsidP="00EB665F">
      <w:pPr>
        <w:pStyle w:val="Recuodecorpodetexto"/>
        <w:rPr>
          <w:sz w:val="22"/>
          <w:szCs w:val="22"/>
        </w:rPr>
      </w:pPr>
      <w:r w:rsidRPr="009B53FE">
        <w:rPr>
          <w:sz w:val="22"/>
          <w:szCs w:val="22"/>
        </w:rPr>
        <w:t xml:space="preserve">Em conjunto, os cinco setores previamente destacados somaram US$ </w:t>
      </w:r>
      <w:r w:rsidR="00E94857" w:rsidRPr="009B53FE">
        <w:rPr>
          <w:sz w:val="22"/>
          <w:szCs w:val="22"/>
        </w:rPr>
        <w:t>64,06</w:t>
      </w:r>
      <w:r w:rsidRPr="009B53FE">
        <w:rPr>
          <w:sz w:val="22"/>
          <w:szCs w:val="22"/>
        </w:rPr>
        <w:t xml:space="preserve"> bilhões, isto é, </w:t>
      </w:r>
      <w:r w:rsidR="00E94857" w:rsidRPr="009B53FE">
        <w:rPr>
          <w:sz w:val="22"/>
          <w:szCs w:val="22"/>
        </w:rPr>
        <w:t>8</w:t>
      </w:r>
      <w:r w:rsidRPr="009B53FE">
        <w:rPr>
          <w:sz w:val="22"/>
          <w:szCs w:val="22"/>
        </w:rPr>
        <w:t xml:space="preserve">,3% inferiores ao que havia sido registrado em 2018. </w:t>
      </w:r>
      <w:r w:rsidR="00E94857" w:rsidRPr="009B53FE">
        <w:rPr>
          <w:sz w:val="22"/>
          <w:szCs w:val="22"/>
        </w:rPr>
        <w:t>Por outro lado, a</w:t>
      </w:r>
      <w:r w:rsidRPr="009B53FE">
        <w:rPr>
          <w:sz w:val="22"/>
          <w:szCs w:val="22"/>
        </w:rPr>
        <w:t xml:space="preserve"> queda das exportações do complexo soja resultou na redução da concentração da pauta exportadora do agronegócio brasileiro</w:t>
      </w:r>
      <w:r w:rsidR="00E94857" w:rsidRPr="009B53FE">
        <w:rPr>
          <w:sz w:val="22"/>
          <w:szCs w:val="22"/>
        </w:rPr>
        <w:t xml:space="preserve"> em torno dos cinco principais setores exportadores</w:t>
      </w:r>
      <w:r w:rsidRPr="009B53FE">
        <w:rPr>
          <w:sz w:val="22"/>
          <w:szCs w:val="22"/>
        </w:rPr>
        <w:t>, pass</w:t>
      </w:r>
      <w:r w:rsidR="00E94857" w:rsidRPr="009B53FE">
        <w:rPr>
          <w:sz w:val="22"/>
          <w:szCs w:val="22"/>
        </w:rPr>
        <w:t>ando</w:t>
      </w:r>
      <w:r w:rsidRPr="009B53FE">
        <w:rPr>
          <w:sz w:val="22"/>
          <w:szCs w:val="22"/>
        </w:rPr>
        <w:t xml:space="preserve"> de 8</w:t>
      </w:r>
      <w:r w:rsidR="00E94857" w:rsidRPr="009B53FE">
        <w:rPr>
          <w:sz w:val="22"/>
          <w:szCs w:val="22"/>
        </w:rPr>
        <w:t>2,5</w:t>
      </w:r>
      <w:r w:rsidRPr="009B53FE">
        <w:rPr>
          <w:sz w:val="22"/>
          <w:szCs w:val="22"/>
        </w:rPr>
        <w:t xml:space="preserve">% no período entre janeiro e outubro de 2018, para </w:t>
      </w:r>
      <w:r w:rsidR="00E94857" w:rsidRPr="009B53FE">
        <w:rPr>
          <w:sz w:val="22"/>
          <w:szCs w:val="22"/>
        </w:rPr>
        <w:t>79,9</w:t>
      </w:r>
      <w:r w:rsidRPr="009B53FE">
        <w:rPr>
          <w:sz w:val="22"/>
          <w:szCs w:val="22"/>
        </w:rPr>
        <w:t>% no mesmo período em 2019.</w:t>
      </w:r>
    </w:p>
    <w:p w14:paraId="16F524A7" w14:textId="558BE525" w:rsidR="00672558" w:rsidRPr="009B53FE" w:rsidRDefault="00672558" w:rsidP="00EB665F">
      <w:pPr>
        <w:pStyle w:val="Recuodecorpodetexto"/>
        <w:rPr>
          <w:sz w:val="22"/>
          <w:szCs w:val="22"/>
        </w:rPr>
      </w:pPr>
    </w:p>
    <w:p w14:paraId="11598CBC" w14:textId="3F1D16E4" w:rsidR="00C71DCD" w:rsidRPr="009B53FE" w:rsidRDefault="00C71DCD" w:rsidP="00EB665F">
      <w:pPr>
        <w:pStyle w:val="Recuodecorpodetexto"/>
        <w:rPr>
          <w:sz w:val="22"/>
          <w:szCs w:val="22"/>
        </w:rPr>
      </w:pPr>
      <w:r w:rsidRPr="009B53FE">
        <w:rPr>
          <w:sz w:val="22"/>
          <w:szCs w:val="22"/>
        </w:rPr>
        <w:t xml:space="preserve">Cabe ressaltar, ainda, </w:t>
      </w:r>
      <w:r w:rsidR="00736117" w:rsidRPr="009B53FE">
        <w:rPr>
          <w:sz w:val="22"/>
          <w:szCs w:val="22"/>
        </w:rPr>
        <w:t xml:space="preserve">que apesar do setor de café não ter se destacado entre os cinco principais setores do agronegócio, houve </w:t>
      </w:r>
      <w:r w:rsidRPr="009B53FE">
        <w:rPr>
          <w:sz w:val="22"/>
          <w:szCs w:val="22"/>
        </w:rPr>
        <w:t xml:space="preserve">recorde de exportações nas vendas de café verde, </w:t>
      </w:r>
      <w:r w:rsidR="009829C8" w:rsidRPr="009B53FE">
        <w:rPr>
          <w:sz w:val="22"/>
          <w:szCs w:val="22"/>
        </w:rPr>
        <w:t xml:space="preserve">cuja quantidade </w:t>
      </w:r>
      <w:r w:rsidR="00B14636" w:rsidRPr="009B53FE">
        <w:rPr>
          <w:sz w:val="22"/>
          <w:szCs w:val="22"/>
        </w:rPr>
        <w:t>foi recorde histórico</w:t>
      </w:r>
      <w:r w:rsidR="009829C8" w:rsidRPr="009B53FE">
        <w:rPr>
          <w:sz w:val="22"/>
          <w:szCs w:val="22"/>
        </w:rPr>
        <w:t xml:space="preserve"> (1,79 milhão)</w:t>
      </w:r>
      <w:r w:rsidR="00736117" w:rsidRPr="009B53FE">
        <w:rPr>
          <w:sz w:val="22"/>
          <w:szCs w:val="22"/>
        </w:rPr>
        <w:t xml:space="preserve">. O </w:t>
      </w:r>
      <w:r w:rsidR="009829C8" w:rsidRPr="009B53FE">
        <w:rPr>
          <w:sz w:val="22"/>
          <w:szCs w:val="22"/>
        </w:rPr>
        <w:t xml:space="preserve">algodão </w:t>
      </w:r>
      <w:r w:rsidR="00736117" w:rsidRPr="009B53FE">
        <w:rPr>
          <w:sz w:val="22"/>
          <w:szCs w:val="22"/>
        </w:rPr>
        <w:t>também</w:t>
      </w:r>
      <w:r w:rsidR="009829C8" w:rsidRPr="009B53FE">
        <w:rPr>
          <w:sz w:val="22"/>
          <w:szCs w:val="22"/>
        </w:rPr>
        <w:t xml:space="preserve"> registrou recorde</w:t>
      </w:r>
      <w:r w:rsidR="00736117" w:rsidRPr="009B53FE">
        <w:rPr>
          <w:sz w:val="22"/>
          <w:szCs w:val="22"/>
        </w:rPr>
        <w:t>,</w:t>
      </w:r>
      <w:r w:rsidR="009829C8" w:rsidRPr="009B53FE">
        <w:rPr>
          <w:sz w:val="22"/>
          <w:szCs w:val="22"/>
        </w:rPr>
        <w:t xml:space="preserve"> tanto em valor (US$ 1,72 bilhão), quanto em quantidade (1,04 milhão de tonelada).</w:t>
      </w:r>
    </w:p>
    <w:p w14:paraId="3B3E1BCA" w14:textId="77777777" w:rsidR="00C71DCD" w:rsidRPr="009B53FE" w:rsidRDefault="00C71DCD" w:rsidP="00EB665F">
      <w:pPr>
        <w:pStyle w:val="Recuodecorpodetexto"/>
        <w:rPr>
          <w:sz w:val="22"/>
          <w:szCs w:val="22"/>
        </w:rPr>
      </w:pPr>
    </w:p>
    <w:p w14:paraId="72E2AB68" w14:textId="3F111175" w:rsidR="00672558" w:rsidRPr="009B53FE" w:rsidRDefault="00690FF7" w:rsidP="00EB665F">
      <w:pPr>
        <w:pStyle w:val="Recuodecorpodetexto"/>
        <w:rPr>
          <w:sz w:val="22"/>
          <w:szCs w:val="22"/>
        </w:rPr>
      </w:pPr>
      <w:r w:rsidRPr="009B53FE">
        <w:rPr>
          <w:sz w:val="22"/>
          <w:szCs w:val="22"/>
        </w:rPr>
        <w:t>No conjunto de produtos do agronegócio importados</w:t>
      </w:r>
      <w:r w:rsidR="00F60726" w:rsidRPr="009B53FE">
        <w:rPr>
          <w:sz w:val="22"/>
          <w:szCs w:val="22"/>
        </w:rPr>
        <w:t xml:space="preserve"> pelo Brasil, cabe destacar as aquisições de </w:t>
      </w:r>
      <w:r w:rsidR="008F55D2" w:rsidRPr="009B53FE">
        <w:rPr>
          <w:sz w:val="22"/>
          <w:szCs w:val="22"/>
        </w:rPr>
        <w:t>trigo (</w:t>
      </w:r>
      <w:r w:rsidR="006344AE" w:rsidRPr="009B53FE">
        <w:rPr>
          <w:sz w:val="22"/>
          <w:szCs w:val="22"/>
        </w:rPr>
        <w:t>US$ 1,27 bilhão, +2,3%</w:t>
      </w:r>
      <w:r w:rsidR="008F55D2" w:rsidRPr="009B53FE">
        <w:rPr>
          <w:sz w:val="22"/>
          <w:szCs w:val="22"/>
        </w:rPr>
        <w:t>); papel (</w:t>
      </w:r>
      <w:r w:rsidR="006344AE" w:rsidRPr="009B53FE">
        <w:rPr>
          <w:sz w:val="22"/>
          <w:szCs w:val="22"/>
        </w:rPr>
        <w:t>US$ 729,48 milhões, -5,2%</w:t>
      </w:r>
      <w:r w:rsidR="008F55D2" w:rsidRPr="009B53FE">
        <w:rPr>
          <w:sz w:val="22"/>
          <w:szCs w:val="22"/>
        </w:rPr>
        <w:t>); álcool etílico (</w:t>
      </w:r>
      <w:r w:rsidR="006344AE" w:rsidRPr="009B53FE">
        <w:rPr>
          <w:sz w:val="22"/>
          <w:szCs w:val="22"/>
        </w:rPr>
        <w:t>US$ 504,38 milhões, -18%</w:t>
      </w:r>
      <w:r w:rsidR="008F55D2" w:rsidRPr="009B53FE">
        <w:rPr>
          <w:sz w:val="22"/>
          <w:szCs w:val="22"/>
        </w:rPr>
        <w:t>); malte (</w:t>
      </w:r>
      <w:r w:rsidR="004548BB" w:rsidRPr="009B53FE">
        <w:rPr>
          <w:sz w:val="22"/>
          <w:szCs w:val="22"/>
        </w:rPr>
        <w:t>US$ 445,88 milhões, 39,7%</w:t>
      </w:r>
      <w:r w:rsidR="008F55D2" w:rsidRPr="009B53FE">
        <w:rPr>
          <w:sz w:val="22"/>
          <w:szCs w:val="22"/>
        </w:rPr>
        <w:t>); salmões frescos ou refrigerados (</w:t>
      </w:r>
      <w:r w:rsidR="004548BB" w:rsidRPr="009B53FE">
        <w:rPr>
          <w:sz w:val="22"/>
          <w:szCs w:val="22"/>
        </w:rPr>
        <w:t>US$ 439,62 milhões, +4,6%</w:t>
      </w:r>
      <w:r w:rsidR="008F55D2" w:rsidRPr="009B53FE">
        <w:rPr>
          <w:sz w:val="22"/>
          <w:szCs w:val="22"/>
        </w:rPr>
        <w:t>); azeite de oliva (</w:t>
      </w:r>
      <w:r w:rsidR="004548BB" w:rsidRPr="009B53FE">
        <w:rPr>
          <w:sz w:val="22"/>
          <w:szCs w:val="22"/>
        </w:rPr>
        <w:t>US$ 326,2 milhões, -10,3%</w:t>
      </w:r>
      <w:r w:rsidR="008F55D2" w:rsidRPr="009B53FE">
        <w:rPr>
          <w:sz w:val="22"/>
          <w:szCs w:val="22"/>
        </w:rPr>
        <w:t>); vinho (</w:t>
      </w:r>
      <w:r w:rsidR="004548BB" w:rsidRPr="009B53FE">
        <w:rPr>
          <w:sz w:val="22"/>
          <w:szCs w:val="22"/>
        </w:rPr>
        <w:t>US$ 307,20 milhões, -0,8%</w:t>
      </w:r>
      <w:r w:rsidR="008F55D2" w:rsidRPr="009B53FE">
        <w:rPr>
          <w:sz w:val="22"/>
          <w:szCs w:val="22"/>
        </w:rPr>
        <w:t>)</w:t>
      </w:r>
      <w:r w:rsidR="004548BB" w:rsidRPr="009B53FE">
        <w:rPr>
          <w:sz w:val="22"/>
          <w:szCs w:val="22"/>
        </w:rPr>
        <w:t xml:space="preserve"> e</w:t>
      </w:r>
      <w:r w:rsidR="008F55D2" w:rsidRPr="009B53FE">
        <w:rPr>
          <w:sz w:val="22"/>
          <w:szCs w:val="22"/>
        </w:rPr>
        <w:t xml:space="preserve"> borracha natural (</w:t>
      </w:r>
      <w:r w:rsidR="004548BB" w:rsidRPr="009B53FE">
        <w:rPr>
          <w:sz w:val="22"/>
          <w:szCs w:val="22"/>
        </w:rPr>
        <w:t>US$ 281,50 milhões, -5,7%</w:t>
      </w:r>
      <w:r w:rsidR="008F55D2" w:rsidRPr="009B53FE">
        <w:rPr>
          <w:sz w:val="22"/>
          <w:szCs w:val="22"/>
        </w:rPr>
        <w:t>).</w:t>
      </w:r>
    </w:p>
    <w:p w14:paraId="5E81C52E" w14:textId="33765F23" w:rsidR="00CC0F6C" w:rsidRPr="009B53FE" w:rsidRDefault="00CC0F6C" w:rsidP="00EB665F">
      <w:pPr>
        <w:pStyle w:val="Recuodecorpodetexto"/>
        <w:rPr>
          <w:sz w:val="20"/>
          <w:szCs w:val="20"/>
        </w:rPr>
      </w:pPr>
    </w:p>
    <w:p w14:paraId="5F2C8AFE" w14:textId="77777777" w:rsidR="00CC0F6C" w:rsidRDefault="00CC0F6C" w:rsidP="00EB665F">
      <w:pPr>
        <w:pStyle w:val="Recuodecorpodetexto"/>
        <w:rPr>
          <w:rFonts w:ascii="Arial" w:hAnsi="Arial" w:cs="Arial"/>
          <w:sz w:val="20"/>
          <w:szCs w:val="20"/>
        </w:rPr>
      </w:pPr>
    </w:p>
    <w:p w14:paraId="5605B4AE" w14:textId="77777777" w:rsidR="00CC0F6C" w:rsidRPr="00161E3F" w:rsidRDefault="00CC0F6C" w:rsidP="00EB665F">
      <w:pPr>
        <w:pStyle w:val="Recuodecorpodetexto"/>
        <w:rPr>
          <w:rFonts w:ascii="Arial" w:hAnsi="Arial" w:cs="Arial"/>
          <w:sz w:val="20"/>
          <w:szCs w:val="20"/>
        </w:rPr>
      </w:pPr>
    </w:p>
    <w:p w14:paraId="25263527" w14:textId="77777777" w:rsidR="00EB665F" w:rsidRPr="00161E3F" w:rsidRDefault="00EB665F" w:rsidP="00EB665F">
      <w:pPr>
        <w:pStyle w:val="Recuodecorpodetexto"/>
        <w:rPr>
          <w:rFonts w:ascii="Arial" w:hAnsi="Arial" w:cs="Arial"/>
          <w:sz w:val="20"/>
          <w:szCs w:val="20"/>
        </w:rPr>
      </w:pPr>
    </w:p>
    <w:p w14:paraId="64A264AA" w14:textId="46ACA198" w:rsidR="002B1A0F" w:rsidRPr="00161E3F" w:rsidRDefault="00161E3F" w:rsidP="003B632E">
      <w:pPr>
        <w:rPr>
          <w:rFonts w:ascii="Arial" w:hAnsi="Arial" w:cs="Arial"/>
          <w:sz w:val="20"/>
          <w:szCs w:val="20"/>
        </w:rPr>
      </w:pPr>
      <w:r w:rsidRPr="00161E3F">
        <w:rPr>
          <w:rFonts w:ascii="Arial" w:hAnsi="Arial" w:cs="Arial"/>
          <w:noProof/>
          <w:sz w:val="20"/>
          <w:szCs w:val="20"/>
        </w:rPr>
        <w:lastRenderedPageBreak/>
        <w:drawing>
          <wp:inline distT="0" distB="0" distL="0" distR="0" wp14:anchorId="67C03043" wp14:editId="4C7F8D3E">
            <wp:extent cx="6480175" cy="385508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855085"/>
                    </a:xfrm>
                    <a:prstGeom prst="rect">
                      <a:avLst/>
                    </a:prstGeom>
                  </pic:spPr>
                </pic:pic>
              </a:graphicData>
            </a:graphic>
          </wp:inline>
        </w:drawing>
      </w:r>
    </w:p>
    <w:p w14:paraId="2D5CF73F" w14:textId="4C11B606" w:rsidR="00B8451B" w:rsidRPr="00161E3F" w:rsidRDefault="00B8451B" w:rsidP="003B632E">
      <w:pPr>
        <w:pStyle w:val="Ttulo5"/>
        <w:autoSpaceDE/>
        <w:autoSpaceDN/>
        <w:adjustRightInd/>
        <w:rPr>
          <w:rFonts w:ascii="Arial" w:hAnsi="Arial" w:cs="Arial"/>
          <w:sz w:val="20"/>
          <w:szCs w:val="20"/>
        </w:rPr>
      </w:pPr>
      <w:bookmarkStart w:id="0" w:name="OLE_LINK1"/>
    </w:p>
    <w:p w14:paraId="5E68A0C8" w14:textId="77777777" w:rsidR="00B515BB" w:rsidRPr="00161E3F" w:rsidRDefault="00B515BB" w:rsidP="00EC2456">
      <w:pPr>
        <w:rPr>
          <w:rFonts w:ascii="Arial" w:hAnsi="Arial" w:cs="Arial"/>
          <w:sz w:val="20"/>
          <w:szCs w:val="20"/>
        </w:rPr>
      </w:pPr>
    </w:p>
    <w:p w14:paraId="6285E6EE" w14:textId="77777777" w:rsidR="003B632E" w:rsidRPr="00161E3F" w:rsidRDefault="003B632E" w:rsidP="003B632E">
      <w:pPr>
        <w:pStyle w:val="Ttulo5"/>
        <w:autoSpaceDE/>
        <w:autoSpaceDN/>
        <w:adjustRightInd/>
        <w:rPr>
          <w:rFonts w:ascii="Arial" w:hAnsi="Arial" w:cs="Arial"/>
          <w:sz w:val="20"/>
          <w:szCs w:val="20"/>
        </w:rPr>
      </w:pPr>
      <w:proofErr w:type="spellStart"/>
      <w:r w:rsidRPr="00161E3F">
        <w:rPr>
          <w:rFonts w:ascii="Arial" w:hAnsi="Arial" w:cs="Arial"/>
          <w:sz w:val="20"/>
          <w:szCs w:val="20"/>
        </w:rPr>
        <w:t>II.b</w:t>
      </w:r>
      <w:proofErr w:type="spellEnd"/>
      <w:r w:rsidRPr="00161E3F">
        <w:rPr>
          <w:rFonts w:ascii="Arial" w:hAnsi="Arial" w:cs="Arial"/>
          <w:sz w:val="20"/>
          <w:szCs w:val="20"/>
        </w:rPr>
        <w:t xml:space="preserve"> – Blocos Econômicos e Regiões Geográficas</w:t>
      </w:r>
    </w:p>
    <w:p w14:paraId="45D1CDEB" w14:textId="77777777" w:rsidR="00EB665F" w:rsidRPr="00161E3F" w:rsidRDefault="00EB665F" w:rsidP="00EB665F">
      <w:pPr>
        <w:pStyle w:val="Recuodecorpodetexto"/>
        <w:rPr>
          <w:rFonts w:ascii="Arial" w:hAnsi="Arial" w:cs="Arial"/>
          <w:sz w:val="20"/>
          <w:szCs w:val="20"/>
        </w:rPr>
      </w:pPr>
    </w:p>
    <w:p w14:paraId="40755883" w14:textId="77777777" w:rsidR="00047247" w:rsidRPr="009B53FE" w:rsidRDefault="00B515BB" w:rsidP="00EB665F">
      <w:pPr>
        <w:pStyle w:val="Recuodecorpodetexto"/>
        <w:rPr>
          <w:sz w:val="22"/>
          <w:szCs w:val="22"/>
        </w:rPr>
      </w:pPr>
      <w:r w:rsidRPr="009B53FE">
        <w:rPr>
          <w:sz w:val="22"/>
          <w:szCs w:val="22"/>
        </w:rPr>
        <w:t>A Ásia se manteve como principal destino das exportações do agronegócio brasileiro no acumulado do ano. Conforme mencionado na seção anterior, o aumento das exportações de milho para a região foram destaque (+317,5%), sendo responsáveis por amenizar a queda nas vendas decorrente da soja em grãos (-24,0%).</w:t>
      </w:r>
      <w:r w:rsidR="000B1EFC" w:rsidRPr="009B53FE">
        <w:rPr>
          <w:sz w:val="22"/>
          <w:szCs w:val="22"/>
        </w:rPr>
        <w:t xml:space="preserve"> </w:t>
      </w:r>
    </w:p>
    <w:p w14:paraId="2B88B431" w14:textId="77777777" w:rsidR="00047247" w:rsidRPr="009B53FE" w:rsidRDefault="00047247" w:rsidP="00EB665F">
      <w:pPr>
        <w:pStyle w:val="Recuodecorpodetexto"/>
        <w:rPr>
          <w:sz w:val="22"/>
          <w:szCs w:val="22"/>
        </w:rPr>
      </w:pPr>
    </w:p>
    <w:p w14:paraId="1CD5856B" w14:textId="01E246B1" w:rsidR="00EB665F" w:rsidRPr="009B53FE" w:rsidRDefault="000B1EFC" w:rsidP="00EB665F">
      <w:pPr>
        <w:pStyle w:val="Recuodecorpodetexto"/>
        <w:rPr>
          <w:sz w:val="22"/>
          <w:szCs w:val="22"/>
        </w:rPr>
      </w:pPr>
      <w:r w:rsidRPr="009B53FE">
        <w:rPr>
          <w:sz w:val="22"/>
          <w:szCs w:val="22"/>
        </w:rPr>
        <w:t>As exportações brasileiras para a União Europeia sofreram redução de 4,6%, com US$ 14,12 bilhões entre janeiro e outubro de 2019</w:t>
      </w:r>
      <w:r w:rsidR="00047247" w:rsidRPr="009B53FE">
        <w:rPr>
          <w:sz w:val="22"/>
          <w:szCs w:val="22"/>
        </w:rPr>
        <w:t xml:space="preserve">, principalmente em função da que da nas vendas de celulose (-US$ 332,75 milhões), soja em grãos (-US$ 254,86 milhões) e farelo de soja (-US$ 220,52 milhões). </w:t>
      </w:r>
      <w:r w:rsidR="007A1B47" w:rsidRPr="009B53FE">
        <w:rPr>
          <w:sz w:val="22"/>
          <w:szCs w:val="22"/>
        </w:rPr>
        <w:t>Por outro lado, houve ampliação nas exportações para o NAFTA (+7,6%), Oriente Médio (+5,9%), ALADI - exclusive MERCOSUL (</w:t>
      </w:r>
      <w:r w:rsidR="003E61BE" w:rsidRPr="009B53FE">
        <w:rPr>
          <w:sz w:val="22"/>
          <w:szCs w:val="22"/>
        </w:rPr>
        <w:t>+</w:t>
      </w:r>
      <w:r w:rsidR="007A1B47" w:rsidRPr="009B53FE">
        <w:rPr>
          <w:sz w:val="22"/>
          <w:szCs w:val="22"/>
        </w:rPr>
        <w:t>12,7%), Europa Oriental (+12,0%) e Oceania (+18,6%).</w:t>
      </w:r>
    </w:p>
    <w:p w14:paraId="466C1391" w14:textId="77777777" w:rsidR="00EB665F" w:rsidRPr="00161E3F" w:rsidRDefault="00EB665F" w:rsidP="00EB665F">
      <w:pPr>
        <w:pStyle w:val="Recuodecorpodetexto"/>
        <w:rPr>
          <w:rFonts w:ascii="Arial" w:hAnsi="Arial" w:cs="Arial"/>
          <w:sz w:val="20"/>
          <w:szCs w:val="20"/>
        </w:rPr>
      </w:pPr>
    </w:p>
    <w:p w14:paraId="3557B94A" w14:textId="1B6ED106" w:rsidR="003B632E" w:rsidRPr="00161E3F" w:rsidRDefault="00161E3F" w:rsidP="003B632E">
      <w:pPr>
        <w:jc w:val="both"/>
        <w:rPr>
          <w:rFonts w:ascii="Arial" w:hAnsi="Arial" w:cs="Arial"/>
          <w:sz w:val="20"/>
          <w:szCs w:val="20"/>
        </w:rPr>
      </w:pPr>
      <w:r w:rsidRPr="00161E3F">
        <w:rPr>
          <w:rFonts w:ascii="Arial" w:hAnsi="Arial" w:cs="Arial"/>
          <w:noProof/>
          <w:sz w:val="20"/>
          <w:szCs w:val="20"/>
        </w:rPr>
        <w:drawing>
          <wp:inline distT="0" distB="0" distL="0" distR="0" wp14:anchorId="05559ABD" wp14:editId="5D96D80B">
            <wp:extent cx="6480175" cy="234823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14:paraId="016C26C6" w14:textId="0CC684F7" w:rsidR="003B632E" w:rsidRDefault="003B632E" w:rsidP="003B632E">
      <w:pPr>
        <w:pStyle w:val="Ttulo5"/>
        <w:autoSpaceDE/>
        <w:autoSpaceDN/>
        <w:adjustRightInd/>
        <w:rPr>
          <w:rFonts w:ascii="Arial" w:hAnsi="Arial" w:cs="Arial"/>
          <w:sz w:val="20"/>
          <w:szCs w:val="20"/>
        </w:rPr>
      </w:pPr>
    </w:p>
    <w:p w14:paraId="36E7A164" w14:textId="77777777" w:rsidR="00047247" w:rsidRPr="00047247" w:rsidRDefault="00047247" w:rsidP="00047247"/>
    <w:p w14:paraId="2D183A12" w14:textId="77777777" w:rsidR="003B632E" w:rsidRPr="00161E3F" w:rsidRDefault="003B632E" w:rsidP="003B632E">
      <w:pPr>
        <w:pStyle w:val="Ttulo5"/>
        <w:autoSpaceDE/>
        <w:autoSpaceDN/>
        <w:adjustRightInd/>
        <w:rPr>
          <w:rFonts w:ascii="Arial" w:hAnsi="Arial" w:cs="Arial"/>
          <w:sz w:val="20"/>
          <w:szCs w:val="20"/>
        </w:rPr>
      </w:pPr>
      <w:proofErr w:type="spellStart"/>
      <w:r w:rsidRPr="00161E3F">
        <w:rPr>
          <w:rFonts w:ascii="Arial" w:hAnsi="Arial" w:cs="Arial"/>
          <w:sz w:val="20"/>
          <w:szCs w:val="20"/>
        </w:rPr>
        <w:t>II.c</w:t>
      </w:r>
      <w:proofErr w:type="spellEnd"/>
      <w:r w:rsidRPr="00161E3F">
        <w:rPr>
          <w:rFonts w:ascii="Arial" w:hAnsi="Arial" w:cs="Arial"/>
          <w:sz w:val="20"/>
          <w:szCs w:val="20"/>
        </w:rPr>
        <w:t xml:space="preserve"> – Países</w:t>
      </w:r>
    </w:p>
    <w:bookmarkEnd w:id="0"/>
    <w:p w14:paraId="3B377645" w14:textId="77777777" w:rsidR="00EB665F" w:rsidRPr="00161E3F" w:rsidRDefault="00EB665F" w:rsidP="00EB665F">
      <w:pPr>
        <w:pStyle w:val="Recuodecorpodetexto"/>
        <w:rPr>
          <w:rFonts w:ascii="Arial" w:hAnsi="Arial" w:cs="Arial"/>
          <w:sz w:val="20"/>
          <w:szCs w:val="20"/>
        </w:rPr>
      </w:pPr>
    </w:p>
    <w:p w14:paraId="432C232E" w14:textId="77777777" w:rsidR="00C57884" w:rsidRPr="009B53FE" w:rsidRDefault="00163E30" w:rsidP="00EB665F">
      <w:pPr>
        <w:pStyle w:val="Recuodecorpodetexto"/>
        <w:rPr>
          <w:sz w:val="22"/>
          <w:szCs w:val="22"/>
        </w:rPr>
      </w:pPr>
      <w:r w:rsidRPr="009B53FE">
        <w:rPr>
          <w:sz w:val="22"/>
          <w:szCs w:val="22"/>
        </w:rPr>
        <w:t>A China, principal destino das exportações brasileiras de produtos agropecuários registrou queda de 15,6%</w:t>
      </w:r>
      <w:r w:rsidR="00C57884" w:rsidRPr="009B53FE">
        <w:rPr>
          <w:sz w:val="22"/>
          <w:szCs w:val="22"/>
        </w:rPr>
        <w:t>, c</w:t>
      </w:r>
      <w:r w:rsidR="00747E83" w:rsidRPr="009B53FE">
        <w:rPr>
          <w:sz w:val="22"/>
          <w:szCs w:val="22"/>
        </w:rPr>
        <w:t xml:space="preserve">omo resultado </w:t>
      </w:r>
      <w:r w:rsidR="00C57884" w:rsidRPr="009B53FE">
        <w:rPr>
          <w:sz w:val="22"/>
          <w:szCs w:val="22"/>
        </w:rPr>
        <w:t xml:space="preserve">da redução das aquisições de soja em grãos (-26,2%). O </w:t>
      </w:r>
      <w:proofErr w:type="spellStart"/>
      <w:r w:rsidR="00C57884" w:rsidRPr="009B53FE">
        <w:rPr>
          <w:sz w:val="22"/>
          <w:szCs w:val="22"/>
        </w:rPr>
        <w:t>share</w:t>
      </w:r>
      <w:proofErr w:type="spellEnd"/>
      <w:r w:rsidR="00C57884" w:rsidRPr="009B53FE">
        <w:rPr>
          <w:sz w:val="22"/>
          <w:szCs w:val="22"/>
        </w:rPr>
        <w:t xml:space="preserve"> do país nas exportações passou de 35,7% entre janeiro e outubro de 2018, para 31,8% no mesmo período em 2019. </w:t>
      </w:r>
    </w:p>
    <w:p w14:paraId="50879C34" w14:textId="77777777" w:rsidR="00C57884" w:rsidRPr="009B53FE" w:rsidRDefault="00C57884" w:rsidP="00EB665F">
      <w:pPr>
        <w:pStyle w:val="Recuodecorpodetexto"/>
        <w:rPr>
          <w:sz w:val="22"/>
          <w:szCs w:val="22"/>
        </w:rPr>
      </w:pPr>
    </w:p>
    <w:p w14:paraId="6F8F058F" w14:textId="60BE932B" w:rsidR="006D0AE0" w:rsidRPr="009B53FE" w:rsidRDefault="006D0AE0" w:rsidP="006D0AE0">
      <w:pPr>
        <w:pStyle w:val="Recuodecorpodetexto"/>
        <w:rPr>
          <w:sz w:val="22"/>
          <w:szCs w:val="22"/>
        </w:rPr>
      </w:pPr>
      <w:r w:rsidRPr="009B53FE">
        <w:rPr>
          <w:sz w:val="22"/>
          <w:szCs w:val="22"/>
        </w:rPr>
        <w:t>Além da China, outros países que contribuíram para a queda de 5,3% nas exportações brasileiras do agronegócio no período foram: Países Baixos (-US$ 600,70 milhões), Índia (-US$ 515,30 milhões), Argentina (-US$ 363,38 milhões), Hong Kong (-US$ 359,25 milhões) e Venezuela (</w:t>
      </w:r>
      <w:r w:rsidR="003E61BE" w:rsidRPr="009B53FE">
        <w:rPr>
          <w:sz w:val="22"/>
          <w:szCs w:val="22"/>
        </w:rPr>
        <w:t>-</w:t>
      </w:r>
      <w:r w:rsidRPr="009B53FE">
        <w:rPr>
          <w:sz w:val="22"/>
          <w:szCs w:val="22"/>
        </w:rPr>
        <w:t>US$ 210,24 milhões).</w:t>
      </w:r>
    </w:p>
    <w:p w14:paraId="7946CB1F" w14:textId="77777777" w:rsidR="006D0AE0" w:rsidRPr="009B53FE" w:rsidRDefault="006D0AE0" w:rsidP="006D0AE0">
      <w:pPr>
        <w:pStyle w:val="Recuodecorpodetexto"/>
        <w:rPr>
          <w:sz w:val="22"/>
          <w:szCs w:val="22"/>
        </w:rPr>
      </w:pPr>
    </w:p>
    <w:p w14:paraId="59C111AD" w14:textId="2FFFBB37" w:rsidR="00EB665F" w:rsidRPr="009B53FE" w:rsidRDefault="00C57884" w:rsidP="00EB665F">
      <w:pPr>
        <w:pStyle w:val="Recuodecorpodetexto"/>
        <w:rPr>
          <w:sz w:val="22"/>
          <w:szCs w:val="22"/>
        </w:rPr>
      </w:pPr>
      <w:r w:rsidRPr="009B53FE">
        <w:rPr>
          <w:sz w:val="22"/>
          <w:szCs w:val="22"/>
        </w:rPr>
        <w:t>Por outro lado, as vendas brasileiras do agronegócio para os Estados Unidos aumentaram 7,4%, alcançando a cifra de US$ 5,88 bilhões. O crescimento nas exportações de celulose (+US$ 193,58 mi</w:t>
      </w:r>
      <w:r w:rsidR="006D0AE0" w:rsidRPr="009B53FE">
        <w:rPr>
          <w:sz w:val="22"/>
          <w:szCs w:val="22"/>
        </w:rPr>
        <w:t>l</w:t>
      </w:r>
      <w:r w:rsidRPr="009B53FE">
        <w:rPr>
          <w:sz w:val="22"/>
          <w:szCs w:val="22"/>
        </w:rPr>
        <w:t xml:space="preserve">hões), café verde </w:t>
      </w:r>
      <w:r w:rsidR="006D0AE0" w:rsidRPr="009B53FE">
        <w:rPr>
          <w:sz w:val="22"/>
          <w:szCs w:val="22"/>
        </w:rPr>
        <w:t xml:space="preserve">(+US$ 126,20 milhões) </w:t>
      </w:r>
      <w:r w:rsidRPr="009B53FE">
        <w:rPr>
          <w:sz w:val="22"/>
          <w:szCs w:val="22"/>
        </w:rPr>
        <w:t xml:space="preserve">e álcool etílico </w:t>
      </w:r>
      <w:r w:rsidR="006D0AE0" w:rsidRPr="009B53FE">
        <w:rPr>
          <w:sz w:val="22"/>
          <w:szCs w:val="22"/>
        </w:rPr>
        <w:t xml:space="preserve">(+US$ 105,91 milhões) </w:t>
      </w:r>
      <w:r w:rsidRPr="009B53FE">
        <w:rPr>
          <w:sz w:val="22"/>
          <w:szCs w:val="22"/>
        </w:rPr>
        <w:t xml:space="preserve">foram os principais responsáveis por esse resultado, compensando a queda de US$ </w:t>
      </w:r>
      <w:r w:rsidR="006D0AE0" w:rsidRPr="009B53FE">
        <w:rPr>
          <w:sz w:val="22"/>
          <w:szCs w:val="22"/>
        </w:rPr>
        <w:t>183</w:t>
      </w:r>
      <w:r w:rsidRPr="009B53FE">
        <w:rPr>
          <w:sz w:val="22"/>
          <w:szCs w:val="22"/>
        </w:rPr>
        <w:t xml:space="preserve"> milhões nas vendas de suco de laranja</w:t>
      </w:r>
      <w:r w:rsidR="006D0AE0" w:rsidRPr="009B53FE">
        <w:rPr>
          <w:sz w:val="22"/>
          <w:szCs w:val="22"/>
        </w:rPr>
        <w:t xml:space="preserve"> brasileiro ao país</w:t>
      </w:r>
      <w:r w:rsidRPr="009B53FE">
        <w:rPr>
          <w:sz w:val="22"/>
          <w:szCs w:val="22"/>
        </w:rPr>
        <w:t>.</w:t>
      </w:r>
    </w:p>
    <w:p w14:paraId="00BDF6A4" w14:textId="12AB93E6" w:rsidR="00767585" w:rsidRPr="009B53FE" w:rsidRDefault="00767585" w:rsidP="00EB665F">
      <w:pPr>
        <w:pStyle w:val="Recuodecorpodetexto"/>
        <w:rPr>
          <w:sz w:val="22"/>
          <w:szCs w:val="22"/>
        </w:rPr>
      </w:pPr>
    </w:p>
    <w:p w14:paraId="5B559960" w14:textId="31D7F347" w:rsidR="00767585" w:rsidRPr="009B53FE" w:rsidRDefault="00767585" w:rsidP="00EB665F">
      <w:pPr>
        <w:pStyle w:val="Recuodecorpodetexto"/>
        <w:rPr>
          <w:sz w:val="22"/>
          <w:szCs w:val="22"/>
        </w:rPr>
      </w:pPr>
      <w:r w:rsidRPr="009B53FE">
        <w:rPr>
          <w:sz w:val="22"/>
          <w:szCs w:val="22"/>
        </w:rPr>
        <w:t xml:space="preserve">Alguns países </w:t>
      </w:r>
      <w:r w:rsidR="00D17F84" w:rsidRPr="009B53FE">
        <w:rPr>
          <w:sz w:val="22"/>
          <w:szCs w:val="22"/>
        </w:rPr>
        <w:t xml:space="preserve">da relação dos vinte principais países importadores do agronegócio brasileiro, apresentados na tabela 6, </w:t>
      </w:r>
      <w:r w:rsidRPr="009B53FE">
        <w:rPr>
          <w:sz w:val="22"/>
          <w:szCs w:val="22"/>
        </w:rPr>
        <w:t xml:space="preserve">tiveram crescimento das </w:t>
      </w:r>
      <w:r w:rsidR="00D17F84" w:rsidRPr="009B53FE">
        <w:rPr>
          <w:sz w:val="22"/>
          <w:szCs w:val="22"/>
        </w:rPr>
        <w:t>aquisições de produtos do agronegócio brasileiro</w:t>
      </w:r>
      <w:r w:rsidRPr="009B53FE">
        <w:rPr>
          <w:sz w:val="22"/>
          <w:szCs w:val="22"/>
        </w:rPr>
        <w:t xml:space="preserve"> em patamar superior a dois dígitos: Japão (US$ 2,61 bilhões; +50,3%); Espanha (US$ 1,97 bilhão; +11,3%); Vietnã (US$ 1,47 bilhão; +21,2%); México (US$ 1,09 bilhão; +41,4%); </w:t>
      </w:r>
      <w:r w:rsidR="00D17F84" w:rsidRPr="009B53FE">
        <w:rPr>
          <w:sz w:val="22"/>
          <w:szCs w:val="22"/>
        </w:rPr>
        <w:t xml:space="preserve">e Rússia (US$ 1,06 bilhão ; +23,8%). </w:t>
      </w:r>
    </w:p>
    <w:p w14:paraId="730217F3" w14:textId="325DC3C2" w:rsidR="006D0AE0" w:rsidRDefault="006D0AE0" w:rsidP="00EB665F">
      <w:pPr>
        <w:pStyle w:val="Recuodecorpodetexto"/>
        <w:rPr>
          <w:rFonts w:ascii="Arial" w:hAnsi="Arial" w:cs="Arial"/>
          <w:sz w:val="20"/>
          <w:szCs w:val="20"/>
        </w:rPr>
      </w:pPr>
    </w:p>
    <w:p w14:paraId="5ED0072B" w14:textId="77777777" w:rsidR="00EB665F" w:rsidRPr="00161E3F" w:rsidRDefault="00EB665F" w:rsidP="00EB665F">
      <w:pPr>
        <w:pStyle w:val="Recuodecorpodetexto"/>
        <w:rPr>
          <w:rFonts w:ascii="Arial" w:hAnsi="Arial" w:cs="Arial"/>
          <w:sz w:val="20"/>
          <w:szCs w:val="20"/>
        </w:rPr>
      </w:pPr>
    </w:p>
    <w:p w14:paraId="42EC5B4F" w14:textId="565F22D9" w:rsidR="003B632E" w:rsidRPr="00161E3F" w:rsidRDefault="00161E3F" w:rsidP="003B632E">
      <w:pPr>
        <w:rPr>
          <w:rFonts w:ascii="Arial" w:hAnsi="Arial" w:cs="Arial"/>
          <w:sz w:val="20"/>
          <w:szCs w:val="20"/>
        </w:rPr>
      </w:pPr>
      <w:r w:rsidRPr="00161E3F">
        <w:rPr>
          <w:rFonts w:ascii="Arial" w:hAnsi="Arial" w:cs="Arial"/>
          <w:noProof/>
          <w:sz w:val="20"/>
          <w:szCs w:val="20"/>
        </w:rPr>
        <w:drawing>
          <wp:inline distT="0" distB="0" distL="0" distR="0" wp14:anchorId="1AC8C530" wp14:editId="2B5E2AD7">
            <wp:extent cx="6480175" cy="3879215"/>
            <wp:effectExtent l="0" t="0" r="0" b="698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p w14:paraId="0077B9D9" w14:textId="1FD10B87" w:rsidR="00C7675B" w:rsidRDefault="00C7675B" w:rsidP="003B632E">
      <w:pPr>
        <w:rPr>
          <w:rFonts w:ascii="Arial" w:hAnsi="Arial" w:cs="Arial"/>
          <w:sz w:val="20"/>
          <w:szCs w:val="20"/>
        </w:rPr>
      </w:pPr>
    </w:p>
    <w:p w14:paraId="31B3FF5B" w14:textId="77777777" w:rsidR="006D0AE0" w:rsidRPr="00161E3F" w:rsidRDefault="006D0AE0" w:rsidP="003B632E">
      <w:pPr>
        <w:rPr>
          <w:rFonts w:ascii="Arial" w:hAnsi="Arial" w:cs="Arial"/>
          <w:sz w:val="20"/>
          <w:szCs w:val="20"/>
        </w:rPr>
      </w:pPr>
    </w:p>
    <w:p w14:paraId="458729BE" w14:textId="77777777" w:rsidR="00930F02" w:rsidRPr="00161E3F" w:rsidRDefault="00930F02" w:rsidP="003B632E">
      <w:pPr>
        <w:rPr>
          <w:rFonts w:ascii="Arial" w:hAnsi="Arial" w:cs="Arial"/>
          <w:sz w:val="20"/>
          <w:szCs w:val="20"/>
        </w:rPr>
      </w:pPr>
    </w:p>
    <w:p w14:paraId="3DBE0B5C" w14:textId="4DC36738" w:rsidR="000E26E8" w:rsidRDefault="0001136D" w:rsidP="00544B78">
      <w:pPr>
        <w:autoSpaceDE w:val="0"/>
        <w:autoSpaceDN w:val="0"/>
        <w:adjustRightInd w:val="0"/>
        <w:jc w:val="both"/>
        <w:rPr>
          <w:rFonts w:ascii="Arial" w:hAnsi="Arial" w:cs="Arial"/>
          <w:b/>
          <w:sz w:val="20"/>
          <w:szCs w:val="20"/>
        </w:rPr>
      </w:pPr>
      <w:r w:rsidRPr="00161E3F">
        <w:rPr>
          <w:rFonts w:ascii="Arial" w:hAnsi="Arial" w:cs="Arial"/>
          <w:b/>
          <w:sz w:val="20"/>
          <w:szCs w:val="20"/>
        </w:rPr>
        <w:t xml:space="preserve">III – Resultados de </w:t>
      </w:r>
      <w:r w:rsidR="00EB665F" w:rsidRPr="00161E3F">
        <w:rPr>
          <w:rFonts w:ascii="Arial" w:hAnsi="Arial" w:cs="Arial"/>
          <w:b/>
          <w:sz w:val="20"/>
          <w:szCs w:val="20"/>
        </w:rPr>
        <w:t>Novembro</w:t>
      </w:r>
      <w:r w:rsidRPr="00161E3F">
        <w:rPr>
          <w:rFonts w:ascii="Arial" w:hAnsi="Arial" w:cs="Arial"/>
          <w:b/>
          <w:sz w:val="20"/>
          <w:szCs w:val="20"/>
        </w:rPr>
        <w:t xml:space="preserve"> de </w:t>
      </w:r>
      <w:r w:rsidR="007C6628" w:rsidRPr="00161E3F">
        <w:rPr>
          <w:rFonts w:ascii="Arial" w:hAnsi="Arial" w:cs="Arial"/>
          <w:b/>
          <w:sz w:val="20"/>
          <w:szCs w:val="20"/>
        </w:rPr>
        <w:t>2018</w:t>
      </w:r>
      <w:r w:rsidRPr="00161E3F">
        <w:rPr>
          <w:rFonts w:ascii="Arial" w:hAnsi="Arial" w:cs="Arial"/>
          <w:b/>
          <w:sz w:val="20"/>
          <w:szCs w:val="20"/>
        </w:rPr>
        <w:t xml:space="preserve"> a </w:t>
      </w:r>
      <w:proofErr w:type="gramStart"/>
      <w:r w:rsidR="00EB665F" w:rsidRPr="00161E3F">
        <w:rPr>
          <w:rFonts w:ascii="Arial" w:hAnsi="Arial" w:cs="Arial"/>
          <w:b/>
          <w:sz w:val="20"/>
          <w:szCs w:val="20"/>
        </w:rPr>
        <w:t>Outubro</w:t>
      </w:r>
      <w:proofErr w:type="gramEnd"/>
      <w:r w:rsidRPr="00161E3F">
        <w:rPr>
          <w:rFonts w:ascii="Arial" w:hAnsi="Arial" w:cs="Arial"/>
          <w:b/>
          <w:sz w:val="20"/>
          <w:szCs w:val="20"/>
        </w:rPr>
        <w:t xml:space="preserve"> de </w:t>
      </w:r>
      <w:r w:rsidR="007C6628" w:rsidRPr="00161E3F">
        <w:rPr>
          <w:rFonts w:ascii="Arial" w:hAnsi="Arial" w:cs="Arial"/>
          <w:b/>
          <w:sz w:val="20"/>
          <w:szCs w:val="20"/>
        </w:rPr>
        <w:t>2019</w:t>
      </w:r>
      <w:r w:rsidRPr="00161E3F">
        <w:rPr>
          <w:rFonts w:ascii="Arial" w:hAnsi="Arial" w:cs="Arial"/>
          <w:b/>
          <w:sz w:val="20"/>
          <w:szCs w:val="20"/>
        </w:rPr>
        <w:t xml:space="preserve"> (Acumulado 12 meses)</w:t>
      </w:r>
    </w:p>
    <w:p w14:paraId="5C5BA3B6" w14:textId="42A46B30" w:rsidR="00863FD3" w:rsidRDefault="00863FD3" w:rsidP="00544B78">
      <w:pPr>
        <w:autoSpaceDE w:val="0"/>
        <w:autoSpaceDN w:val="0"/>
        <w:adjustRightInd w:val="0"/>
        <w:jc w:val="both"/>
        <w:rPr>
          <w:rFonts w:ascii="Arial" w:hAnsi="Arial" w:cs="Arial"/>
          <w:b/>
          <w:sz w:val="20"/>
          <w:szCs w:val="20"/>
        </w:rPr>
      </w:pPr>
    </w:p>
    <w:p w14:paraId="751E62B7" w14:textId="77777777" w:rsidR="00863FD3" w:rsidRPr="00863FD3" w:rsidRDefault="00863FD3" w:rsidP="00863FD3">
      <w:pPr>
        <w:pStyle w:val="Recuodecorpodetexto"/>
        <w:rPr>
          <w:sz w:val="22"/>
          <w:szCs w:val="22"/>
        </w:rPr>
      </w:pPr>
      <w:r w:rsidRPr="00863FD3">
        <w:rPr>
          <w:sz w:val="22"/>
          <w:szCs w:val="22"/>
        </w:rPr>
        <w:t>Nos últimos doze meses, entre novembro de 2018 e outubro de 2019, as exportações do agronegócio brasileiro alcançaram a cifra de US$ 96,67 bilhões, o que significou redução de 2,0% em comparação aos US$ 98,68 bilhões exportados nos doze meses imediatamente anteriores. Esse valor representou 42,8% do total das vendas externas brasileiras no período, o que demonstra ganho de participação em relação a novembro de 2017 e outubro de 2018 (42,3%), apesar da retração verificada nos últimos doze meses. As importações de produtos do agronegócio totalizaram US$ 13,79 bilhões, com retração de 1,9% em relação ao período precedente. Como resultado, o saldo da balança comercial do agronegócio no acumulado dos últimos doze meses foi de US$ 82,88 bilhões (-2,1%).</w:t>
      </w:r>
    </w:p>
    <w:p w14:paraId="38B0E3C2" w14:textId="77777777" w:rsidR="00863FD3" w:rsidRPr="00161E3F" w:rsidRDefault="00863FD3" w:rsidP="00544B78">
      <w:pPr>
        <w:autoSpaceDE w:val="0"/>
        <w:autoSpaceDN w:val="0"/>
        <w:adjustRightInd w:val="0"/>
        <w:jc w:val="both"/>
        <w:rPr>
          <w:rFonts w:ascii="Arial" w:hAnsi="Arial" w:cs="Arial"/>
          <w:b/>
          <w:sz w:val="20"/>
          <w:szCs w:val="20"/>
        </w:rPr>
      </w:pPr>
    </w:p>
    <w:p w14:paraId="1A2FF2D6" w14:textId="77777777" w:rsidR="00EB665F" w:rsidRPr="00161E3F" w:rsidRDefault="00EB665F" w:rsidP="00863FD3">
      <w:pPr>
        <w:pStyle w:val="Recuodecorpodetexto"/>
        <w:ind w:firstLine="0"/>
        <w:rPr>
          <w:rFonts w:ascii="Arial" w:hAnsi="Arial" w:cs="Arial"/>
          <w:sz w:val="20"/>
          <w:szCs w:val="20"/>
        </w:rPr>
      </w:pPr>
    </w:p>
    <w:p w14:paraId="6AA27016" w14:textId="77777777" w:rsidR="0001136D" w:rsidRPr="00161E3F" w:rsidRDefault="0001136D" w:rsidP="0001136D">
      <w:pPr>
        <w:pStyle w:val="Ttulo5"/>
        <w:autoSpaceDE/>
        <w:autoSpaceDN/>
        <w:adjustRightInd/>
        <w:rPr>
          <w:rFonts w:ascii="Arial" w:hAnsi="Arial" w:cs="Arial"/>
          <w:sz w:val="20"/>
          <w:szCs w:val="20"/>
        </w:rPr>
      </w:pPr>
      <w:proofErr w:type="spellStart"/>
      <w:r w:rsidRPr="00161E3F">
        <w:rPr>
          <w:rFonts w:ascii="Arial" w:hAnsi="Arial" w:cs="Arial"/>
          <w:sz w:val="20"/>
          <w:szCs w:val="20"/>
        </w:rPr>
        <w:t>III.a</w:t>
      </w:r>
      <w:proofErr w:type="spellEnd"/>
      <w:r w:rsidRPr="00161E3F">
        <w:rPr>
          <w:rFonts w:ascii="Arial" w:hAnsi="Arial" w:cs="Arial"/>
          <w:sz w:val="20"/>
          <w:szCs w:val="20"/>
        </w:rPr>
        <w:t xml:space="preserve"> – Setores do Agronegócio</w:t>
      </w:r>
    </w:p>
    <w:p w14:paraId="3C83AD32" w14:textId="77777777" w:rsidR="00EB665F" w:rsidRPr="00161E3F" w:rsidRDefault="00EB665F" w:rsidP="00EB665F">
      <w:pPr>
        <w:pStyle w:val="Recuodecorpodetexto"/>
        <w:rPr>
          <w:rFonts w:ascii="Arial" w:hAnsi="Arial" w:cs="Arial"/>
          <w:sz w:val="20"/>
          <w:szCs w:val="20"/>
        </w:rPr>
      </w:pPr>
    </w:p>
    <w:p w14:paraId="54C00BDC" w14:textId="77777777" w:rsidR="00863FD3" w:rsidRPr="00863FD3" w:rsidRDefault="00863FD3" w:rsidP="00863FD3">
      <w:pPr>
        <w:pStyle w:val="Recuodecorpodetexto"/>
        <w:rPr>
          <w:sz w:val="22"/>
          <w:szCs w:val="22"/>
        </w:rPr>
      </w:pPr>
      <w:r w:rsidRPr="00863FD3">
        <w:rPr>
          <w:sz w:val="22"/>
          <w:szCs w:val="22"/>
        </w:rPr>
        <w:t xml:space="preserve">Os principais setores exportadores do agronegócio no período foram: complexo soja, com 34,1% de participação; carnes, com 16,1%; produtos florestais, com 13,9%; cereais, farinhas e preparações, com 8,2%; e complexo sucroalcooleiro, com 6,4%. É possível observar que houve desconcentração da pauta no período em relação aos cinco principais setores. Entre novembro de 2017 e outubro de 2018, tais setores apresentaram participação de </w:t>
      </w:r>
      <w:r w:rsidRPr="00863FD3">
        <w:rPr>
          <w:sz w:val="22"/>
          <w:szCs w:val="22"/>
        </w:rPr>
        <w:lastRenderedPageBreak/>
        <w:t>80,4% do total exportado em produtos do agronegócio. Já nos últimos doze meses, os mesmos setores passaram a representar 78,8% das exportações do agronegócio brasileiro. Tal diminuição de concentração se deve à queda das vendas externas do complexo soja, notadamente da soja em grãos.</w:t>
      </w:r>
    </w:p>
    <w:p w14:paraId="6693E4FD" w14:textId="77777777" w:rsidR="00863FD3" w:rsidRPr="00863FD3" w:rsidRDefault="00863FD3" w:rsidP="00863FD3">
      <w:pPr>
        <w:pStyle w:val="Recuodecorpodetexto"/>
        <w:rPr>
          <w:sz w:val="22"/>
          <w:szCs w:val="22"/>
        </w:rPr>
      </w:pPr>
    </w:p>
    <w:p w14:paraId="52C4B798" w14:textId="77777777" w:rsidR="00863FD3" w:rsidRPr="00863FD3" w:rsidRDefault="00863FD3" w:rsidP="00863FD3">
      <w:pPr>
        <w:pStyle w:val="Recuodecorpodetexto"/>
        <w:rPr>
          <w:sz w:val="22"/>
          <w:szCs w:val="22"/>
        </w:rPr>
      </w:pPr>
      <w:r w:rsidRPr="00863FD3">
        <w:rPr>
          <w:sz w:val="22"/>
          <w:szCs w:val="22"/>
        </w:rPr>
        <w:t>As exportações do complexo soja, entre novembro de 2018 e outubro de 2019, decresceram em comparação ao período anterior, de US$ 38,61 bilhões para US$ 32,93 bilhões (-14,7%). Verificou-se redução de 4,9% no quantum comercializado e diminuição da cotação média dos produtos do setor de 10,3% no período. O principal item negociado nos últimos doze meses foi a soja em grãos, com o montante de US$ 26,40 bilhões e queda de 15,7% em comparação a novembro de 2017 e outubro de 2018 (US$ 31,31 bilhões). A perda de receita foi resultado tanto da retração de 10,5% no preço médio do produto brasileiro no mercado internacional, quanto da queda de 5,8% na quantidade embarcada do grão (de 78,86 milhões de toneladas para 74,28 milhões de toneladas). As vendas externas de farelo de soja recuaram 6,5% nos últimos doze meses em razão da retração de 8,2% no preço médio do produto, uma vez que foi verificado incremento de 1,9% no quantum comercializado (16,18 milhões de toneladas), totalizando receita de US$ 5,82 bilhões. Em relação ao óleo de soja, o decréscimo na quantidade comercializada (-28,8%) e a queda do preço médio no período (-8,7%) ocasionaram a redução de 35,0% na receita de exportação do produto, totalizando US$ 701 milhões.</w:t>
      </w:r>
    </w:p>
    <w:p w14:paraId="5FC41B75" w14:textId="77777777" w:rsidR="00863FD3" w:rsidRPr="00863FD3" w:rsidRDefault="00863FD3" w:rsidP="00863FD3">
      <w:pPr>
        <w:pStyle w:val="Recuodecorpodetexto"/>
        <w:rPr>
          <w:sz w:val="22"/>
          <w:szCs w:val="22"/>
        </w:rPr>
      </w:pPr>
    </w:p>
    <w:p w14:paraId="015E3E29" w14:textId="77777777" w:rsidR="00863FD3" w:rsidRPr="00863FD3" w:rsidRDefault="00863FD3" w:rsidP="00863FD3">
      <w:pPr>
        <w:pStyle w:val="Recuodecorpodetexto"/>
        <w:rPr>
          <w:sz w:val="22"/>
          <w:szCs w:val="22"/>
        </w:rPr>
      </w:pPr>
      <w:r w:rsidRPr="00863FD3">
        <w:rPr>
          <w:sz w:val="22"/>
          <w:szCs w:val="22"/>
        </w:rPr>
        <w:t xml:space="preserve">As exportações de carnes alcançaram o montante de US$ 15,61 bilhões, o que significou incremento de 6,5% em comparação ao valor comercializado nos doze meses imediatamente anteriores (US$ 14,66 bilhões). Em relação à quantidade, foram embarcadas 6,75 milhões de toneladas no período, observando-se aumento de 3,6%, com aumento no preço médio de 2,7%. O principal produto negociado pelo setor foi a carne bovina, com 6,95 bilhões (+7,0%) e 1,77 milhão de toneladas comercializadas (+10,6%), apesar da queda no preço médio de 3,2%. Os países que mais contribuíram para esse incremento nas vendas externas foram a China (+US$ 515,73 milhões), os Emirados Árabes Unidos (+US$ 184,02 milhões) e a Rússia (+US$ 128,64 milhões). Registrou-se novo recorde de valor exportado de carne bovina in natura em 12 meses, com a cifra de US$ 5,88 bilhões. Em seguida destacaram-se as vendas externas de carne de frango, com crescimento de 0,8% em quantidade (4,02 milhões de toneladas) e 4,9% na cotação média, o que refletiu na elevação de 5,7% no valor arrecadado (US$ 6,74 bilhões). As exportações de carne suína aumentaram em valor (+17,3%), com a soma de US$ 1,43 bilhão. A quantidade embarcada cresceu 11,1% no período e o preço médio passou de US$ 1.944 por tonelada para US$ 2.053 por tonelada (+5,6%). </w:t>
      </w:r>
    </w:p>
    <w:p w14:paraId="17835887" w14:textId="77777777" w:rsidR="00863FD3" w:rsidRPr="00863FD3" w:rsidRDefault="00863FD3" w:rsidP="00863FD3">
      <w:pPr>
        <w:pStyle w:val="Recuodecorpodetexto"/>
        <w:rPr>
          <w:sz w:val="22"/>
          <w:szCs w:val="22"/>
        </w:rPr>
      </w:pPr>
    </w:p>
    <w:p w14:paraId="24E7FE46" w14:textId="77777777" w:rsidR="00863FD3" w:rsidRPr="00863FD3" w:rsidRDefault="00863FD3" w:rsidP="00863FD3">
      <w:pPr>
        <w:pStyle w:val="Recuodecorpodetexto"/>
        <w:rPr>
          <w:sz w:val="22"/>
          <w:szCs w:val="22"/>
        </w:rPr>
      </w:pPr>
      <w:r w:rsidRPr="00863FD3">
        <w:rPr>
          <w:sz w:val="22"/>
          <w:szCs w:val="22"/>
        </w:rPr>
        <w:t>Os produtos florestais aparecem na terceira colocação entre os maiores setores do agronegócio em valor exportado, com vendas de US$ 13,48 bilhões (-0,9%) e 24,90 milhões de toneladas negociadas (+3,7%). O principal item negociado foi a celulose, com 15,31 milhões de toneladas embarcadas (+3,5%). Com a retração de 3,8% no preço médio, houve perda de 0,5% no valor exportado, que atingiu a soma de US$ 7,98 bilhões. As vendas de madeiras e suas obras alcançaram o patamar de US$ 3,49 bilhões (-2,8%), com 7,45 milhões de toneladas negociadas (+4,2%) e diminuição de 6,8% no preço médio dos produtos desse subsetor. Em relação às vendas externas de papel, houve queda de 2,7% na cotação média, expansão de 3,8% no quantum comercializado (2,14 milhões de toneladas) e elevação de 1,1% na receita (US$ 2,0 bilhões).</w:t>
      </w:r>
    </w:p>
    <w:p w14:paraId="7312907E" w14:textId="77777777" w:rsidR="00863FD3" w:rsidRPr="00863FD3" w:rsidRDefault="00863FD3" w:rsidP="00863FD3">
      <w:pPr>
        <w:pStyle w:val="Recuodecorpodetexto"/>
        <w:rPr>
          <w:sz w:val="22"/>
          <w:szCs w:val="22"/>
        </w:rPr>
      </w:pPr>
    </w:p>
    <w:p w14:paraId="2A3E17CA" w14:textId="77777777" w:rsidR="00863FD3" w:rsidRPr="00863FD3" w:rsidRDefault="00863FD3" w:rsidP="00863FD3">
      <w:pPr>
        <w:pStyle w:val="Recuodecorpodetexto"/>
        <w:rPr>
          <w:sz w:val="22"/>
          <w:szCs w:val="22"/>
        </w:rPr>
      </w:pPr>
      <w:r w:rsidRPr="00863FD3">
        <w:rPr>
          <w:sz w:val="22"/>
          <w:szCs w:val="22"/>
        </w:rPr>
        <w:t>Os cereais, farinhas e preparações ficaram na quarta colocação entre os setores do agronegócio no acumulado dos últimos doze meses, com vendas externas de US$ 7,95 bilhões e quantum comercializado de 44,03 milhões de toneladas, o que representou incremento de 75,3% e 76,5%, respectivamente. O principal item negociado pelo setor foi o milho, com exportações de US$ 7,18 bilhões ou 90,4% do total das vendas do setor no período.  Em comparação a novembro de 2017 e outubro de 2018, verificou-se acréscimo de 81,3% no quantum comercializado (42,0 milhões de toneladas, novo recorde em 12 meses) e elevação da cotação média do grão à taxa de 3,9%. Em consequência, a receita de exportação aumentou 88,3% nesses últimos doze meses. Os países que mais contribuíram para o crescimento das exportações de milho no período foram: Japão (+US$ 699,94 milhões); Coreia do Sul (+US$ 528,28 milhões); Vietnã (+US$ 443,20 milhões); Taiwan (+US$ 310,15 milhões); e União Europeia (+US$ 268,13 milhões).</w:t>
      </w:r>
    </w:p>
    <w:p w14:paraId="2B2372BB" w14:textId="77777777" w:rsidR="00863FD3" w:rsidRPr="00863FD3" w:rsidRDefault="00863FD3" w:rsidP="00863FD3">
      <w:pPr>
        <w:pStyle w:val="Recuodecorpodetexto"/>
        <w:rPr>
          <w:sz w:val="22"/>
          <w:szCs w:val="22"/>
        </w:rPr>
      </w:pPr>
    </w:p>
    <w:p w14:paraId="09F53B51" w14:textId="77777777" w:rsidR="00863FD3" w:rsidRPr="00863FD3" w:rsidRDefault="00863FD3" w:rsidP="00863FD3">
      <w:pPr>
        <w:pStyle w:val="Recuodecorpodetexto"/>
        <w:rPr>
          <w:sz w:val="22"/>
          <w:szCs w:val="22"/>
        </w:rPr>
      </w:pPr>
      <w:r w:rsidRPr="00863FD3">
        <w:rPr>
          <w:sz w:val="22"/>
          <w:szCs w:val="22"/>
        </w:rPr>
        <w:t>As exportações do complexo sucroalcooleiro decresceram de US$ 7,92 bilhões, entre novembro de 2017 e outubro de 2018, para US$ 6,21 bilhões, entre novembro de 2018 e outubro de 2019 (-21,6%), em razão da queda de 15,9% no quantum exportado, que atingiu 19,56 milhões de toneladas no período, e concomitante retração da cotação média dos produtos do setor (-6,7%). O preço médio do açúcar caiu 9,4% nos últimos doze meses em virtude do excesso de oferta verificado no mercado internacional, enquanto o volume comercializado decresceu 17,6%, puxando para baixo a receita de exportação, que caiu 25,4% e alcançou US$ 5,24 bilhões. O preço médio do álcool também caiu no período considerado, passando de US$ 677 por tonelada para os atuais US$ 649 por tonelada (-4,1%). As vendas em quantidade aumentaram 13,3%, resultando no valor exportado de US$ 955 milhões (+8,6%).</w:t>
      </w:r>
    </w:p>
    <w:p w14:paraId="1FF13B90" w14:textId="77777777" w:rsidR="00863FD3" w:rsidRPr="00863FD3" w:rsidRDefault="00863FD3" w:rsidP="00863FD3">
      <w:pPr>
        <w:pStyle w:val="Recuodecorpodetexto"/>
        <w:rPr>
          <w:sz w:val="22"/>
          <w:szCs w:val="22"/>
        </w:rPr>
      </w:pPr>
    </w:p>
    <w:p w14:paraId="0486D271" w14:textId="77777777" w:rsidR="00863FD3" w:rsidRPr="00863FD3" w:rsidRDefault="00863FD3" w:rsidP="00863FD3">
      <w:pPr>
        <w:pStyle w:val="Recuodecorpodetexto"/>
        <w:rPr>
          <w:sz w:val="22"/>
          <w:szCs w:val="22"/>
        </w:rPr>
      </w:pPr>
      <w:r w:rsidRPr="00863FD3">
        <w:rPr>
          <w:sz w:val="22"/>
          <w:szCs w:val="22"/>
        </w:rPr>
        <w:lastRenderedPageBreak/>
        <w:t xml:space="preserve"> Em relação às importações de produtos do agronegócio nos últimos doze meses, observou-se um montante de US$ 13,79 bilhões e recuo de 1,9% em comparação aos US$ 14,06 bilhões registrados entre novembro de 2017 e outubro de 2018. Os principais itens adquiridos no mercado internacional, nesse período, foram: trigo (US$ 1,53 bilhão e +8,1%); papel (US$ 847,82 milhões e -6,7%); álcool etílico (US$ 632,44 milhões e -6,4%);  vestuário e outros produtos têxteis de algodão (US$ 573,77 milhões e -8,3%); malte (US$ 531,78 milhões e +27,3%); salmões frescos ou refrigerados (US$ 524,21 milhões e +4,8%); azeite de oliva (US$ 398,67 milhões e -11,7%); vinho (US$ 373,75 milhões e -1,3%); borracha natural (US$ 326,26 milhões e -10,6%); e batatas preparadas ou conservadas (US$ 323,91 milhões e -0,9%).</w:t>
      </w:r>
    </w:p>
    <w:p w14:paraId="42F04CCB" w14:textId="77777777" w:rsidR="00EB665F" w:rsidRPr="00161E3F" w:rsidRDefault="00EB665F" w:rsidP="00EB665F">
      <w:pPr>
        <w:pStyle w:val="Recuodecorpodetexto"/>
        <w:rPr>
          <w:rFonts w:ascii="Arial" w:hAnsi="Arial" w:cs="Arial"/>
          <w:sz w:val="20"/>
          <w:szCs w:val="20"/>
        </w:rPr>
      </w:pPr>
    </w:p>
    <w:p w14:paraId="7F656820" w14:textId="2F085144" w:rsidR="00384963" w:rsidRPr="00161E3F" w:rsidRDefault="00161E3F" w:rsidP="00CA2C33">
      <w:pPr>
        <w:rPr>
          <w:rFonts w:ascii="Arial" w:hAnsi="Arial" w:cs="Arial"/>
          <w:sz w:val="20"/>
          <w:szCs w:val="20"/>
        </w:rPr>
      </w:pPr>
      <w:r w:rsidRPr="00161E3F">
        <w:rPr>
          <w:rFonts w:ascii="Arial" w:hAnsi="Arial" w:cs="Arial"/>
          <w:noProof/>
          <w:sz w:val="20"/>
          <w:szCs w:val="20"/>
        </w:rPr>
        <w:drawing>
          <wp:inline distT="0" distB="0" distL="0" distR="0" wp14:anchorId="6D22634F" wp14:editId="64A8DAFC">
            <wp:extent cx="6480175" cy="385508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3855085"/>
                    </a:xfrm>
                    <a:prstGeom prst="rect">
                      <a:avLst/>
                    </a:prstGeom>
                  </pic:spPr>
                </pic:pic>
              </a:graphicData>
            </a:graphic>
          </wp:inline>
        </w:drawing>
      </w:r>
    </w:p>
    <w:p w14:paraId="70588849" w14:textId="77777777" w:rsidR="009A662B" w:rsidRPr="00161E3F" w:rsidRDefault="009A662B" w:rsidP="00CA2C33">
      <w:pPr>
        <w:rPr>
          <w:rFonts w:ascii="Arial" w:hAnsi="Arial" w:cs="Arial"/>
          <w:b/>
          <w:sz w:val="20"/>
          <w:szCs w:val="20"/>
        </w:rPr>
      </w:pPr>
    </w:p>
    <w:p w14:paraId="0F7151AF" w14:textId="77777777" w:rsidR="0001136D" w:rsidRPr="00161E3F" w:rsidRDefault="0001136D" w:rsidP="00CA2C33">
      <w:pPr>
        <w:rPr>
          <w:rFonts w:ascii="Arial" w:hAnsi="Arial" w:cs="Arial"/>
          <w:b/>
          <w:sz w:val="20"/>
          <w:szCs w:val="20"/>
        </w:rPr>
      </w:pPr>
      <w:proofErr w:type="spellStart"/>
      <w:r w:rsidRPr="00161E3F">
        <w:rPr>
          <w:rFonts w:ascii="Arial" w:hAnsi="Arial" w:cs="Arial"/>
          <w:b/>
          <w:sz w:val="20"/>
          <w:szCs w:val="20"/>
        </w:rPr>
        <w:t>III.b</w:t>
      </w:r>
      <w:proofErr w:type="spellEnd"/>
      <w:r w:rsidRPr="00161E3F">
        <w:rPr>
          <w:rFonts w:ascii="Arial" w:hAnsi="Arial" w:cs="Arial"/>
          <w:b/>
          <w:sz w:val="20"/>
          <w:szCs w:val="20"/>
        </w:rPr>
        <w:t xml:space="preserve"> – Blocos Econômicos e Regiões Geográficas</w:t>
      </w:r>
    </w:p>
    <w:p w14:paraId="1D289814" w14:textId="77777777" w:rsidR="00EB665F" w:rsidRPr="00161E3F" w:rsidRDefault="00EB665F" w:rsidP="00EB665F">
      <w:pPr>
        <w:pStyle w:val="Recuodecorpodetexto"/>
        <w:rPr>
          <w:rFonts w:ascii="Arial" w:hAnsi="Arial" w:cs="Arial"/>
          <w:sz w:val="20"/>
          <w:szCs w:val="20"/>
        </w:rPr>
      </w:pPr>
    </w:p>
    <w:p w14:paraId="67298F6C" w14:textId="77777777" w:rsidR="00863FD3" w:rsidRPr="00863FD3" w:rsidRDefault="00863FD3" w:rsidP="00863FD3">
      <w:pPr>
        <w:pStyle w:val="Recuodecorpodetexto"/>
        <w:rPr>
          <w:sz w:val="22"/>
          <w:szCs w:val="22"/>
        </w:rPr>
      </w:pPr>
      <w:r w:rsidRPr="00863FD3">
        <w:rPr>
          <w:sz w:val="22"/>
          <w:szCs w:val="22"/>
        </w:rPr>
        <w:t>No âmbito das exportações do agronegócio por blocos econômicos e regiões geográficas, a Ásia segue no posto de principal destino dos produtos brasileiros. As vendas para o continente asiático atingiram a marca de US$ 47,56 bilhões, o que significou queda de 2,5% em comparação aos valores registrados entre novembro de 2017 e outubro de 2018 (US$ 48,78 bilhões). O principal item responsável por essa retração foi a soja em grãos, com exportações de US$ 22,62 bilhões entre novembro de 2018 e outubro de 2019 e perda de receita de US$ 4,18 bilhões em relação aos doze meses anteriores. Dessa forma, a participação da região nas exportações de produtos do agronegócio brasileiro passou de 49,4% para 49,2%.</w:t>
      </w:r>
    </w:p>
    <w:p w14:paraId="407003CB" w14:textId="77777777" w:rsidR="00863FD3" w:rsidRPr="00863FD3" w:rsidRDefault="00863FD3" w:rsidP="00863FD3">
      <w:pPr>
        <w:pStyle w:val="Recuodecorpodetexto"/>
        <w:rPr>
          <w:sz w:val="22"/>
          <w:szCs w:val="22"/>
        </w:rPr>
      </w:pPr>
    </w:p>
    <w:p w14:paraId="244E4941" w14:textId="79B84B0A" w:rsidR="00863FD3" w:rsidRDefault="00863FD3" w:rsidP="00863FD3">
      <w:pPr>
        <w:pStyle w:val="Recuodecorpodetexto"/>
        <w:rPr>
          <w:sz w:val="22"/>
          <w:szCs w:val="22"/>
        </w:rPr>
      </w:pPr>
      <w:r w:rsidRPr="00863FD3">
        <w:rPr>
          <w:sz w:val="22"/>
          <w:szCs w:val="22"/>
        </w:rPr>
        <w:t>O segundo principal bloco de destino das exportações agropecuárias brasileiras nos últimos doze meses, a União Europeia, apresentou recuo de 3,1% nas aquisições de mercadorias brasileiras, alcançando a cifra de US$ 17,10 bilhões, ante um total de US$ 17,65 bilhões nos doze meses imediatamente anteriores (-US$ 543,33 milhões). Com essa retração em valor, a participação da UE-28 nas exportações do agronegócio brasileiro caiu de 17,9% para 17,7%. Os produtos da pauta Brasil – União Europeia que apresentaram maior perda de receita absoluta no período foram: soja em grãos (-US$ 403,45 milhões), celulose (-US$ 253,15 milhões) e carne de frango industrializada (-US$ 140,75 milhões). Pelo lado positivo, os principais destaques ficaram por conta das exportações de milho (+US$ 268,13 milhões) e de café verde (+US$ 202,59 milhões).</w:t>
      </w:r>
    </w:p>
    <w:p w14:paraId="2E23C98D" w14:textId="77777777" w:rsidR="00863FD3" w:rsidRPr="00863FD3" w:rsidRDefault="00863FD3" w:rsidP="00863FD3">
      <w:pPr>
        <w:pStyle w:val="Recuodecorpodetexto"/>
        <w:rPr>
          <w:sz w:val="22"/>
          <w:szCs w:val="22"/>
        </w:rPr>
      </w:pPr>
    </w:p>
    <w:p w14:paraId="6A5D1987" w14:textId="77777777" w:rsidR="00863FD3" w:rsidRPr="00863FD3" w:rsidRDefault="00863FD3" w:rsidP="00863FD3">
      <w:pPr>
        <w:pStyle w:val="Recuodecorpodetexto"/>
        <w:rPr>
          <w:sz w:val="22"/>
          <w:szCs w:val="22"/>
        </w:rPr>
      </w:pPr>
      <w:r w:rsidRPr="00863FD3">
        <w:rPr>
          <w:sz w:val="22"/>
          <w:szCs w:val="22"/>
        </w:rPr>
        <w:t xml:space="preserve">Em relação aos demais blocos econômicos e regiões geográficas expostos na Tabela 8, destacaram-se as vendas externas para o NAFTA, com a soma de US$ 8,94 bilhões (+6,7%) e participação de 9,2% (ganho de 0,8 ponto percentual) e as exportações para a ALADI, com o montante de US$ 4,23 bilhões (+12,6%) e </w:t>
      </w:r>
      <w:proofErr w:type="spellStart"/>
      <w:r w:rsidRPr="00863FD3">
        <w:rPr>
          <w:sz w:val="22"/>
          <w:szCs w:val="22"/>
        </w:rPr>
        <w:t>market</w:t>
      </w:r>
      <w:proofErr w:type="spellEnd"/>
      <w:r w:rsidRPr="00863FD3">
        <w:rPr>
          <w:sz w:val="22"/>
          <w:szCs w:val="22"/>
        </w:rPr>
        <w:t xml:space="preserve"> </w:t>
      </w:r>
      <w:proofErr w:type="spellStart"/>
      <w:r w:rsidRPr="00863FD3">
        <w:rPr>
          <w:sz w:val="22"/>
          <w:szCs w:val="22"/>
        </w:rPr>
        <w:t>share</w:t>
      </w:r>
      <w:proofErr w:type="spellEnd"/>
      <w:r w:rsidRPr="00863FD3">
        <w:rPr>
          <w:sz w:val="22"/>
          <w:szCs w:val="22"/>
        </w:rPr>
        <w:t xml:space="preserve"> de 4,4% (ganho de 0,6 ponto percentual). </w:t>
      </w:r>
    </w:p>
    <w:p w14:paraId="0BAD9230" w14:textId="5F01F67D" w:rsidR="00EB665F" w:rsidRPr="00863FD3" w:rsidRDefault="00EB665F" w:rsidP="00EB665F">
      <w:pPr>
        <w:pStyle w:val="Recuodecorpodetexto"/>
        <w:rPr>
          <w:sz w:val="22"/>
          <w:szCs w:val="22"/>
        </w:rPr>
      </w:pPr>
    </w:p>
    <w:p w14:paraId="6959FAF7" w14:textId="3BFDC29A" w:rsidR="00863FD3" w:rsidRPr="00863FD3" w:rsidRDefault="00863FD3" w:rsidP="00EB665F">
      <w:pPr>
        <w:pStyle w:val="Recuodecorpodetexto"/>
        <w:rPr>
          <w:sz w:val="22"/>
          <w:szCs w:val="22"/>
        </w:rPr>
      </w:pPr>
    </w:p>
    <w:p w14:paraId="111F64DE" w14:textId="77777777" w:rsidR="00863FD3" w:rsidRPr="00161E3F" w:rsidRDefault="00863FD3" w:rsidP="00EB665F">
      <w:pPr>
        <w:pStyle w:val="Recuodecorpodetexto"/>
        <w:rPr>
          <w:rFonts w:ascii="Arial" w:hAnsi="Arial" w:cs="Arial"/>
          <w:sz w:val="20"/>
          <w:szCs w:val="20"/>
        </w:rPr>
      </w:pPr>
    </w:p>
    <w:p w14:paraId="704627C4" w14:textId="649FD2D8" w:rsidR="002B1A0F" w:rsidRPr="00161E3F" w:rsidRDefault="00161E3F" w:rsidP="002B1A0F">
      <w:pPr>
        <w:pStyle w:val="Recuodecorpodetexto"/>
        <w:ind w:firstLine="0"/>
        <w:rPr>
          <w:rFonts w:ascii="Arial" w:hAnsi="Arial" w:cs="Arial"/>
          <w:sz w:val="20"/>
          <w:szCs w:val="20"/>
        </w:rPr>
      </w:pPr>
      <w:r w:rsidRPr="00161E3F">
        <w:rPr>
          <w:rFonts w:ascii="Arial" w:hAnsi="Arial" w:cs="Arial"/>
          <w:noProof/>
          <w:sz w:val="20"/>
          <w:szCs w:val="20"/>
        </w:rPr>
        <w:lastRenderedPageBreak/>
        <w:drawing>
          <wp:inline distT="0" distB="0" distL="0" distR="0" wp14:anchorId="626889A6" wp14:editId="76E48118">
            <wp:extent cx="6480175" cy="234823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348230"/>
                    </a:xfrm>
                    <a:prstGeom prst="rect">
                      <a:avLst/>
                    </a:prstGeom>
                  </pic:spPr>
                </pic:pic>
              </a:graphicData>
            </a:graphic>
          </wp:inline>
        </w:drawing>
      </w:r>
    </w:p>
    <w:p w14:paraId="4C3303B5" w14:textId="77777777" w:rsidR="00E17DA9" w:rsidRPr="00161E3F" w:rsidRDefault="00E17DA9" w:rsidP="002B1A0F">
      <w:pPr>
        <w:pStyle w:val="Recuodecorpodetexto"/>
        <w:ind w:firstLine="0"/>
        <w:rPr>
          <w:rFonts w:ascii="Arial" w:hAnsi="Arial" w:cs="Arial"/>
          <w:sz w:val="20"/>
          <w:szCs w:val="20"/>
        </w:rPr>
      </w:pPr>
    </w:p>
    <w:p w14:paraId="20B59679" w14:textId="3D39BBAB" w:rsidR="00717244" w:rsidRPr="00161E3F" w:rsidRDefault="0001136D" w:rsidP="00544B78">
      <w:pPr>
        <w:pStyle w:val="Ttulo5"/>
        <w:autoSpaceDE/>
        <w:autoSpaceDN/>
        <w:adjustRightInd/>
        <w:rPr>
          <w:rFonts w:ascii="Arial" w:hAnsi="Arial" w:cs="Arial"/>
          <w:sz w:val="20"/>
          <w:szCs w:val="20"/>
        </w:rPr>
      </w:pPr>
      <w:proofErr w:type="spellStart"/>
      <w:r w:rsidRPr="00161E3F">
        <w:rPr>
          <w:rFonts w:ascii="Arial" w:hAnsi="Arial" w:cs="Arial"/>
          <w:sz w:val="20"/>
          <w:szCs w:val="20"/>
        </w:rPr>
        <w:t>III.c</w:t>
      </w:r>
      <w:proofErr w:type="spellEnd"/>
      <w:r w:rsidRPr="00161E3F">
        <w:rPr>
          <w:rFonts w:ascii="Arial" w:hAnsi="Arial" w:cs="Arial"/>
          <w:sz w:val="20"/>
          <w:szCs w:val="20"/>
        </w:rPr>
        <w:t xml:space="preserve"> – Países</w:t>
      </w:r>
    </w:p>
    <w:p w14:paraId="1CCDEDA4" w14:textId="77777777" w:rsidR="00EB665F" w:rsidRPr="00161E3F" w:rsidRDefault="00EB665F" w:rsidP="00EB665F">
      <w:pPr>
        <w:pStyle w:val="Recuodecorpodetexto"/>
        <w:rPr>
          <w:rFonts w:ascii="Arial" w:hAnsi="Arial" w:cs="Arial"/>
          <w:sz w:val="20"/>
          <w:szCs w:val="20"/>
        </w:rPr>
      </w:pPr>
    </w:p>
    <w:p w14:paraId="09E8D668" w14:textId="77777777" w:rsidR="00D61335" w:rsidRPr="00D61335" w:rsidRDefault="00D61335" w:rsidP="00D61335">
      <w:pPr>
        <w:pStyle w:val="Recuodecorpodetexto"/>
        <w:rPr>
          <w:sz w:val="22"/>
          <w:szCs w:val="22"/>
        </w:rPr>
      </w:pPr>
      <w:r w:rsidRPr="00D61335">
        <w:rPr>
          <w:sz w:val="22"/>
          <w:szCs w:val="22"/>
        </w:rPr>
        <w:t xml:space="preserve">No que se refere aos países, a China permaneceu como o principal destino das exportações do agronegócio brasileiro, com a cifra de US$ 30,74 bilhões, o que representou pouco menos de dois terços das exportações agropecuárias brasileiras para a Ásia no período. Em relação aos doze meses anteriores, verificou-se recuo de 6,8% no valor exportado e decréscimo da participação chinesa de 1,6 ponto percentual, descendo a 31,8% de </w:t>
      </w:r>
      <w:proofErr w:type="spellStart"/>
      <w:r w:rsidRPr="00D61335">
        <w:rPr>
          <w:sz w:val="22"/>
          <w:szCs w:val="22"/>
        </w:rPr>
        <w:t>market</w:t>
      </w:r>
      <w:proofErr w:type="spellEnd"/>
      <w:r w:rsidRPr="00D61335">
        <w:rPr>
          <w:sz w:val="22"/>
          <w:szCs w:val="22"/>
        </w:rPr>
        <w:t xml:space="preserve"> </w:t>
      </w:r>
      <w:proofErr w:type="spellStart"/>
      <w:r w:rsidRPr="00D61335">
        <w:rPr>
          <w:sz w:val="22"/>
          <w:szCs w:val="22"/>
        </w:rPr>
        <w:t>share</w:t>
      </w:r>
      <w:proofErr w:type="spellEnd"/>
      <w:r w:rsidRPr="00D61335">
        <w:rPr>
          <w:sz w:val="22"/>
          <w:szCs w:val="22"/>
        </w:rPr>
        <w:t>. O principal produto responsável por essa redução das exportações no período foi a soja em grãos, com vendas de US$ 20,99 bilhões e perda de receita de US$ 4,37 bilhões em comparação a novembro de 2017 e outubro de 2018 (US$ 25,35 bilhões). Pelo lado do ganho de receita de exportação para o mercado chinês, os principais destaques foram: algodão não cardado nem penteado (+US$ 729,12 milhões); carne bovina in natura (+US$ 515,77 milhões); carne de frango in natura (+US$ 286,0 milhões); e açúcar de cana em bruto (+US$ 201,99 milhões).</w:t>
      </w:r>
    </w:p>
    <w:p w14:paraId="44760C6D" w14:textId="77777777" w:rsidR="00D61335" w:rsidRPr="00D61335" w:rsidRDefault="00D61335" w:rsidP="00D61335">
      <w:pPr>
        <w:pStyle w:val="Recuodecorpodetexto"/>
        <w:rPr>
          <w:sz w:val="22"/>
          <w:szCs w:val="22"/>
        </w:rPr>
      </w:pPr>
    </w:p>
    <w:p w14:paraId="7FC797B9" w14:textId="77777777" w:rsidR="00D61335" w:rsidRPr="00D61335" w:rsidRDefault="00D61335" w:rsidP="00D61335">
      <w:pPr>
        <w:pStyle w:val="Recuodecorpodetexto"/>
        <w:rPr>
          <w:sz w:val="22"/>
          <w:szCs w:val="22"/>
        </w:rPr>
      </w:pPr>
      <w:r w:rsidRPr="00D61335">
        <w:rPr>
          <w:sz w:val="22"/>
          <w:szCs w:val="22"/>
        </w:rPr>
        <w:t>As exportações para os Estados Unidos, segundo principal destino entre novembro de 2018 e outubro de 2019, cresceram de US$ 6,70 bilhões para US$ 7,16 bilhões (+6,9%). Com tal incremento, a participação norte americana nas exportações brasileiras aumentou de 6,8% para 7,4%. Os principais produtos agropecuários exportados para o mercado norte-americano nos últimos doze meses foram: celulose (US$ 1,23 bilhão); café verde (US$ 898,30 milhões); álcool etílico (US$ 617,62 milhões); e madeira perfilada (US$ 356,62 milhões).</w:t>
      </w:r>
    </w:p>
    <w:p w14:paraId="27148427" w14:textId="77777777" w:rsidR="00D61335" w:rsidRPr="00D61335" w:rsidRDefault="00D61335" w:rsidP="00D61335">
      <w:pPr>
        <w:pStyle w:val="Recuodecorpodetexto"/>
        <w:rPr>
          <w:sz w:val="22"/>
          <w:szCs w:val="22"/>
        </w:rPr>
      </w:pPr>
    </w:p>
    <w:p w14:paraId="591E8E07" w14:textId="77777777" w:rsidR="00D61335" w:rsidRPr="00D61335" w:rsidRDefault="00D61335" w:rsidP="00D61335">
      <w:pPr>
        <w:pStyle w:val="Recuodecorpodetexto"/>
        <w:rPr>
          <w:sz w:val="22"/>
          <w:szCs w:val="22"/>
        </w:rPr>
      </w:pPr>
      <w:r w:rsidRPr="00D61335">
        <w:rPr>
          <w:sz w:val="22"/>
          <w:szCs w:val="22"/>
        </w:rPr>
        <w:t xml:space="preserve">Em relação ao dinamismo das exportações, os principais destaques do período, conforme ilustrado na Tabela 9, foram: México (+36,4%), Japão (+35,8%), Bangladesh (+29,9%) e Vietnã (+28,9%). </w:t>
      </w:r>
    </w:p>
    <w:p w14:paraId="043B95C9" w14:textId="77777777" w:rsidR="00D61335" w:rsidRPr="00D61335" w:rsidRDefault="00D61335" w:rsidP="00D61335">
      <w:pPr>
        <w:pStyle w:val="Recuodecorpodetexto"/>
        <w:rPr>
          <w:sz w:val="22"/>
          <w:szCs w:val="22"/>
        </w:rPr>
      </w:pPr>
    </w:p>
    <w:p w14:paraId="7CEE016E" w14:textId="77777777" w:rsidR="00D61335" w:rsidRPr="00D61335" w:rsidRDefault="00D61335" w:rsidP="00D61335">
      <w:pPr>
        <w:pStyle w:val="Recuodecorpodetexto"/>
        <w:rPr>
          <w:sz w:val="22"/>
          <w:szCs w:val="22"/>
        </w:rPr>
      </w:pPr>
      <w:r w:rsidRPr="00D61335">
        <w:rPr>
          <w:sz w:val="22"/>
          <w:szCs w:val="22"/>
        </w:rPr>
        <w:t xml:space="preserve">No caso do México, com vendas de US$ 1,23 bilhão e ganho de participação de 0,4 ponto percentual, os principais produtos responsáveis pelo aumento das exportações no período foram o milho (+US$ 180,04 milhões) e a soja em grãos (+US$ 100,43 milhões). </w:t>
      </w:r>
    </w:p>
    <w:p w14:paraId="51B9C8C1" w14:textId="77777777" w:rsidR="00D61335" w:rsidRPr="00D61335" w:rsidRDefault="00D61335" w:rsidP="00D61335">
      <w:pPr>
        <w:pStyle w:val="Recuodecorpodetexto"/>
        <w:rPr>
          <w:sz w:val="22"/>
          <w:szCs w:val="22"/>
        </w:rPr>
      </w:pPr>
    </w:p>
    <w:p w14:paraId="5F576E40" w14:textId="77777777" w:rsidR="00D61335" w:rsidRPr="00B84B5C" w:rsidRDefault="00D61335" w:rsidP="00D61335">
      <w:pPr>
        <w:pStyle w:val="Recuodecorpodetexto"/>
        <w:rPr>
          <w:i/>
          <w:sz w:val="22"/>
          <w:szCs w:val="22"/>
        </w:rPr>
      </w:pPr>
      <w:r w:rsidRPr="00D61335">
        <w:rPr>
          <w:sz w:val="22"/>
          <w:szCs w:val="22"/>
        </w:rPr>
        <w:t xml:space="preserve">No que se refere ao Japão, o produto que mais influenciou na elevação das vendas brasileiras - de US$ 2,21 bilhões para US$ 3,0 bilhões - foi o milho, com a soma de US$ 825,68 milhões e incremento absoluto de US$ 699,94 milhões, o que possibilitou ganho de 0,9 ponto percentual de participação no período, atingindo 3,1% de </w:t>
      </w:r>
      <w:proofErr w:type="spellStart"/>
      <w:r w:rsidRPr="00B84B5C">
        <w:rPr>
          <w:i/>
          <w:sz w:val="22"/>
          <w:szCs w:val="22"/>
        </w:rPr>
        <w:t>market</w:t>
      </w:r>
      <w:proofErr w:type="spellEnd"/>
      <w:r w:rsidRPr="00B84B5C">
        <w:rPr>
          <w:i/>
          <w:sz w:val="22"/>
          <w:szCs w:val="22"/>
        </w:rPr>
        <w:t xml:space="preserve"> </w:t>
      </w:r>
      <w:proofErr w:type="spellStart"/>
      <w:r w:rsidRPr="00B84B5C">
        <w:rPr>
          <w:i/>
          <w:sz w:val="22"/>
          <w:szCs w:val="22"/>
        </w:rPr>
        <w:t>share</w:t>
      </w:r>
      <w:proofErr w:type="spellEnd"/>
      <w:r w:rsidRPr="00B84B5C">
        <w:rPr>
          <w:i/>
          <w:sz w:val="22"/>
          <w:szCs w:val="22"/>
        </w:rPr>
        <w:t>.</w:t>
      </w:r>
      <w:bookmarkStart w:id="1" w:name="_GoBack"/>
      <w:bookmarkEnd w:id="1"/>
    </w:p>
    <w:p w14:paraId="382D7ACC" w14:textId="77777777" w:rsidR="00D61335" w:rsidRPr="00D61335" w:rsidRDefault="00D61335" w:rsidP="00D61335">
      <w:pPr>
        <w:pStyle w:val="Recuodecorpodetexto"/>
        <w:rPr>
          <w:sz w:val="22"/>
          <w:szCs w:val="22"/>
        </w:rPr>
      </w:pPr>
    </w:p>
    <w:p w14:paraId="43CCAD04" w14:textId="77777777" w:rsidR="00D61335" w:rsidRPr="00D61335" w:rsidRDefault="00D61335" w:rsidP="00D61335">
      <w:pPr>
        <w:pStyle w:val="Recuodecorpodetexto"/>
        <w:rPr>
          <w:sz w:val="22"/>
          <w:szCs w:val="22"/>
        </w:rPr>
      </w:pPr>
      <w:r w:rsidRPr="00D61335">
        <w:rPr>
          <w:sz w:val="22"/>
          <w:szCs w:val="22"/>
        </w:rPr>
        <w:t>O crescimento das exportações do agronegócio brasileiro para Bangladesh nos últimos doze meses foi de US$ 291,67 milhões, totalizando US$ 1,27 bilhão. Os produtos que mais contribuíram para essa expansão foram: soja em grãos (+US$ 121,12 milhões); milho (+US$ 112,54 milhões); e algodão não cardado nem penteado (+US$ 97,79 milhões).</w:t>
      </w:r>
    </w:p>
    <w:p w14:paraId="1E16422E" w14:textId="77777777" w:rsidR="00D61335" w:rsidRPr="00D61335" w:rsidRDefault="00D61335" w:rsidP="00D61335">
      <w:pPr>
        <w:pStyle w:val="Recuodecorpodetexto"/>
        <w:rPr>
          <w:sz w:val="22"/>
          <w:szCs w:val="22"/>
        </w:rPr>
      </w:pPr>
    </w:p>
    <w:p w14:paraId="56F59C60" w14:textId="77777777" w:rsidR="00D61335" w:rsidRPr="00D61335" w:rsidRDefault="00D61335" w:rsidP="00D61335">
      <w:pPr>
        <w:pStyle w:val="Recuodecorpodetexto"/>
        <w:rPr>
          <w:sz w:val="22"/>
          <w:szCs w:val="22"/>
        </w:rPr>
      </w:pPr>
      <w:r w:rsidRPr="00D61335">
        <w:rPr>
          <w:sz w:val="22"/>
          <w:szCs w:val="22"/>
        </w:rPr>
        <w:t>Por fim, as vendas externas brasileiras para o Vietnã cresceram US$ 434,21 milhões no período, totalizando US$ 1,94 bilhão e atingindo 2,0% de participação. Os itens da pauta exportadora agropecuária brasileira que mais influenciaram nesse processo foram o milho (+US$ 443,20 milhões) e a soja em grãos (+US$ 112,78 milhões).</w:t>
      </w:r>
    </w:p>
    <w:p w14:paraId="7CD0DC75" w14:textId="77777777" w:rsidR="00EB665F" w:rsidRPr="00161E3F" w:rsidRDefault="00EB665F" w:rsidP="00EB665F">
      <w:pPr>
        <w:pStyle w:val="Recuodecorpodetexto"/>
        <w:rPr>
          <w:rFonts w:ascii="Arial" w:hAnsi="Arial" w:cs="Arial"/>
          <w:sz w:val="20"/>
          <w:szCs w:val="20"/>
        </w:rPr>
      </w:pPr>
    </w:p>
    <w:p w14:paraId="7EFAB449" w14:textId="6F9E42B4" w:rsidR="00384963" w:rsidRPr="00161E3F" w:rsidRDefault="00161E3F" w:rsidP="0001136D">
      <w:pPr>
        <w:rPr>
          <w:rFonts w:ascii="Arial" w:hAnsi="Arial" w:cs="Arial"/>
          <w:sz w:val="20"/>
          <w:szCs w:val="20"/>
        </w:rPr>
      </w:pPr>
      <w:r w:rsidRPr="00161E3F">
        <w:rPr>
          <w:rFonts w:ascii="Arial" w:hAnsi="Arial" w:cs="Arial"/>
          <w:noProof/>
          <w:sz w:val="20"/>
          <w:szCs w:val="20"/>
        </w:rPr>
        <w:lastRenderedPageBreak/>
        <w:drawing>
          <wp:inline distT="0" distB="0" distL="0" distR="0" wp14:anchorId="2571E403" wp14:editId="57E3D821">
            <wp:extent cx="6480175" cy="3879215"/>
            <wp:effectExtent l="0" t="0" r="0" b="698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3879215"/>
                    </a:xfrm>
                    <a:prstGeom prst="rect">
                      <a:avLst/>
                    </a:prstGeom>
                  </pic:spPr>
                </pic:pic>
              </a:graphicData>
            </a:graphic>
          </wp:inline>
        </w:drawing>
      </w:r>
    </w:p>
    <w:p w14:paraId="154499D2" w14:textId="77777777" w:rsidR="00384963" w:rsidRPr="00161E3F" w:rsidRDefault="00384963" w:rsidP="00384963">
      <w:pPr>
        <w:pStyle w:val="Recuodecorpodetexto"/>
        <w:ind w:firstLine="0"/>
        <w:rPr>
          <w:rFonts w:ascii="Arial" w:hAnsi="Arial" w:cs="Arial"/>
          <w:sz w:val="20"/>
          <w:szCs w:val="20"/>
        </w:rPr>
      </w:pPr>
    </w:p>
    <w:p w14:paraId="03CDC843" w14:textId="77777777" w:rsidR="00C87B02" w:rsidRPr="00161E3F"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161E3F">
        <w:rPr>
          <w:i w:val="0"/>
          <w:sz w:val="20"/>
          <w:szCs w:val="20"/>
          <w:lang w:val="pt-BR"/>
        </w:rPr>
        <w:t>NOTA METODOLÓGICA</w:t>
      </w:r>
    </w:p>
    <w:p w14:paraId="088863F2" w14:textId="7609D458" w:rsidR="00C87B02" w:rsidRPr="00161E3F"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161E3F">
        <w:rPr>
          <w:rFonts w:ascii="Arial" w:hAnsi="Arial" w:cs="Arial"/>
          <w:sz w:val="20"/>
          <w:szCs w:val="20"/>
        </w:rPr>
        <w:t xml:space="preserve">A classificação de produtos do agronegócio utilizada nesta nota foi atualizada de acordo com a Resolução CAMEX Nº </w:t>
      </w:r>
      <w:r w:rsidR="00B85556" w:rsidRPr="00161E3F">
        <w:rPr>
          <w:rFonts w:ascii="Arial" w:hAnsi="Arial" w:cs="Arial"/>
          <w:sz w:val="20"/>
          <w:szCs w:val="20"/>
        </w:rPr>
        <w:t>125</w:t>
      </w:r>
      <w:r w:rsidRPr="00161E3F">
        <w:rPr>
          <w:rFonts w:ascii="Arial" w:hAnsi="Arial" w:cs="Arial"/>
          <w:sz w:val="20"/>
          <w:szCs w:val="20"/>
        </w:rPr>
        <w:t xml:space="preserve">, de </w:t>
      </w:r>
      <w:r w:rsidR="00B85556" w:rsidRPr="00161E3F">
        <w:rPr>
          <w:rFonts w:ascii="Arial" w:hAnsi="Arial" w:cs="Arial"/>
          <w:sz w:val="20"/>
          <w:szCs w:val="20"/>
        </w:rPr>
        <w:t>15</w:t>
      </w:r>
      <w:r w:rsidRPr="00161E3F">
        <w:rPr>
          <w:rFonts w:ascii="Arial" w:hAnsi="Arial" w:cs="Arial"/>
          <w:sz w:val="20"/>
          <w:szCs w:val="20"/>
        </w:rPr>
        <w:t>/12/201</w:t>
      </w:r>
      <w:r w:rsidR="00B85556" w:rsidRPr="00161E3F">
        <w:rPr>
          <w:rFonts w:ascii="Arial" w:hAnsi="Arial" w:cs="Arial"/>
          <w:sz w:val="20"/>
          <w:szCs w:val="20"/>
        </w:rPr>
        <w:t>6</w:t>
      </w:r>
      <w:r w:rsidRPr="00161E3F">
        <w:rPr>
          <w:rFonts w:ascii="Arial" w:hAnsi="Arial" w:cs="Arial"/>
          <w:sz w:val="20"/>
          <w:szCs w:val="20"/>
        </w:rPr>
        <w:t>, que alterou a Nomenclatura Comum do MERCOSUL – NCM para adaptá-la em relação às modificações do Sistema Harmonizado de Designação e de Codificação de Mercadorias (SH-</w:t>
      </w:r>
      <w:r w:rsidR="007C6628" w:rsidRPr="00161E3F">
        <w:rPr>
          <w:rFonts w:ascii="Arial" w:hAnsi="Arial" w:cs="Arial"/>
          <w:sz w:val="20"/>
          <w:szCs w:val="20"/>
        </w:rPr>
        <w:t>2018</w:t>
      </w:r>
      <w:r w:rsidRPr="00161E3F">
        <w:rPr>
          <w:rFonts w:ascii="Arial" w:hAnsi="Arial" w:cs="Arial"/>
          <w:sz w:val="20"/>
          <w:szCs w:val="20"/>
        </w:rPr>
        <w:t>), que estabelece um método internacional para a classificação de mercadorias.</w:t>
      </w:r>
    </w:p>
    <w:p w14:paraId="736EF7D4" w14:textId="77777777" w:rsidR="00C87B02" w:rsidRPr="00161E3F"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14:paraId="032673B5" w14:textId="77777777" w:rsidR="00C87B02" w:rsidRPr="00161E3F"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161E3F">
        <w:rPr>
          <w:rFonts w:ascii="Arial" w:hAnsi="Arial" w:cs="Arial"/>
          <w:sz w:val="20"/>
          <w:szCs w:val="20"/>
        </w:rPr>
        <w:t xml:space="preserve">A Balança Comercial do Agronegócio utiliza uma classificação dos produtos do agronegócio que reúne 2.867 </w:t>
      </w:r>
      <w:proofErr w:type="spellStart"/>
      <w:r w:rsidRPr="00161E3F">
        <w:rPr>
          <w:rFonts w:ascii="Arial" w:hAnsi="Arial" w:cs="Arial"/>
          <w:sz w:val="20"/>
          <w:szCs w:val="20"/>
        </w:rPr>
        <w:t>NCM’s</w:t>
      </w:r>
      <w:proofErr w:type="spellEnd"/>
      <w:r w:rsidRPr="00161E3F">
        <w:rPr>
          <w:rFonts w:ascii="Arial" w:hAnsi="Arial" w:cs="Arial"/>
          <w:sz w:val="20"/>
          <w:szCs w:val="20"/>
        </w:rPr>
        <w:t xml:space="preserve"> em 25 setores. Essa é a mesma classificação utilizada no AGROSTAT BRASIL - base de dados </w:t>
      </w:r>
      <w:proofErr w:type="spellStart"/>
      <w:r w:rsidRPr="00161E3F">
        <w:rPr>
          <w:rFonts w:ascii="Arial" w:hAnsi="Arial" w:cs="Arial"/>
          <w:i/>
          <w:sz w:val="20"/>
          <w:szCs w:val="20"/>
        </w:rPr>
        <w:t>on</w:t>
      </w:r>
      <w:proofErr w:type="spellEnd"/>
      <w:r w:rsidRPr="00161E3F">
        <w:rPr>
          <w:rFonts w:ascii="Arial" w:hAnsi="Arial" w:cs="Arial"/>
          <w:i/>
          <w:sz w:val="20"/>
          <w:szCs w:val="20"/>
        </w:rPr>
        <w:t xml:space="preserve"> </w:t>
      </w:r>
      <w:proofErr w:type="spellStart"/>
      <w:r w:rsidRPr="00161E3F">
        <w:rPr>
          <w:rFonts w:ascii="Arial" w:hAnsi="Arial" w:cs="Arial"/>
          <w:i/>
          <w:sz w:val="20"/>
          <w:szCs w:val="20"/>
        </w:rPr>
        <w:t>line</w:t>
      </w:r>
      <w:proofErr w:type="spellEnd"/>
      <w:r w:rsidRPr="00161E3F">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 </w:t>
      </w:r>
      <w:hyperlink r:id="rId17" w:history="1">
        <w:r w:rsidRPr="00161E3F">
          <w:rPr>
            <w:rStyle w:val="Hyperlink"/>
            <w:rFonts w:ascii="Arial" w:hAnsi="Arial" w:cs="Arial"/>
            <w:sz w:val="20"/>
            <w:szCs w:val="20"/>
          </w:rPr>
          <w:t>agrostat.agricultura.gov.br</w:t>
        </w:r>
      </w:hyperlink>
      <w:r w:rsidRPr="00161E3F">
        <w:rPr>
          <w:rFonts w:ascii="Arial" w:hAnsi="Arial" w:cs="Arial"/>
          <w:sz w:val="20"/>
          <w:szCs w:val="20"/>
        </w:rPr>
        <w:t xml:space="preserve"> </w:t>
      </w:r>
    </w:p>
    <w:p w14:paraId="0D917D1C" w14:textId="77777777" w:rsidR="00C87B02" w:rsidRPr="00161E3F" w:rsidRDefault="00C87B02">
      <w:pPr>
        <w:pStyle w:val="Ttulo2"/>
        <w:jc w:val="right"/>
        <w:rPr>
          <w:rFonts w:ascii="Arial" w:hAnsi="Arial" w:cs="Arial"/>
          <w:b/>
          <w:sz w:val="20"/>
        </w:rPr>
      </w:pPr>
    </w:p>
    <w:p w14:paraId="217941E9" w14:textId="235C38E6" w:rsidR="00C87B02" w:rsidRPr="00161E3F" w:rsidRDefault="00C87B02">
      <w:pPr>
        <w:pStyle w:val="Ttulo2"/>
        <w:jc w:val="right"/>
        <w:rPr>
          <w:rFonts w:ascii="Arial" w:hAnsi="Arial" w:cs="Arial"/>
          <w:b/>
          <w:sz w:val="20"/>
        </w:rPr>
      </w:pPr>
      <w:r w:rsidRPr="00161E3F">
        <w:rPr>
          <w:rFonts w:ascii="Arial" w:hAnsi="Arial" w:cs="Arial"/>
          <w:b/>
          <w:sz w:val="20"/>
        </w:rPr>
        <w:t>MAPA/S</w:t>
      </w:r>
      <w:r w:rsidR="005C113F" w:rsidRPr="00161E3F">
        <w:rPr>
          <w:rFonts w:ascii="Arial" w:hAnsi="Arial" w:cs="Arial"/>
          <w:b/>
          <w:sz w:val="20"/>
        </w:rPr>
        <w:t>C</w:t>
      </w:r>
      <w:r w:rsidRPr="00161E3F">
        <w:rPr>
          <w:rFonts w:ascii="Arial" w:hAnsi="Arial" w:cs="Arial"/>
          <w:b/>
          <w:sz w:val="20"/>
        </w:rPr>
        <w:t>RI/</w:t>
      </w:r>
      <w:r w:rsidR="005C113F" w:rsidRPr="00161E3F">
        <w:rPr>
          <w:rFonts w:ascii="Arial" w:hAnsi="Arial" w:cs="Arial"/>
          <w:b/>
          <w:sz w:val="20"/>
        </w:rPr>
        <w:t>DCNC</w:t>
      </w:r>
    </w:p>
    <w:p w14:paraId="43E25DF6" w14:textId="4E1C6EAB" w:rsidR="00C87B02" w:rsidRPr="00161E3F" w:rsidRDefault="00C87B02">
      <w:pPr>
        <w:pStyle w:val="Recuodecorpodetexto"/>
        <w:jc w:val="right"/>
        <w:rPr>
          <w:rFonts w:ascii="Arial" w:hAnsi="Arial" w:cs="Arial"/>
          <w:sz w:val="20"/>
          <w:szCs w:val="20"/>
        </w:rPr>
      </w:pPr>
      <w:r w:rsidRPr="00161E3F">
        <w:rPr>
          <w:rFonts w:ascii="Arial" w:hAnsi="Arial" w:cs="Arial"/>
          <w:sz w:val="20"/>
          <w:szCs w:val="20"/>
        </w:rPr>
        <w:t xml:space="preserve"> </w:t>
      </w:r>
      <w:r w:rsidR="004706CC" w:rsidRPr="00161E3F">
        <w:rPr>
          <w:rFonts w:ascii="Arial" w:hAnsi="Arial" w:cs="Arial"/>
          <w:sz w:val="20"/>
          <w:szCs w:val="20"/>
        </w:rPr>
        <w:t>0</w:t>
      </w:r>
      <w:r w:rsidR="009A5E79">
        <w:rPr>
          <w:rFonts w:ascii="Arial" w:hAnsi="Arial" w:cs="Arial"/>
          <w:sz w:val="20"/>
          <w:szCs w:val="20"/>
        </w:rPr>
        <w:t>7</w:t>
      </w:r>
      <w:r w:rsidR="004706CC" w:rsidRPr="00161E3F">
        <w:rPr>
          <w:rFonts w:ascii="Arial" w:hAnsi="Arial" w:cs="Arial"/>
          <w:sz w:val="20"/>
          <w:szCs w:val="20"/>
        </w:rPr>
        <w:t>/1</w:t>
      </w:r>
      <w:r w:rsidR="009A5E79">
        <w:rPr>
          <w:rFonts w:ascii="Arial" w:hAnsi="Arial" w:cs="Arial"/>
          <w:sz w:val="20"/>
          <w:szCs w:val="20"/>
        </w:rPr>
        <w:t>1</w:t>
      </w:r>
      <w:r w:rsidR="00826906" w:rsidRPr="00161E3F">
        <w:rPr>
          <w:rFonts w:ascii="Arial" w:hAnsi="Arial" w:cs="Arial"/>
          <w:sz w:val="20"/>
          <w:szCs w:val="20"/>
        </w:rPr>
        <w:t>/</w:t>
      </w:r>
      <w:r w:rsidR="007C6628" w:rsidRPr="00161E3F">
        <w:rPr>
          <w:rFonts w:ascii="Arial" w:hAnsi="Arial" w:cs="Arial"/>
          <w:sz w:val="20"/>
          <w:szCs w:val="20"/>
        </w:rPr>
        <w:t>2019</w:t>
      </w:r>
    </w:p>
    <w:sectPr w:rsidR="00C87B02" w:rsidRPr="00161E3F" w:rsidSect="00C2569A">
      <w:footerReference w:type="even" r:id="rId18"/>
      <w:footerReference w:type="default" r:id="rId19"/>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2C52" w14:textId="77777777" w:rsidR="00F35186" w:rsidRDefault="00F35186">
      <w:r>
        <w:separator/>
      </w:r>
    </w:p>
  </w:endnote>
  <w:endnote w:type="continuationSeparator" w:id="0">
    <w:p w14:paraId="2D5BBEEF" w14:textId="77777777" w:rsidR="00F35186" w:rsidRDefault="00F3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7040" w14:textId="77777777"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D22BF5" w14:textId="77777777" w:rsidR="008F4F40" w:rsidRDefault="008F4F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7D14" w14:textId="77777777"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3E2A9B">
      <w:rPr>
        <w:rStyle w:val="Nmerodepgina"/>
        <w:rFonts w:ascii="Arial" w:hAnsi="Arial" w:cs="Arial"/>
        <w:noProof/>
        <w:sz w:val="16"/>
        <w:szCs w:val="16"/>
      </w:rPr>
      <w:t>12</w:t>
    </w:r>
    <w:r w:rsidRPr="000754DD">
      <w:rPr>
        <w:rStyle w:val="Nmerodepgina"/>
        <w:rFonts w:ascii="Arial" w:hAnsi="Arial" w:cs="Arial"/>
        <w:sz w:val="16"/>
        <w:szCs w:val="16"/>
      </w:rPr>
      <w:fldChar w:fldCharType="end"/>
    </w:r>
  </w:p>
  <w:p w14:paraId="16504674" w14:textId="77777777" w:rsidR="008F4F40" w:rsidRDefault="008F4F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660B" w14:textId="77777777" w:rsidR="00F35186" w:rsidRDefault="00F35186">
      <w:r>
        <w:separator/>
      </w:r>
    </w:p>
  </w:footnote>
  <w:footnote w:type="continuationSeparator" w:id="0">
    <w:p w14:paraId="6663B0B3" w14:textId="77777777" w:rsidR="00F35186" w:rsidRDefault="00F3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A5"/>
    <w:rsid w:val="000014D2"/>
    <w:rsid w:val="0000209E"/>
    <w:rsid w:val="0000254E"/>
    <w:rsid w:val="000036C3"/>
    <w:rsid w:val="0000402A"/>
    <w:rsid w:val="00004903"/>
    <w:rsid w:val="000054FF"/>
    <w:rsid w:val="00006103"/>
    <w:rsid w:val="00006262"/>
    <w:rsid w:val="00006ECB"/>
    <w:rsid w:val="00007083"/>
    <w:rsid w:val="00007D32"/>
    <w:rsid w:val="00010A70"/>
    <w:rsid w:val="0001136D"/>
    <w:rsid w:val="00012110"/>
    <w:rsid w:val="00012E25"/>
    <w:rsid w:val="0001326B"/>
    <w:rsid w:val="00013681"/>
    <w:rsid w:val="00013B15"/>
    <w:rsid w:val="00013C10"/>
    <w:rsid w:val="0001553F"/>
    <w:rsid w:val="000166CF"/>
    <w:rsid w:val="00017D67"/>
    <w:rsid w:val="00017F9E"/>
    <w:rsid w:val="00021202"/>
    <w:rsid w:val="00021AE7"/>
    <w:rsid w:val="00023523"/>
    <w:rsid w:val="00023700"/>
    <w:rsid w:val="00024620"/>
    <w:rsid w:val="000246E5"/>
    <w:rsid w:val="00024774"/>
    <w:rsid w:val="00025562"/>
    <w:rsid w:val="0002567E"/>
    <w:rsid w:val="0002592B"/>
    <w:rsid w:val="00026C30"/>
    <w:rsid w:val="00027B9D"/>
    <w:rsid w:val="00027CD6"/>
    <w:rsid w:val="00027FBF"/>
    <w:rsid w:val="000301F8"/>
    <w:rsid w:val="00030275"/>
    <w:rsid w:val="00030698"/>
    <w:rsid w:val="000309CC"/>
    <w:rsid w:val="0003161E"/>
    <w:rsid w:val="00031A57"/>
    <w:rsid w:val="0003291F"/>
    <w:rsid w:val="000329DF"/>
    <w:rsid w:val="0003345D"/>
    <w:rsid w:val="000348EF"/>
    <w:rsid w:val="00034D11"/>
    <w:rsid w:val="00034E2F"/>
    <w:rsid w:val="000354EE"/>
    <w:rsid w:val="00035920"/>
    <w:rsid w:val="00035927"/>
    <w:rsid w:val="00035E51"/>
    <w:rsid w:val="000400E7"/>
    <w:rsid w:val="00040781"/>
    <w:rsid w:val="00040AAD"/>
    <w:rsid w:val="00040CEE"/>
    <w:rsid w:val="000411F9"/>
    <w:rsid w:val="0004141A"/>
    <w:rsid w:val="00041459"/>
    <w:rsid w:val="0004188A"/>
    <w:rsid w:val="00041926"/>
    <w:rsid w:val="00041C47"/>
    <w:rsid w:val="000421AD"/>
    <w:rsid w:val="00042DA0"/>
    <w:rsid w:val="00043C91"/>
    <w:rsid w:val="00044959"/>
    <w:rsid w:val="00045520"/>
    <w:rsid w:val="00045689"/>
    <w:rsid w:val="000456E0"/>
    <w:rsid w:val="0004621E"/>
    <w:rsid w:val="00047101"/>
    <w:rsid w:val="00047247"/>
    <w:rsid w:val="00047F65"/>
    <w:rsid w:val="00047FF1"/>
    <w:rsid w:val="00050C8F"/>
    <w:rsid w:val="00051416"/>
    <w:rsid w:val="000516E7"/>
    <w:rsid w:val="00051EEF"/>
    <w:rsid w:val="00053736"/>
    <w:rsid w:val="000542D8"/>
    <w:rsid w:val="00055505"/>
    <w:rsid w:val="00056B26"/>
    <w:rsid w:val="00057E53"/>
    <w:rsid w:val="00057F96"/>
    <w:rsid w:val="00060DB6"/>
    <w:rsid w:val="00060E48"/>
    <w:rsid w:val="00060ECE"/>
    <w:rsid w:val="00063D9B"/>
    <w:rsid w:val="00063DE6"/>
    <w:rsid w:val="000645E2"/>
    <w:rsid w:val="00065EC7"/>
    <w:rsid w:val="00065F75"/>
    <w:rsid w:val="00066372"/>
    <w:rsid w:val="00066406"/>
    <w:rsid w:val="000666A5"/>
    <w:rsid w:val="000676F5"/>
    <w:rsid w:val="00067C72"/>
    <w:rsid w:val="000708D1"/>
    <w:rsid w:val="00070FDC"/>
    <w:rsid w:val="0007199F"/>
    <w:rsid w:val="0007208F"/>
    <w:rsid w:val="000728BD"/>
    <w:rsid w:val="00072A5A"/>
    <w:rsid w:val="00072BF1"/>
    <w:rsid w:val="000735F0"/>
    <w:rsid w:val="00073B00"/>
    <w:rsid w:val="0007448A"/>
    <w:rsid w:val="000749E3"/>
    <w:rsid w:val="00074CFD"/>
    <w:rsid w:val="00074FEC"/>
    <w:rsid w:val="000754DD"/>
    <w:rsid w:val="00076763"/>
    <w:rsid w:val="000777E6"/>
    <w:rsid w:val="00080CDD"/>
    <w:rsid w:val="0008233D"/>
    <w:rsid w:val="000838F3"/>
    <w:rsid w:val="00084C40"/>
    <w:rsid w:val="000851AD"/>
    <w:rsid w:val="000860D5"/>
    <w:rsid w:val="0008675A"/>
    <w:rsid w:val="00086BE6"/>
    <w:rsid w:val="00087349"/>
    <w:rsid w:val="00091B89"/>
    <w:rsid w:val="00092CA9"/>
    <w:rsid w:val="000930DA"/>
    <w:rsid w:val="00093582"/>
    <w:rsid w:val="00093FC9"/>
    <w:rsid w:val="0009438C"/>
    <w:rsid w:val="00094CD8"/>
    <w:rsid w:val="00094EAB"/>
    <w:rsid w:val="000950D3"/>
    <w:rsid w:val="00095783"/>
    <w:rsid w:val="00096E13"/>
    <w:rsid w:val="000976B6"/>
    <w:rsid w:val="000978BB"/>
    <w:rsid w:val="00097960"/>
    <w:rsid w:val="00097ADA"/>
    <w:rsid w:val="00097AEB"/>
    <w:rsid w:val="000A0879"/>
    <w:rsid w:val="000A0E3C"/>
    <w:rsid w:val="000A12CC"/>
    <w:rsid w:val="000A14AC"/>
    <w:rsid w:val="000A16C5"/>
    <w:rsid w:val="000A2859"/>
    <w:rsid w:val="000A3C7F"/>
    <w:rsid w:val="000A412F"/>
    <w:rsid w:val="000A58CA"/>
    <w:rsid w:val="000A6462"/>
    <w:rsid w:val="000A6B29"/>
    <w:rsid w:val="000A7772"/>
    <w:rsid w:val="000B1245"/>
    <w:rsid w:val="000B1599"/>
    <w:rsid w:val="000B1EFC"/>
    <w:rsid w:val="000B2071"/>
    <w:rsid w:val="000B2CCF"/>
    <w:rsid w:val="000B4CB7"/>
    <w:rsid w:val="000B617B"/>
    <w:rsid w:val="000B6F56"/>
    <w:rsid w:val="000B778B"/>
    <w:rsid w:val="000C0B2D"/>
    <w:rsid w:val="000C0F47"/>
    <w:rsid w:val="000C101E"/>
    <w:rsid w:val="000C1354"/>
    <w:rsid w:val="000C4843"/>
    <w:rsid w:val="000C4CA1"/>
    <w:rsid w:val="000C4E0B"/>
    <w:rsid w:val="000C5899"/>
    <w:rsid w:val="000C5BC6"/>
    <w:rsid w:val="000C64AB"/>
    <w:rsid w:val="000C6B89"/>
    <w:rsid w:val="000C6CD3"/>
    <w:rsid w:val="000C7E02"/>
    <w:rsid w:val="000D0596"/>
    <w:rsid w:val="000D0A1C"/>
    <w:rsid w:val="000D0A49"/>
    <w:rsid w:val="000D1791"/>
    <w:rsid w:val="000D26FA"/>
    <w:rsid w:val="000D279E"/>
    <w:rsid w:val="000D2D61"/>
    <w:rsid w:val="000D39E2"/>
    <w:rsid w:val="000D4068"/>
    <w:rsid w:val="000D5591"/>
    <w:rsid w:val="000D5BE5"/>
    <w:rsid w:val="000E03A7"/>
    <w:rsid w:val="000E0754"/>
    <w:rsid w:val="000E1F98"/>
    <w:rsid w:val="000E26E8"/>
    <w:rsid w:val="000E2E78"/>
    <w:rsid w:val="000E3005"/>
    <w:rsid w:val="000E33C3"/>
    <w:rsid w:val="000E398E"/>
    <w:rsid w:val="000E39A2"/>
    <w:rsid w:val="000E3FFC"/>
    <w:rsid w:val="000E42AC"/>
    <w:rsid w:val="000E4AF7"/>
    <w:rsid w:val="000E4D0B"/>
    <w:rsid w:val="000E7154"/>
    <w:rsid w:val="000E7667"/>
    <w:rsid w:val="000E7821"/>
    <w:rsid w:val="000F20EC"/>
    <w:rsid w:val="000F2478"/>
    <w:rsid w:val="000F3A73"/>
    <w:rsid w:val="000F4768"/>
    <w:rsid w:val="000F5D88"/>
    <w:rsid w:val="000F67E1"/>
    <w:rsid w:val="000F6FB8"/>
    <w:rsid w:val="000F7529"/>
    <w:rsid w:val="000F7E4B"/>
    <w:rsid w:val="000F7E56"/>
    <w:rsid w:val="001002A5"/>
    <w:rsid w:val="001009DA"/>
    <w:rsid w:val="00102086"/>
    <w:rsid w:val="00102185"/>
    <w:rsid w:val="00102714"/>
    <w:rsid w:val="001028A9"/>
    <w:rsid w:val="00102FA0"/>
    <w:rsid w:val="00103608"/>
    <w:rsid w:val="00103A27"/>
    <w:rsid w:val="00103E4E"/>
    <w:rsid w:val="0010432D"/>
    <w:rsid w:val="00104345"/>
    <w:rsid w:val="00106AE7"/>
    <w:rsid w:val="0011004F"/>
    <w:rsid w:val="0011065F"/>
    <w:rsid w:val="0011143D"/>
    <w:rsid w:val="001120A0"/>
    <w:rsid w:val="0011278C"/>
    <w:rsid w:val="00112CB5"/>
    <w:rsid w:val="0011359A"/>
    <w:rsid w:val="00114060"/>
    <w:rsid w:val="001145E1"/>
    <w:rsid w:val="00114767"/>
    <w:rsid w:val="001148DB"/>
    <w:rsid w:val="00115593"/>
    <w:rsid w:val="00116244"/>
    <w:rsid w:val="00116DF6"/>
    <w:rsid w:val="001172F2"/>
    <w:rsid w:val="00120C53"/>
    <w:rsid w:val="00120FC3"/>
    <w:rsid w:val="001214F0"/>
    <w:rsid w:val="00121674"/>
    <w:rsid w:val="00121B82"/>
    <w:rsid w:val="001230EB"/>
    <w:rsid w:val="00123AEA"/>
    <w:rsid w:val="00123C08"/>
    <w:rsid w:val="00124184"/>
    <w:rsid w:val="00124275"/>
    <w:rsid w:val="00124438"/>
    <w:rsid w:val="001248CD"/>
    <w:rsid w:val="00125976"/>
    <w:rsid w:val="00127EF3"/>
    <w:rsid w:val="001302B1"/>
    <w:rsid w:val="00130896"/>
    <w:rsid w:val="00130BEF"/>
    <w:rsid w:val="00131883"/>
    <w:rsid w:val="00131C03"/>
    <w:rsid w:val="00132734"/>
    <w:rsid w:val="00132CFF"/>
    <w:rsid w:val="0013358D"/>
    <w:rsid w:val="001343E9"/>
    <w:rsid w:val="00134A6E"/>
    <w:rsid w:val="00134AB8"/>
    <w:rsid w:val="00135398"/>
    <w:rsid w:val="00135405"/>
    <w:rsid w:val="00135BA2"/>
    <w:rsid w:val="001360B0"/>
    <w:rsid w:val="00136B69"/>
    <w:rsid w:val="00136D9F"/>
    <w:rsid w:val="00137206"/>
    <w:rsid w:val="00137272"/>
    <w:rsid w:val="0013770C"/>
    <w:rsid w:val="00140494"/>
    <w:rsid w:val="00140CC4"/>
    <w:rsid w:val="001410C3"/>
    <w:rsid w:val="00142592"/>
    <w:rsid w:val="00142F1E"/>
    <w:rsid w:val="00143382"/>
    <w:rsid w:val="00144082"/>
    <w:rsid w:val="0014413D"/>
    <w:rsid w:val="00144D60"/>
    <w:rsid w:val="0014572B"/>
    <w:rsid w:val="0014658F"/>
    <w:rsid w:val="001469B5"/>
    <w:rsid w:val="0014766D"/>
    <w:rsid w:val="001479CC"/>
    <w:rsid w:val="00147F3E"/>
    <w:rsid w:val="0015012C"/>
    <w:rsid w:val="001502A6"/>
    <w:rsid w:val="00150906"/>
    <w:rsid w:val="00150D5F"/>
    <w:rsid w:val="00151988"/>
    <w:rsid w:val="00153702"/>
    <w:rsid w:val="00153E37"/>
    <w:rsid w:val="00155044"/>
    <w:rsid w:val="001553E1"/>
    <w:rsid w:val="0015622C"/>
    <w:rsid w:val="00156437"/>
    <w:rsid w:val="00156CF0"/>
    <w:rsid w:val="00157AFB"/>
    <w:rsid w:val="00161E3F"/>
    <w:rsid w:val="00161E99"/>
    <w:rsid w:val="001629CA"/>
    <w:rsid w:val="001631E2"/>
    <w:rsid w:val="00163E30"/>
    <w:rsid w:val="001653C9"/>
    <w:rsid w:val="001654D4"/>
    <w:rsid w:val="00165A56"/>
    <w:rsid w:val="001668BA"/>
    <w:rsid w:val="00166F09"/>
    <w:rsid w:val="00167040"/>
    <w:rsid w:val="00167101"/>
    <w:rsid w:val="00167A20"/>
    <w:rsid w:val="00171552"/>
    <w:rsid w:val="001715EE"/>
    <w:rsid w:val="00171A0D"/>
    <w:rsid w:val="00172239"/>
    <w:rsid w:val="0017334E"/>
    <w:rsid w:val="001737BF"/>
    <w:rsid w:val="001739E0"/>
    <w:rsid w:val="00173C33"/>
    <w:rsid w:val="001740EF"/>
    <w:rsid w:val="0017415F"/>
    <w:rsid w:val="00175DF5"/>
    <w:rsid w:val="00175FD4"/>
    <w:rsid w:val="001765E5"/>
    <w:rsid w:val="001768DC"/>
    <w:rsid w:val="00177C36"/>
    <w:rsid w:val="00180987"/>
    <w:rsid w:val="00181959"/>
    <w:rsid w:val="00181A5E"/>
    <w:rsid w:val="00181F12"/>
    <w:rsid w:val="0018353B"/>
    <w:rsid w:val="001845DB"/>
    <w:rsid w:val="00185460"/>
    <w:rsid w:val="001855B7"/>
    <w:rsid w:val="001877D0"/>
    <w:rsid w:val="00187C56"/>
    <w:rsid w:val="0019065E"/>
    <w:rsid w:val="00191D61"/>
    <w:rsid w:val="00192430"/>
    <w:rsid w:val="00193C52"/>
    <w:rsid w:val="00193F46"/>
    <w:rsid w:val="00194175"/>
    <w:rsid w:val="0019506D"/>
    <w:rsid w:val="001950E2"/>
    <w:rsid w:val="00195D36"/>
    <w:rsid w:val="001965D0"/>
    <w:rsid w:val="00196B83"/>
    <w:rsid w:val="001A002C"/>
    <w:rsid w:val="001A0A6C"/>
    <w:rsid w:val="001A0C5C"/>
    <w:rsid w:val="001A0CE7"/>
    <w:rsid w:val="001A1062"/>
    <w:rsid w:val="001A1AD0"/>
    <w:rsid w:val="001A1F94"/>
    <w:rsid w:val="001A29EA"/>
    <w:rsid w:val="001A3C0C"/>
    <w:rsid w:val="001A47BE"/>
    <w:rsid w:val="001A4C12"/>
    <w:rsid w:val="001A551F"/>
    <w:rsid w:val="001A5F2C"/>
    <w:rsid w:val="001A69E4"/>
    <w:rsid w:val="001A7D65"/>
    <w:rsid w:val="001B0348"/>
    <w:rsid w:val="001B10C1"/>
    <w:rsid w:val="001B15A0"/>
    <w:rsid w:val="001B18D8"/>
    <w:rsid w:val="001B21EA"/>
    <w:rsid w:val="001B23D6"/>
    <w:rsid w:val="001B272C"/>
    <w:rsid w:val="001B290B"/>
    <w:rsid w:val="001B2E81"/>
    <w:rsid w:val="001B48AD"/>
    <w:rsid w:val="001B5153"/>
    <w:rsid w:val="001B5F0E"/>
    <w:rsid w:val="001B7C51"/>
    <w:rsid w:val="001C10B3"/>
    <w:rsid w:val="001C182B"/>
    <w:rsid w:val="001C2AFB"/>
    <w:rsid w:val="001C2BE2"/>
    <w:rsid w:val="001C3C0D"/>
    <w:rsid w:val="001C499D"/>
    <w:rsid w:val="001C75BF"/>
    <w:rsid w:val="001C7639"/>
    <w:rsid w:val="001D02B6"/>
    <w:rsid w:val="001D1357"/>
    <w:rsid w:val="001D3304"/>
    <w:rsid w:val="001D35D6"/>
    <w:rsid w:val="001D3640"/>
    <w:rsid w:val="001D51EE"/>
    <w:rsid w:val="001D5DA7"/>
    <w:rsid w:val="001D5EE4"/>
    <w:rsid w:val="001E005F"/>
    <w:rsid w:val="001E090A"/>
    <w:rsid w:val="001E2DBF"/>
    <w:rsid w:val="001E3298"/>
    <w:rsid w:val="001E3EA2"/>
    <w:rsid w:val="001E4FEE"/>
    <w:rsid w:val="001E605F"/>
    <w:rsid w:val="001E649C"/>
    <w:rsid w:val="001F03E4"/>
    <w:rsid w:val="001F1E12"/>
    <w:rsid w:val="001F1E86"/>
    <w:rsid w:val="001F25CA"/>
    <w:rsid w:val="001F304D"/>
    <w:rsid w:val="001F3315"/>
    <w:rsid w:val="001F39C4"/>
    <w:rsid w:val="001F47BF"/>
    <w:rsid w:val="001F59FD"/>
    <w:rsid w:val="001F6377"/>
    <w:rsid w:val="001F6BD9"/>
    <w:rsid w:val="00200422"/>
    <w:rsid w:val="00200C1F"/>
    <w:rsid w:val="00201721"/>
    <w:rsid w:val="002018BC"/>
    <w:rsid w:val="00201EB6"/>
    <w:rsid w:val="0020228A"/>
    <w:rsid w:val="00202D83"/>
    <w:rsid w:val="00202E7D"/>
    <w:rsid w:val="002037B1"/>
    <w:rsid w:val="00203C2C"/>
    <w:rsid w:val="00204020"/>
    <w:rsid w:val="00204023"/>
    <w:rsid w:val="002048AD"/>
    <w:rsid w:val="0020496C"/>
    <w:rsid w:val="00204E09"/>
    <w:rsid w:val="00204E55"/>
    <w:rsid w:val="00205177"/>
    <w:rsid w:val="0020693B"/>
    <w:rsid w:val="00206CCC"/>
    <w:rsid w:val="0020757C"/>
    <w:rsid w:val="002101DA"/>
    <w:rsid w:val="002104CA"/>
    <w:rsid w:val="002106CF"/>
    <w:rsid w:val="00210CDA"/>
    <w:rsid w:val="0021144F"/>
    <w:rsid w:val="00211702"/>
    <w:rsid w:val="00214201"/>
    <w:rsid w:val="00214566"/>
    <w:rsid w:val="0021521E"/>
    <w:rsid w:val="00215A65"/>
    <w:rsid w:val="0021634D"/>
    <w:rsid w:val="00216841"/>
    <w:rsid w:val="002175BC"/>
    <w:rsid w:val="00217690"/>
    <w:rsid w:val="0021787B"/>
    <w:rsid w:val="00220065"/>
    <w:rsid w:val="00220165"/>
    <w:rsid w:val="00220873"/>
    <w:rsid w:val="00221D32"/>
    <w:rsid w:val="00224391"/>
    <w:rsid w:val="00224683"/>
    <w:rsid w:val="0022533F"/>
    <w:rsid w:val="002255A9"/>
    <w:rsid w:val="002259FA"/>
    <w:rsid w:val="002271DC"/>
    <w:rsid w:val="00230941"/>
    <w:rsid w:val="00230FEE"/>
    <w:rsid w:val="00231034"/>
    <w:rsid w:val="0023186C"/>
    <w:rsid w:val="00232DF4"/>
    <w:rsid w:val="00232F99"/>
    <w:rsid w:val="00233BE6"/>
    <w:rsid w:val="00233C69"/>
    <w:rsid w:val="0023409D"/>
    <w:rsid w:val="00234BDA"/>
    <w:rsid w:val="00235B60"/>
    <w:rsid w:val="00235D7C"/>
    <w:rsid w:val="00235D98"/>
    <w:rsid w:val="002365E6"/>
    <w:rsid w:val="00236C8A"/>
    <w:rsid w:val="0023726D"/>
    <w:rsid w:val="0024071A"/>
    <w:rsid w:val="00240914"/>
    <w:rsid w:val="00243565"/>
    <w:rsid w:val="002444B6"/>
    <w:rsid w:val="00244DAD"/>
    <w:rsid w:val="00244FFD"/>
    <w:rsid w:val="00246FFB"/>
    <w:rsid w:val="0024709A"/>
    <w:rsid w:val="0025029B"/>
    <w:rsid w:val="00252568"/>
    <w:rsid w:val="002532FE"/>
    <w:rsid w:val="00253BAB"/>
    <w:rsid w:val="00253F6E"/>
    <w:rsid w:val="0025449A"/>
    <w:rsid w:val="00256A85"/>
    <w:rsid w:val="0025703A"/>
    <w:rsid w:val="002575E1"/>
    <w:rsid w:val="002576A8"/>
    <w:rsid w:val="00257972"/>
    <w:rsid w:val="00257CA9"/>
    <w:rsid w:val="00260952"/>
    <w:rsid w:val="00260A3D"/>
    <w:rsid w:val="00262474"/>
    <w:rsid w:val="0026519E"/>
    <w:rsid w:val="00265916"/>
    <w:rsid w:val="00265B91"/>
    <w:rsid w:val="0026638C"/>
    <w:rsid w:val="00266F5A"/>
    <w:rsid w:val="00267384"/>
    <w:rsid w:val="00270FB8"/>
    <w:rsid w:val="0027196A"/>
    <w:rsid w:val="0027256F"/>
    <w:rsid w:val="00272B5F"/>
    <w:rsid w:val="00273ED5"/>
    <w:rsid w:val="00274325"/>
    <w:rsid w:val="002759C4"/>
    <w:rsid w:val="00275FD2"/>
    <w:rsid w:val="002765C2"/>
    <w:rsid w:val="0027693B"/>
    <w:rsid w:val="00277191"/>
    <w:rsid w:val="00280B61"/>
    <w:rsid w:val="00280D1E"/>
    <w:rsid w:val="00280F43"/>
    <w:rsid w:val="00281796"/>
    <w:rsid w:val="00281CB4"/>
    <w:rsid w:val="00282463"/>
    <w:rsid w:val="002825B3"/>
    <w:rsid w:val="00282A21"/>
    <w:rsid w:val="002834B5"/>
    <w:rsid w:val="002846ED"/>
    <w:rsid w:val="00286307"/>
    <w:rsid w:val="00286682"/>
    <w:rsid w:val="00286980"/>
    <w:rsid w:val="00286EB2"/>
    <w:rsid w:val="0028796C"/>
    <w:rsid w:val="00287BF8"/>
    <w:rsid w:val="00287C5B"/>
    <w:rsid w:val="00290216"/>
    <w:rsid w:val="002905B3"/>
    <w:rsid w:val="00290EE0"/>
    <w:rsid w:val="00292902"/>
    <w:rsid w:val="00292C37"/>
    <w:rsid w:val="00292F48"/>
    <w:rsid w:val="002954AE"/>
    <w:rsid w:val="002954F3"/>
    <w:rsid w:val="0029641D"/>
    <w:rsid w:val="00296626"/>
    <w:rsid w:val="002A0A91"/>
    <w:rsid w:val="002A451B"/>
    <w:rsid w:val="002A4B0B"/>
    <w:rsid w:val="002A50D8"/>
    <w:rsid w:val="002A5A16"/>
    <w:rsid w:val="002A5B80"/>
    <w:rsid w:val="002A5D48"/>
    <w:rsid w:val="002A699C"/>
    <w:rsid w:val="002A69F4"/>
    <w:rsid w:val="002A7051"/>
    <w:rsid w:val="002A707F"/>
    <w:rsid w:val="002A7318"/>
    <w:rsid w:val="002A750D"/>
    <w:rsid w:val="002A7843"/>
    <w:rsid w:val="002B0032"/>
    <w:rsid w:val="002B0264"/>
    <w:rsid w:val="002B0AA4"/>
    <w:rsid w:val="002B0BBC"/>
    <w:rsid w:val="002B1708"/>
    <w:rsid w:val="002B19C3"/>
    <w:rsid w:val="002B1A0F"/>
    <w:rsid w:val="002B225F"/>
    <w:rsid w:val="002B3495"/>
    <w:rsid w:val="002B3FF6"/>
    <w:rsid w:val="002B3FFA"/>
    <w:rsid w:val="002B40D1"/>
    <w:rsid w:val="002B4209"/>
    <w:rsid w:val="002B48DF"/>
    <w:rsid w:val="002B4BFF"/>
    <w:rsid w:val="002B5200"/>
    <w:rsid w:val="002B6586"/>
    <w:rsid w:val="002B728E"/>
    <w:rsid w:val="002B76D5"/>
    <w:rsid w:val="002C006D"/>
    <w:rsid w:val="002C0364"/>
    <w:rsid w:val="002C0850"/>
    <w:rsid w:val="002C0938"/>
    <w:rsid w:val="002C1597"/>
    <w:rsid w:val="002C2E49"/>
    <w:rsid w:val="002C2EBD"/>
    <w:rsid w:val="002C2F67"/>
    <w:rsid w:val="002C2F82"/>
    <w:rsid w:val="002C41FE"/>
    <w:rsid w:val="002C5A64"/>
    <w:rsid w:val="002C61C3"/>
    <w:rsid w:val="002C71CF"/>
    <w:rsid w:val="002C741E"/>
    <w:rsid w:val="002D057E"/>
    <w:rsid w:val="002D15C6"/>
    <w:rsid w:val="002D198F"/>
    <w:rsid w:val="002D2497"/>
    <w:rsid w:val="002D2693"/>
    <w:rsid w:val="002D35B6"/>
    <w:rsid w:val="002D37D5"/>
    <w:rsid w:val="002D4505"/>
    <w:rsid w:val="002D5693"/>
    <w:rsid w:val="002D58E0"/>
    <w:rsid w:val="002D6145"/>
    <w:rsid w:val="002D6B4E"/>
    <w:rsid w:val="002D6E77"/>
    <w:rsid w:val="002D7367"/>
    <w:rsid w:val="002E05B8"/>
    <w:rsid w:val="002E1A76"/>
    <w:rsid w:val="002E1D8A"/>
    <w:rsid w:val="002E2A6B"/>
    <w:rsid w:val="002E3695"/>
    <w:rsid w:val="002E416C"/>
    <w:rsid w:val="002E50B6"/>
    <w:rsid w:val="002E50CA"/>
    <w:rsid w:val="002E5A8C"/>
    <w:rsid w:val="002E64B9"/>
    <w:rsid w:val="002E6B13"/>
    <w:rsid w:val="002E6BC7"/>
    <w:rsid w:val="002E6CA1"/>
    <w:rsid w:val="002E7085"/>
    <w:rsid w:val="002E78F4"/>
    <w:rsid w:val="002F00B6"/>
    <w:rsid w:val="002F2AA2"/>
    <w:rsid w:val="002F2B38"/>
    <w:rsid w:val="002F37D6"/>
    <w:rsid w:val="002F4059"/>
    <w:rsid w:val="002F4822"/>
    <w:rsid w:val="002F4B47"/>
    <w:rsid w:val="002F6408"/>
    <w:rsid w:val="002F69FB"/>
    <w:rsid w:val="002F6A42"/>
    <w:rsid w:val="002F6CE0"/>
    <w:rsid w:val="002F6D78"/>
    <w:rsid w:val="00300B6A"/>
    <w:rsid w:val="00301071"/>
    <w:rsid w:val="00301BFC"/>
    <w:rsid w:val="00301E82"/>
    <w:rsid w:val="00302D1E"/>
    <w:rsid w:val="0030347E"/>
    <w:rsid w:val="003054FC"/>
    <w:rsid w:val="0030680F"/>
    <w:rsid w:val="0031100B"/>
    <w:rsid w:val="003114C5"/>
    <w:rsid w:val="00311EF8"/>
    <w:rsid w:val="00311F32"/>
    <w:rsid w:val="00312E0B"/>
    <w:rsid w:val="003136E0"/>
    <w:rsid w:val="00313A73"/>
    <w:rsid w:val="003143F7"/>
    <w:rsid w:val="003146D2"/>
    <w:rsid w:val="00314BFA"/>
    <w:rsid w:val="00316822"/>
    <w:rsid w:val="00316C31"/>
    <w:rsid w:val="00317C56"/>
    <w:rsid w:val="00320151"/>
    <w:rsid w:val="003202FE"/>
    <w:rsid w:val="00320DCF"/>
    <w:rsid w:val="003213EA"/>
    <w:rsid w:val="00321FD3"/>
    <w:rsid w:val="003222A3"/>
    <w:rsid w:val="003224EB"/>
    <w:rsid w:val="00322652"/>
    <w:rsid w:val="00323974"/>
    <w:rsid w:val="00323A54"/>
    <w:rsid w:val="00324262"/>
    <w:rsid w:val="00324322"/>
    <w:rsid w:val="003243CC"/>
    <w:rsid w:val="00324ECE"/>
    <w:rsid w:val="00324F68"/>
    <w:rsid w:val="003259EE"/>
    <w:rsid w:val="00327472"/>
    <w:rsid w:val="00330581"/>
    <w:rsid w:val="003306C9"/>
    <w:rsid w:val="00330A67"/>
    <w:rsid w:val="00330D35"/>
    <w:rsid w:val="00332895"/>
    <w:rsid w:val="00334232"/>
    <w:rsid w:val="00334E38"/>
    <w:rsid w:val="00334ED4"/>
    <w:rsid w:val="00334FCC"/>
    <w:rsid w:val="00335352"/>
    <w:rsid w:val="00335889"/>
    <w:rsid w:val="00335DB5"/>
    <w:rsid w:val="00336A86"/>
    <w:rsid w:val="00341FEA"/>
    <w:rsid w:val="00343ADB"/>
    <w:rsid w:val="00343CAD"/>
    <w:rsid w:val="00345AEE"/>
    <w:rsid w:val="00350F51"/>
    <w:rsid w:val="0035125D"/>
    <w:rsid w:val="00352DE2"/>
    <w:rsid w:val="00353472"/>
    <w:rsid w:val="0035436D"/>
    <w:rsid w:val="00354FF6"/>
    <w:rsid w:val="00355FCD"/>
    <w:rsid w:val="003561A5"/>
    <w:rsid w:val="003573B7"/>
    <w:rsid w:val="0036071C"/>
    <w:rsid w:val="00361C71"/>
    <w:rsid w:val="003630D6"/>
    <w:rsid w:val="0036317F"/>
    <w:rsid w:val="00364842"/>
    <w:rsid w:val="00365AB9"/>
    <w:rsid w:val="00367D6B"/>
    <w:rsid w:val="00370C77"/>
    <w:rsid w:val="00370F4A"/>
    <w:rsid w:val="00372F4E"/>
    <w:rsid w:val="003734AA"/>
    <w:rsid w:val="003743B9"/>
    <w:rsid w:val="00374794"/>
    <w:rsid w:val="00374A21"/>
    <w:rsid w:val="003766EA"/>
    <w:rsid w:val="0038134C"/>
    <w:rsid w:val="003820BA"/>
    <w:rsid w:val="003823A1"/>
    <w:rsid w:val="00382526"/>
    <w:rsid w:val="00382C83"/>
    <w:rsid w:val="00383C89"/>
    <w:rsid w:val="00383D01"/>
    <w:rsid w:val="00384177"/>
    <w:rsid w:val="00384963"/>
    <w:rsid w:val="003862C2"/>
    <w:rsid w:val="003867B8"/>
    <w:rsid w:val="00386C6D"/>
    <w:rsid w:val="003909E2"/>
    <w:rsid w:val="00390CD1"/>
    <w:rsid w:val="003926FF"/>
    <w:rsid w:val="00392C3A"/>
    <w:rsid w:val="00392E0F"/>
    <w:rsid w:val="00392FC0"/>
    <w:rsid w:val="003947CB"/>
    <w:rsid w:val="003949D8"/>
    <w:rsid w:val="00394C37"/>
    <w:rsid w:val="00394ED0"/>
    <w:rsid w:val="003952C4"/>
    <w:rsid w:val="0039561C"/>
    <w:rsid w:val="003A0B29"/>
    <w:rsid w:val="003A0E82"/>
    <w:rsid w:val="003A1348"/>
    <w:rsid w:val="003A1858"/>
    <w:rsid w:val="003A2950"/>
    <w:rsid w:val="003A47B8"/>
    <w:rsid w:val="003A510C"/>
    <w:rsid w:val="003A6481"/>
    <w:rsid w:val="003A7A2A"/>
    <w:rsid w:val="003A7ED6"/>
    <w:rsid w:val="003A7F11"/>
    <w:rsid w:val="003B049D"/>
    <w:rsid w:val="003B0ACC"/>
    <w:rsid w:val="003B0D74"/>
    <w:rsid w:val="003B1517"/>
    <w:rsid w:val="003B1EC6"/>
    <w:rsid w:val="003B2B76"/>
    <w:rsid w:val="003B3718"/>
    <w:rsid w:val="003B434D"/>
    <w:rsid w:val="003B5497"/>
    <w:rsid w:val="003B58CD"/>
    <w:rsid w:val="003B6186"/>
    <w:rsid w:val="003B632E"/>
    <w:rsid w:val="003B6A83"/>
    <w:rsid w:val="003B6C9F"/>
    <w:rsid w:val="003B73D5"/>
    <w:rsid w:val="003B7B3B"/>
    <w:rsid w:val="003C13B7"/>
    <w:rsid w:val="003C1449"/>
    <w:rsid w:val="003C3151"/>
    <w:rsid w:val="003C3CF6"/>
    <w:rsid w:val="003C54E1"/>
    <w:rsid w:val="003C59B2"/>
    <w:rsid w:val="003C69D0"/>
    <w:rsid w:val="003D07AA"/>
    <w:rsid w:val="003D07B0"/>
    <w:rsid w:val="003D11F0"/>
    <w:rsid w:val="003D17C5"/>
    <w:rsid w:val="003D1872"/>
    <w:rsid w:val="003D27B6"/>
    <w:rsid w:val="003D302B"/>
    <w:rsid w:val="003D31BB"/>
    <w:rsid w:val="003D39F3"/>
    <w:rsid w:val="003D3D98"/>
    <w:rsid w:val="003D4CD5"/>
    <w:rsid w:val="003D5633"/>
    <w:rsid w:val="003D5703"/>
    <w:rsid w:val="003D62F6"/>
    <w:rsid w:val="003D71DE"/>
    <w:rsid w:val="003D7895"/>
    <w:rsid w:val="003D79D4"/>
    <w:rsid w:val="003E091B"/>
    <w:rsid w:val="003E146F"/>
    <w:rsid w:val="003E165E"/>
    <w:rsid w:val="003E1EE3"/>
    <w:rsid w:val="003E2A9B"/>
    <w:rsid w:val="003E2AF6"/>
    <w:rsid w:val="003E30EC"/>
    <w:rsid w:val="003E31CD"/>
    <w:rsid w:val="003E367B"/>
    <w:rsid w:val="003E4A98"/>
    <w:rsid w:val="003E53C5"/>
    <w:rsid w:val="003E56D8"/>
    <w:rsid w:val="003E5C53"/>
    <w:rsid w:val="003E61BE"/>
    <w:rsid w:val="003E6803"/>
    <w:rsid w:val="003E7039"/>
    <w:rsid w:val="003F07E7"/>
    <w:rsid w:val="003F0A4D"/>
    <w:rsid w:val="003F10A8"/>
    <w:rsid w:val="003F150F"/>
    <w:rsid w:val="003F1C93"/>
    <w:rsid w:val="003F2069"/>
    <w:rsid w:val="003F3106"/>
    <w:rsid w:val="003F3114"/>
    <w:rsid w:val="003F4615"/>
    <w:rsid w:val="003F49CC"/>
    <w:rsid w:val="003F5D9B"/>
    <w:rsid w:val="003F5E37"/>
    <w:rsid w:val="003F71CE"/>
    <w:rsid w:val="003F73EB"/>
    <w:rsid w:val="003F79EF"/>
    <w:rsid w:val="004004D6"/>
    <w:rsid w:val="004005E8"/>
    <w:rsid w:val="004005EF"/>
    <w:rsid w:val="004012D9"/>
    <w:rsid w:val="0040178D"/>
    <w:rsid w:val="00401878"/>
    <w:rsid w:val="00401A32"/>
    <w:rsid w:val="00402BD6"/>
    <w:rsid w:val="00403363"/>
    <w:rsid w:val="004033C1"/>
    <w:rsid w:val="00403F4D"/>
    <w:rsid w:val="00405739"/>
    <w:rsid w:val="0040583E"/>
    <w:rsid w:val="00405BFA"/>
    <w:rsid w:val="00405D60"/>
    <w:rsid w:val="00406822"/>
    <w:rsid w:val="00407255"/>
    <w:rsid w:val="004130A6"/>
    <w:rsid w:val="0041356D"/>
    <w:rsid w:val="00413ADB"/>
    <w:rsid w:val="0041433C"/>
    <w:rsid w:val="00414AB5"/>
    <w:rsid w:val="0041502E"/>
    <w:rsid w:val="00415075"/>
    <w:rsid w:val="004150FC"/>
    <w:rsid w:val="0041600B"/>
    <w:rsid w:val="004169FB"/>
    <w:rsid w:val="004215B4"/>
    <w:rsid w:val="00421D62"/>
    <w:rsid w:val="00422301"/>
    <w:rsid w:val="00422C8B"/>
    <w:rsid w:val="004233BC"/>
    <w:rsid w:val="004238B9"/>
    <w:rsid w:val="00426013"/>
    <w:rsid w:val="0042676A"/>
    <w:rsid w:val="00426779"/>
    <w:rsid w:val="00427339"/>
    <w:rsid w:val="004278D4"/>
    <w:rsid w:val="00430556"/>
    <w:rsid w:val="00431374"/>
    <w:rsid w:val="0043165A"/>
    <w:rsid w:val="00431DFE"/>
    <w:rsid w:val="004320F4"/>
    <w:rsid w:val="00432541"/>
    <w:rsid w:val="00433948"/>
    <w:rsid w:val="00433AE8"/>
    <w:rsid w:val="004343AC"/>
    <w:rsid w:val="00434639"/>
    <w:rsid w:val="00434E4E"/>
    <w:rsid w:val="00435123"/>
    <w:rsid w:val="00435284"/>
    <w:rsid w:val="0043540E"/>
    <w:rsid w:val="004360EB"/>
    <w:rsid w:val="00436328"/>
    <w:rsid w:val="00436E8A"/>
    <w:rsid w:val="004375F6"/>
    <w:rsid w:val="004418ED"/>
    <w:rsid w:val="00443955"/>
    <w:rsid w:val="00445579"/>
    <w:rsid w:val="00445D12"/>
    <w:rsid w:val="0044631C"/>
    <w:rsid w:val="00446752"/>
    <w:rsid w:val="00446BC7"/>
    <w:rsid w:val="0044758F"/>
    <w:rsid w:val="004476F8"/>
    <w:rsid w:val="00447760"/>
    <w:rsid w:val="00450323"/>
    <w:rsid w:val="004515A0"/>
    <w:rsid w:val="00452393"/>
    <w:rsid w:val="00452B1D"/>
    <w:rsid w:val="00452EA9"/>
    <w:rsid w:val="004548BB"/>
    <w:rsid w:val="004556F3"/>
    <w:rsid w:val="00455FAB"/>
    <w:rsid w:val="00457723"/>
    <w:rsid w:val="00457AA1"/>
    <w:rsid w:val="00457DB3"/>
    <w:rsid w:val="004613FF"/>
    <w:rsid w:val="00463C85"/>
    <w:rsid w:val="004645F5"/>
    <w:rsid w:val="0046493C"/>
    <w:rsid w:val="00465925"/>
    <w:rsid w:val="00466B47"/>
    <w:rsid w:val="004673C8"/>
    <w:rsid w:val="00470511"/>
    <w:rsid w:val="004706CC"/>
    <w:rsid w:val="004717FE"/>
    <w:rsid w:val="004719BB"/>
    <w:rsid w:val="004719DB"/>
    <w:rsid w:val="00471F27"/>
    <w:rsid w:val="004731CC"/>
    <w:rsid w:val="00473237"/>
    <w:rsid w:val="00473532"/>
    <w:rsid w:val="00473872"/>
    <w:rsid w:val="00474158"/>
    <w:rsid w:val="004742BC"/>
    <w:rsid w:val="00474BE0"/>
    <w:rsid w:val="0047504C"/>
    <w:rsid w:val="0047558D"/>
    <w:rsid w:val="00475ADE"/>
    <w:rsid w:val="004772A2"/>
    <w:rsid w:val="004776F1"/>
    <w:rsid w:val="00480B14"/>
    <w:rsid w:val="00480BCC"/>
    <w:rsid w:val="00480D68"/>
    <w:rsid w:val="00481D08"/>
    <w:rsid w:val="00482630"/>
    <w:rsid w:val="00482E82"/>
    <w:rsid w:val="004830F2"/>
    <w:rsid w:val="004831BB"/>
    <w:rsid w:val="00483AB6"/>
    <w:rsid w:val="00484481"/>
    <w:rsid w:val="0048481F"/>
    <w:rsid w:val="00485744"/>
    <w:rsid w:val="00486780"/>
    <w:rsid w:val="00486ECE"/>
    <w:rsid w:val="00487FB1"/>
    <w:rsid w:val="00492292"/>
    <w:rsid w:val="0049292E"/>
    <w:rsid w:val="00492C73"/>
    <w:rsid w:val="004931C5"/>
    <w:rsid w:val="0049405D"/>
    <w:rsid w:val="0049568A"/>
    <w:rsid w:val="00495E53"/>
    <w:rsid w:val="00496096"/>
    <w:rsid w:val="00496C98"/>
    <w:rsid w:val="004A00D7"/>
    <w:rsid w:val="004A019B"/>
    <w:rsid w:val="004A0AD4"/>
    <w:rsid w:val="004A106D"/>
    <w:rsid w:val="004A12EB"/>
    <w:rsid w:val="004A1E44"/>
    <w:rsid w:val="004A31C4"/>
    <w:rsid w:val="004A4252"/>
    <w:rsid w:val="004A454D"/>
    <w:rsid w:val="004A5CAF"/>
    <w:rsid w:val="004A63D2"/>
    <w:rsid w:val="004A68FB"/>
    <w:rsid w:val="004A6A6F"/>
    <w:rsid w:val="004A6E65"/>
    <w:rsid w:val="004A77C5"/>
    <w:rsid w:val="004A78A2"/>
    <w:rsid w:val="004A7FE9"/>
    <w:rsid w:val="004B0525"/>
    <w:rsid w:val="004B0DEA"/>
    <w:rsid w:val="004B151F"/>
    <w:rsid w:val="004B1A1C"/>
    <w:rsid w:val="004B289F"/>
    <w:rsid w:val="004B336A"/>
    <w:rsid w:val="004B37C4"/>
    <w:rsid w:val="004B3949"/>
    <w:rsid w:val="004B5C0A"/>
    <w:rsid w:val="004B6007"/>
    <w:rsid w:val="004B63F1"/>
    <w:rsid w:val="004B6A3B"/>
    <w:rsid w:val="004B7D09"/>
    <w:rsid w:val="004C1656"/>
    <w:rsid w:val="004C191A"/>
    <w:rsid w:val="004C1E56"/>
    <w:rsid w:val="004C28BB"/>
    <w:rsid w:val="004C30A8"/>
    <w:rsid w:val="004C38B2"/>
    <w:rsid w:val="004C3A69"/>
    <w:rsid w:val="004C41CC"/>
    <w:rsid w:val="004C4B68"/>
    <w:rsid w:val="004C4B97"/>
    <w:rsid w:val="004C5467"/>
    <w:rsid w:val="004C5F79"/>
    <w:rsid w:val="004C6E0A"/>
    <w:rsid w:val="004C6EE3"/>
    <w:rsid w:val="004D0671"/>
    <w:rsid w:val="004D12C0"/>
    <w:rsid w:val="004D17C2"/>
    <w:rsid w:val="004D46C1"/>
    <w:rsid w:val="004D4B0D"/>
    <w:rsid w:val="004D72DB"/>
    <w:rsid w:val="004E065A"/>
    <w:rsid w:val="004E0700"/>
    <w:rsid w:val="004E0FE6"/>
    <w:rsid w:val="004E10B6"/>
    <w:rsid w:val="004E3415"/>
    <w:rsid w:val="004E3776"/>
    <w:rsid w:val="004E51AB"/>
    <w:rsid w:val="004E5270"/>
    <w:rsid w:val="004E60E3"/>
    <w:rsid w:val="004E71DB"/>
    <w:rsid w:val="004E74B2"/>
    <w:rsid w:val="004F0B9D"/>
    <w:rsid w:val="004F101C"/>
    <w:rsid w:val="004F4B16"/>
    <w:rsid w:val="004F4C23"/>
    <w:rsid w:val="004F5D9D"/>
    <w:rsid w:val="004F68B1"/>
    <w:rsid w:val="004F7037"/>
    <w:rsid w:val="004F70EC"/>
    <w:rsid w:val="004F710D"/>
    <w:rsid w:val="00500160"/>
    <w:rsid w:val="005002E2"/>
    <w:rsid w:val="00500EAF"/>
    <w:rsid w:val="005012E3"/>
    <w:rsid w:val="0050139D"/>
    <w:rsid w:val="00501795"/>
    <w:rsid w:val="00501B3F"/>
    <w:rsid w:val="00502105"/>
    <w:rsid w:val="005021D7"/>
    <w:rsid w:val="00502FFC"/>
    <w:rsid w:val="00503EF2"/>
    <w:rsid w:val="00504C04"/>
    <w:rsid w:val="005052A2"/>
    <w:rsid w:val="0050583C"/>
    <w:rsid w:val="00505B19"/>
    <w:rsid w:val="005069AD"/>
    <w:rsid w:val="00506B9A"/>
    <w:rsid w:val="00506D6A"/>
    <w:rsid w:val="0050737E"/>
    <w:rsid w:val="00507E5C"/>
    <w:rsid w:val="005106CE"/>
    <w:rsid w:val="005137DD"/>
    <w:rsid w:val="00513DA7"/>
    <w:rsid w:val="005153C5"/>
    <w:rsid w:val="00515548"/>
    <w:rsid w:val="00515B3A"/>
    <w:rsid w:val="00517835"/>
    <w:rsid w:val="0052020F"/>
    <w:rsid w:val="005209A5"/>
    <w:rsid w:val="00520C74"/>
    <w:rsid w:val="005211A7"/>
    <w:rsid w:val="00522768"/>
    <w:rsid w:val="00522B94"/>
    <w:rsid w:val="00525E76"/>
    <w:rsid w:val="00526112"/>
    <w:rsid w:val="00526F60"/>
    <w:rsid w:val="00527C8F"/>
    <w:rsid w:val="00530B31"/>
    <w:rsid w:val="0053113E"/>
    <w:rsid w:val="00531DCE"/>
    <w:rsid w:val="00531E2F"/>
    <w:rsid w:val="005326B6"/>
    <w:rsid w:val="00532F6C"/>
    <w:rsid w:val="005334B2"/>
    <w:rsid w:val="00533766"/>
    <w:rsid w:val="0053494E"/>
    <w:rsid w:val="00534954"/>
    <w:rsid w:val="0053642E"/>
    <w:rsid w:val="005365A1"/>
    <w:rsid w:val="00537060"/>
    <w:rsid w:val="00540A2B"/>
    <w:rsid w:val="00540B20"/>
    <w:rsid w:val="005416D7"/>
    <w:rsid w:val="00542256"/>
    <w:rsid w:val="00543648"/>
    <w:rsid w:val="00543885"/>
    <w:rsid w:val="00544917"/>
    <w:rsid w:val="00544B78"/>
    <w:rsid w:val="005474C2"/>
    <w:rsid w:val="005476ED"/>
    <w:rsid w:val="00550BE0"/>
    <w:rsid w:val="00551BF9"/>
    <w:rsid w:val="00551E1E"/>
    <w:rsid w:val="00553174"/>
    <w:rsid w:val="00553574"/>
    <w:rsid w:val="00553C17"/>
    <w:rsid w:val="00554A36"/>
    <w:rsid w:val="00554BA8"/>
    <w:rsid w:val="00554FBD"/>
    <w:rsid w:val="00555759"/>
    <w:rsid w:val="005558D4"/>
    <w:rsid w:val="00556259"/>
    <w:rsid w:val="00560934"/>
    <w:rsid w:val="00561A9B"/>
    <w:rsid w:val="00561C8B"/>
    <w:rsid w:val="00561DCD"/>
    <w:rsid w:val="00562473"/>
    <w:rsid w:val="00562601"/>
    <w:rsid w:val="00562EC0"/>
    <w:rsid w:val="00563206"/>
    <w:rsid w:val="00563922"/>
    <w:rsid w:val="00563E31"/>
    <w:rsid w:val="00564C24"/>
    <w:rsid w:val="00564DCC"/>
    <w:rsid w:val="005656C2"/>
    <w:rsid w:val="00567CF5"/>
    <w:rsid w:val="0057119B"/>
    <w:rsid w:val="0057128D"/>
    <w:rsid w:val="005729B2"/>
    <w:rsid w:val="00573EDD"/>
    <w:rsid w:val="0057461A"/>
    <w:rsid w:val="005747FB"/>
    <w:rsid w:val="00574C37"/>
    <w:rsid w:val="00575079"/>
    <w:rsid w:val="00575363"/>
    <w:rsid w:val="00575449"/>
    <w:rsid w:val="005757C4"/>
    <w:rsid w:val="00575A5D"/>
    <w:rsid w:val="00575EB6"/>
    <w:rsid w:val="005765A4"/>
    <w:rsid w:val="00576A24"/>
    <w:rsid w:val="00576B4D"/>
    <w:rsid w:val="00577DF1"/>
    <w:rsid w:val="00580A75"/>
    <w:rsid w:val="00582727"/>
    <w:rsid w:val="00583441"/>
    <w:rsid w:val="00583886"/>
    <w:rsid w:val="0058410D"/>
    <w:rsid w:val="005842E1"/>
    <w:rsid w:val="00584359"/>
    <w:rsid w:val="00584E2A"/>
    <w:rsid w:val="0058550E"/>
    <w:rsid w:val="005863B1"/>
    <w:rsid w:val="0058686F"/>
    <w:rsid w:val="00587010"/>
    <w:rsid w:val="00587460"/>
    <w:rsid w:val="0059163E"/>
    <w:rsid w:val="005919DE"/>
    <w:rsid w:val="00592638"/>
    <w:rsid w:val="00592C77"/>
    <w:rsid w:val="00593158"/>
    <w:rsid w:val="00594D75"/>
    <w:rsid w:val="00595490"/>
    <w:rsid w:val="00595A34"/>
    <w:rsid w:val="00595CE1"/>
    <w:rsid w:val="00596960"/>
    <w:rsid w:val="005A04FC"/>
    <w:rsid w:val="005A162D"/>
    <w:rsid w:val="005A1ADA"/>
    <w:rsid w:val="005A1EEF"/>
    <w:rsid w:val="005A2565"/>
    <w:rsid w:val="005A2EF8"/>
    <w:rsid w:val="005A3060"/>
    <w:rsid w:val="005A34B6"/>
    <w:rsid w:val="005A3524"/>
    <w:rsid w:val="005A4EF2"/>
    <w:rsid w:val="005A51F4"/>
    <w:rsid w:val="005A707C"/>
    <w:rsid w:val="005B0013"/>
    <w:rsid w:val="005B04C0"/>
    <w:rsid w:val="005B0A08"/>
    <w:rsid w:val="005B0EB6"/>
    <w:rsid w:val="005B0FD6"/>
    <w:rsid w:val="005B1238"/>
    <w:rsid w:val="005B173D"/>
    <w:rsid w:val="005B1A76"/>
    <w:rsid w:val="005B30F3"/>
    <w:rsid w:val="005B3102"/>
    <w:rsid w:val="005B5B16"/>
    <w:rsid w:val="005B6B2A"/>
    <w:rsid w:val="005C01FF"/>
    <w:rsid w:val="005C113F"/>
    <w:rsid w:val="005C1449"/>
    <w:rsid w:val="005C1DBC"/>
    <w:rsid w:val="005C1E38"/>
    <w:rsid w:val="005C1F05"/>
    <w:rsid w:val="005C2FE7"/>
    <w:rsid w:val="005C3C51"/>
    <w:rsid w:val="005C3E04"/>
    <w:rsid w:val="005C4401"/>
    <w:rsid w:val="005C493E"/>
    <w:rsid w:val="005C4D06"/>
    <w:rsid w:val="005C4DF4"/>
    <w:rsid w:val="005C54D4"/>
    <w:rsid w:val="005C62C4"/>
    <w:rsid w:val="005C6E9D"/>
    <w:rsid w:val="005C7E19"/>
    <w:rsid w:val="005D0B74"/>
    <w:rsid w:val="005D0E00"/>
    <w:rsid w:val="005D2202"/>
    <w:rsid w:val="005D2627"/>
    <w:rsid w:val="005D294F"/>
    <w:rsid w:val="005D349E"/>
    <w:rsid w:val="005D3E9D"/>
    <w:rsid w:val="005D3EDB"/>
    <w:rsid w:val="005D497D"/>
    <w:rsid w:val="005D4D9F"/>
    <w:rsid w:val="005D535C"/>
    <w:rsid w:val="005D581A"/>
    <w:rsid w:val="005D71E2"/>
    <w:rsid w:val="005D7673"/>
    <w:rsid w:val="005E00C1"/>
    <w:rsid w:val="005E26F5"/>
    <w:rsid w:val="005E387F"/>
    <w:rsid w:val="005E396F"/>
    <w:rsid w:val="005E4BC9"/>
    <w:rsid w:val="005E4C1C"/>
    <w:rsid w:val="005E67DD"/>
    <w:rsid w:val="005E726E"/>
    <w:rsid w:val="005E783E"/>
    <w:rsid w:val="005F0EDC"/>
    <w:rsid w:val="005F216C"/>
    <w:rsid w:val="005F3AB9"/>
    <w:rsid w:val="005F40B5"/>
    <w:rsid w:val="005F45DB"/>
    <w:rsid w:val="005F507B"/>
    <w:rsid w:val="005F519E"/>
    <w:rsid w:val="005F5266"/>
    <w:rsid w:val="005F529A"/>
    <w:rsid w:val="005F66A0"/>
    <w:rsid w:val="005F69F8"/>
    <w:rsid w:val="005F6A69"/>
    <w:rsid w:val="005F6E44"/>
    <w:rsid w:val="005F7628"/>
    <w:rsid w:val="005F7682"/>
    <w:rsid w:val="005F7990"/>
    <w:rsid w:val="0060206D"/>
    <w:rsid w:val="006020C0"/>
    <w:rsid w:val="006022F2"/>
    <w:rsid w:val="006029F1"/>
    <w:rsid w:val="006033BB"/>
    <w:rsid w:val="006034CD"/>
    <w:rsid w:val="00603A63"/>
    <w:rsid w:val="00603C16"/>
    <w:rsid w:val="0060433B"/>
    <w:rsid w:val="00604CE0"/>
    <w:rsid w:val="00604F97"/>
    <w:rsid w:val="00605CCD"/>
    <w:rsid w:val="006063EA"/>
    <w:rsid w:val="00606817"/>
    <w:rsid w:val="006078EA"/>
    <w:rsid w:val="00607CBD"/>
    <w:rsid w:val="00610997"/>
    <w:rsid w:val="006115FE"/>
    <w:rsid w:val="00611A3B"/>
    <w:rsid w:val="00611DCE"/>
    <w:rsid w:val="00613DE1"/>
    <w:rsid w:val="00615182"/>
    <w:rsid w:val="00615F17"/>
    <w:rsid w:val="00616501"/>
    <w:rsid w:val="00616B41"/>
    <w:rsid w:val="00616C3F"/>
    <w:rsid w:val="006171B5"/>
    <w:rsid w:val="00617839"/>
    <w:rsid w:val="006203F4"/>
    <w:rsid w:val="00622C51"/>
    <w:rsid w:val="00623381"/>
    <w:rsid w:val="006237F7"/>
    <w:rsid w:val="00623A62"/>
    <w:rsid w:val="006248BE"/>
    <w:rsid w:val="00626864"/>
    <w:rsid w:val="00627D41"/>
    <w:rsid w:val="0063124C"/>
    <w:rsid w:val="0063229A"/>
    <w:rsid w:val="0063325D"/>
    <w:rsid w:val="006337C9"/>
    <w:rsid w:val="00633D29"/>
    <w:rsid w:val="006344AE"/>
    <w:rsid w:val="00634E94"/>
    <w:rsid w:val="00634F64"/>
    <w:rsid w:val="00635D33"/>
    <w:rsid w:val="00636DB1"/>
    <w:rsid w:val="006405ED"/>
    <w:rsid w:val="00640EC4"/>
    <w:rsid w:val="0064101C"/>
    <w:rsid w:val="006416FB"/>
    <w:rsid w:val="00641D1A"/>
    <w:rsid w:val="006425D4"/>
    <w:rsid w:val="006425F1"/>
    <w:rsid w:val="006430B7"/>
    <w:rsid w:val="0064386E"/>
    <w:rsid w:val="00643E9C"/>
    <w:rsid w:val="00645B96"/>
    <w:rsid w:val="00645D16"/>
    <w:rsid w:val="00645E6B"/>
    <w:rsid w:val="006467C5"/>
    <w:rsid w:val="006469AF"/>
    <w:rsid w:val="00646F34"/>
    <w:rsid w:val="006479DC"/>
    <w:rsid w:val="00647AB5"/>
    <w:rsid w:val="00647DA6"/>
    <w:rsid w:val="0065028B"/>
    <w:rsid w:val="006507C0"/>
    <w:rsid w:val="006513EB"/>
    <w:rsid w:val="00651518"/>
    <w:rsid w:val="00653A3C"/>
    <w:rsid w:val="00653E16"/>
    <w:rsid w:val="00653EA3"/>
    <w:rsid w:val="00654F3D"/>
    <w:rsid w:val="00655FE1"/>
    <w:rsid w:val="0065655C"/>
    <w:rsid w:val="006568E2"/>
    <w:rsid w:val="0066066A"/>
    <w:rsid w:val="00660EFB"/>
    <w:rsid w:val="00661356"/>
    <w:rsid w:val="006619F8"/>
    <w:rsid w:val="00661A7D"/>
    <w:rsid w:val="0066245A"/>
    <w:rsid w:val="00664122"/>
    <w:rsid w:val="00664C23"/>
    <w:rsid w:val="00664EDE"/>
    <w:rsid w:val="0066542A"/>
    <w:rsid w:val="00665DC8"/>
    <w:rsid w:val="00666D8F"/>
    <w:rsid w:val="00667067"/>
    <w:rsid w:val="0066714E"/>
    <w:rsid w:val="00670C8A"/>
    <w:rsid w:val="00671808"/>
    <w:rsid w:val="00671FD4"/>
    <w:rsid w:val="00672558"/>
    <w:rsid w:val="00673DE8"/>
    <w:rsid w:val="006749F3"/>
    <w:rsid w:val="00674FDF"/>
    <w:rsid w:val="0067603E"/>
    <w:rsid w:val="00676890"/>
    <w:rsid w:val="00681277"/>
    <w:rsid w:val="00682255"/>
    <w:rsid w:val="00683DAF"/>
    <w:rsid w:val="006843BB"/>
    <w:rsid w:val="00684A7F"/>
    <w:rsid w:val="00684AB5"/>
    <w:rsid w:val="00684DDA"/>
    <w:rsid w:val="00684DEC"/>
    <w:rsid w:val="00684FDD"/>
    <w:rsid w:val="00686432"/>
    <w:rsid w:val="00686CA6"/>
    <w:rsid w:val="006871A0"/>
    <w:rsid w:val="00690FF7"/>
    <w:rsid w:val="00691426"/>
    <w:rsid w:val="00692C0D"/>
    <w:rsid w:val="0069324B"/>
    <w:rsid w:val="00693F5B"/>
    <w:rsid w:val="00695337"/>
    <w:rsid w:val="006956F2"/>
    <w:rsid w:val="00695E6E"/>
    <w:rsid w:val="006966D5"/>
    <w:rsid w:val="00696EFB"/>
    <w:rsid w:val="00697955"/>
    <w:rsid w:val="00697BB4"/>
    <w:rsid w:val="00697BF0"/>
    <w:rsid w:val="00697D83"/>
    <w:rsid w:val="00697F2A"/>
    <w:rsid w:val="006A01AB"/>
    <w:rsid w:val="006A06D6"/>
    <w:rsid w:val="006A1D97"/>
    <w:rsid w:val="006A2369"/>
    <w:rsid w:val="006A2ED3"/>
    <w:rsid w:val="006A38B2"/>
    <w:rsid w:val="006A5836"/>
    <w:rsid w:val="006A7B5D"/>
    <w:rsid w:val="006B018A"/>
    <w:rsid w:val="006B0599"/>
    <w:rsid w:val="006B0E1E"/>
    <w:rsid w:val="006B0E20"/>
    <w:rsid w:val="006B2564"/>
    <w:rsid w:val="006B25D6"/>
    <w:rsid w:val="006B2DCE"/>
    <w:rsid w:val="006B3017"/>
    <w:rsid w:val="006B382F"/>
    <w:rsid w:val="006B43BC"/>
    <w:rsid w:val="006B4D07"/>
    <w:rsid w:val="006B53BB"/>
    <w:rsid w:val="006B56A9"/>
    <w:rsid w:val="006B5BF9"/>
    <w:rsid w:val="006C03D7"/>
    <w:rsid w:val="006C091F"/>
    <w:rsid w:val="006C1071"/>
    <w:rsid w:val="006C1389"/>
    <w:rsid w:val="006C1BC1"/>
    <w:rsid w:val="006C34D2"/>
    <w:rsid w:val="006C37DB"/>
    <w:rsid w:val="006C46E0"/>
    <w:rsid w:val="006C4D3E"/>
    <w:rsid w:val="006C5B3E"/>
    <w:rsid w:val="006C615F"/>
    <w:rsid w:val="006C72EB"/>
    <w:rsid w:val="006C7F46"/>
    <w:rsid w:val="006D02DF"/>
    <w:rsid w:val="006D0AE0"/>
    <w:rsid w:val="006D0B36"/>
    <w:rsid w:val="006D35ED"/>
    <w:rsid w:val="006D375E"/>
    <w:rsid w:val="006D3D26"/>
    <w:rsid w:val="006D3DB2"/>
    <w:rsid w:val="006D43E1"/>
    <w:rsid w:val="006D50C1"/>
    <w:rsid w:val="006D5726"/>
    <w:rsid w:val="006D6CC0"/>
    <w:rsid w:val="006D7072"/>
    <w:rsid w:val="006D7274"/>
    <w:rsid w:val="006D7B33"/>
    <w:rsid w:val="006E0361"/>
    <w:rsid w:val="006E1195"/>
    <w:rsid w:val="006E142C"/>
    <w:rsid w:val="006E145A"/>
    <w:rsid w:val="006E15E3"/>
    <w:rsid w:val="006E22EC"/>
    <w:rsid w:val="006E2387"/>
    <w:rsid w:val="006E24AD"/>
    <w:rsid w:val="006E26A0"/>
    <w:rsid w:val="006E4ADA"/>
    <w:rsid w:val="006E510D"/>
    <w:rsid w:val="006E5173"/>
    <w:rsid w:val="006E5200"/>
    <w:rsid w:val="006E672C"/>
    <w:rsid w:val="006E773E"/>
    <w:rsid w:val="006E7AC8"/>
    <w:rsid w:val="006E7BC3"/>
    <w:rsid w:val="006E7BFD"/>
    <w:rsid w:val="006F0571"/>
    <w:rsid w:val="006F182E"/>
    <w:rsid w:val="006F39FB"/>
    <w:rsid w:val="006F3AE3"/>
    <w:rsid w:val="006F5B00"/>
    <w:rsid w:val="006F5D30"/>
    <w:rsid w:val="006F6D8D"/>
    <w:rsid w:val="006F71A9"/>
    <w:rsid w:val="006F736C"/>
    <w:rsid w:val="006F7377"/>
    <w:rsid w:val="006F7D59"/>
    <w:rsid w:val="006F7ED2"/>
    <w:rsid w:val="006F7F3C"/>
    <w:rsid w:val="0070000E"/>
    <w:rsid w:val="0070014F"/>
    <w:rsid w:val="00700F57"/>
    <w:rsid w:val="00702E28"/>
    <w:rsid w:val="00703EFC"/>
    <w:rsid w:val="0070415B"/>
    <w:rsid w:val="0070418D"/>
    <w:rsid w:val="007043A6"/>
    <w:rsid w:val="0070444C"/>
    <w:rsid w:val="007051B7"/>
    <w:rsid w:val="00705217"/>
    <w:rsid w:val="007053D4"/>
    <w:rsid w:val="0070567E"/>
    <w:rsid w:val="00705A22"/>
    <w:rsid w:val="00705D3F"/>
    <w:rsid w:val="00706146"/>
    <w:rsid w:val="007066F2"/>
    <w:rsid w:val="00706976"/>
    <w:rsid w:val="00710BD6"/>
    <w:rsid w:val="00710C98"/>
    <w:rsid w:val="007122A8"/>
    <w:rsid w:val="00713508"/>
    <w:rsid w:val="00713608"/>
    <w:rsid w:val="00713659"/>
    <w:rsid w:val="0071396F"/>
    <w:rsid w:val="007140B5"/>
    <w:rsid w:val="00716027"/>
    <w:rsid w:val="007162FA"/>
    <w:rsid w:val="00716332"/>
    <w:rsid w:val="00716BA8"/>
    <w:rsid w:val="00717244"/>
    <w:rsid w:val="00717443"/>
    <w:rsid w:val="00717C33"/>
    <w:rsid w:val="00717EB6"/>
    <w:rsid w:val="007211C8"/>
    <w:rsid w:val="0072273E"/>
    <w:rsid w:val="00724D08"/>
    <w:rsid w:val="00725BD7"/>
    <w:rsid w:val="00726597"/>
    <w:rsid w:val="00726C9C"/>
    <w:rsid w:val="00727264"/>
    <w:rsid w:val="0073050D"/>
    <w:rsid w:val="0073056F"/>
    <w:rsid w:val="0073167F"/>
    <w:rsid w:val="007321B4"/>
    <w:rsid w:val="00732AF2"/>
    <w:rsid w:val="00732D7B"/>
    <w:rsid w:val="007332D5"/>
    <w:rsid w:val="00734D98"/>
    <w:rsid w:val="00735795"/>
    <w:rsid w:val="00736117"/>
    <w:rsid w:val="0073628B"/>
    <w:rsid w:val="00736449"/>
    <w:rsid w:val="00736BC0"/>
    <w:rsid w:val="00737BA7"/>
    <w:rsid w:val="00741BBA"/>
    <w:rsid w:val="00741C21"/>
    <w:rsid w:val="00742623"/>
    <w:rsid w:val="00743211"/>
    <w:rsid w:val="0074579E"/>
    <w:rsid w:val="00746225"/>
    <w:rsid w:val="00746768"/>
    <w:rsid w:val="00747E83"/>
    <w:rsid w:val="00750B82"/>
    <w:rsid w:val="007511D9"/>
    <w:rsid w:val="007515E8"/>
    <w:rsid w:val="00751CB0"/>
    <w:rsid w:val="00753CD4"/>
    <w:rsid w:val="0075478E"/>
    <w:rsid w:val="0075509A"/>
    <w:rsid w:val="00755E97"/>
    <w:rsid w:val="00756A0B"/>
    <w:rsid w:val="00756B34"/>
    <w:rsid w:val="00756D7C"/>
    <w:rsid w:val="00757359"/>
    <w:rsid w:val="007605D7"/>
    <w:rsid w:val="007625D1"/>
    <w:rsid w:val="00763458"/>
    <w:rsid w:val="007637C1"/>
    <w:rsid w:val="007646E7"/>
    <w:rsid w:val="00766856"/>
    <w:rsid w:val="007669F0"/>
    <w:rsid w:val="00766DEB"/>
    <w:rsid w:val="00767585"/>
    <w:rsid w:val="00770A47"/>
    <w:rsid w:val="00771D2A"/>
    <w:rsid w:val="007722FF"/>
    <w:rsid w:val="00772498"/>
    <w:rsid w:val="007731E5"/>
    <w:rsid w:val="00773A1B"/>
    <w:rsid w:val="0077430C"/>
    <w:rsid w:val="00774D6E"/>
    <w:rsid w:val="00776353"/>
    <w:rsid w:val="007763E4"/>
    <w:rsid w:val="007763E5"/>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E8F"/>
    <w:rsid w:val="00794FFA"/>
    <w:rsid w:val="00796077"/>
    <w:rsid w:val="00796ED6"/>
    <w:rsid w:val="0079756F"/>
    <w:rsid w:val="007A009E"/>
    <w:rsid w:val="007A03C6"/>
    <w:rsid w:val="007A095F"/>
    <w:rsid w:val="007A1B47"/>
    <w:rsid w:val="007A21EA"/>
    <w:rsid w:val="007A25F1"/>
    <w:rsid w:val="007A33FE"/>
    <w:rsid w:val="007A3900"/>
    <w:rsid w:val="007A3A36"/>
    <w:rsid w:val="007A405C"/>
    <w:rsid w:val="007A4626"/>
    <w:rsid w:val="007A59F1"/>
    <w:rsid w:val="007A5AFF"/>
    <w:rsid w:val="007A5FD1"/>
    <w:rsid w:val="007A62ED"/>
    <w:rsid w:val="007A7222"/>
    <w:rsid w:val="007B075C"/>
    <w:rsid w:val="007B147F"/>
    <w:rsid w:val="007B35B2"/>
    <w:rsid w:val="007B4B22"/>
    <w:rsid w:val="007B4FC2"/>
    <w:rsid w:val="007B5980"/>
    <w:rsid w:val="007B5E02"/>
    <w:rsid w:val="007B654B"/>
    <w:rsid w:val="007B719B"/>
    <w:rsid w:val="007B7637"/>
    <w:rsid w:val="007B7819"/>
    <w:rsid w:val="007C0915"/>
    <w:rsid w:val="007C0F31"/>
    <w:rsid w:val="007C1C13"/>
    <w:rsid w:val="007C225E"/>
    <w:rsid w:val="007C2E24"/>
    <w:rsid w:val="007C35FD"/>
    <w:rsid w:val="007C3DE5"/>
    <w:rsid w:val="007C4F7F"/>
    <w:rsid w:val="007C541E"/>
    <w:rsid w:val="007C6628"/>
    <w:rsid w:val="007C6CBD"/>
    <w:rsid w:val="007C6E1E"/>
    <w:rsid w:val="007C78C4"/>
    <w:rsid w:val="007C7A97"/>
    <w:rsid w:val="007D0604"/>
    <w:rsid w:val="007D152B"/>
    <w:rsid w:val="007D1C11"/>
    <w:rsid w:val="007D310E"/>
    <w:rsid w:val="007D3817"/>
    <w:rsid w:val="007D3873"/>
    <w:rsid w:val="007D4290"/>
    <w:rsid w:val="007D5905"/>
    <w:rsid w:val="007D5C34"/>
    <w:rsid w:val="007D5E9F"/>
    <w:rsid w:val="007D765E"/>
    <w:rsid w:val="007D7D4C"/>
    <w:rsid w:val="007E0D1C"/>
    <w:rsid w:val="007E153A"/>
    <w:rsid w:val="007E15CE"/>
    <w:rsid w:val="007E195E"/>
    <w:rsid w:val="007E1CC3"/>
    <w:rsid w:val="007E28FE"/>
    <w:rsid w:val="007E3965"/>
    <w:rsid w:val="007E42A0"/>
    <w:rsid w:val="007E4986"/>
    <w:rsid w:val="007E49AF"/>
    <w:rsid w:val="007E58B4"/>
    <w:rsid w:val="007E5FEB"/>
    <w:rsid w:val="007E6383"/>
    <w:rsid w:val="007F0942"/>
    <w:rsid w:val="007F1B75"/>
    <w:rsid w:val="007F2AAD"/>
    <w:rsid w:val="007F39BA"/>
    <w:rsid w:val="007F4F2F"/>
    <w:rsid w:val="007F5863"/>
    <w:rsid w:val="007F63F2"/>
    <w:rsid w:val="007F6D79"/>
    <w:rsid w:val="007F6FE3"/>
    <w:rsid w:val="00800357"/>
    <w:rsid w:val="00800B28"/>
    <w:rsid w:val="00801D37"/>
    <w:rsid w:val="008021A1"/>
    <w:rsid w:val="008025B4"/>
    <w:rsid w:val="008027CA"/>
    <w:rsid w:val="008030F9"/>
    <w:rsid w:val="008035E6"/>
    <w:rsid w:val="00805618"/>
    <w:rsid w:val="00807432"/>
    <w:rsid w:val="00810759"/>
    <w:rsid w:val="00810BC5"/>
    <w:rsid w:val="00810D66"/>
    <w:rsid w:val="00813347"/>
    <w:rsid w:val="00813489"/>
    <w:rsid w:val="00814124"/>
    <w:rsid w:val="0081418F"/>
    <w:rsid w:val="008141ED"/>
    <w:rsid w:val="00814700"/>
    <w:rsid w:val="00820347"/>
    <w:rsid w:val="00820F85"/>
    <w:rsid w:val="008229D4"/>
    <w:rsid w:val="008230E8"/>
    <w:rsid w:val="008232CA"/>
    <w:rsid w:val="00823ADA"/>
    <w:rsid w:val="00823B3E"/>
    <w:rsid w:val="00824E01"/>
    <w:rsid w:val="00825103"/>
    <w:rsid w:val="00825B8E"/>
    <w:rsid w:val="00825C2F"/>
    <w:rsid w:val="00826338"/>
    <w:rsid w:val="00826906"/>
    <w:rsid w:val="00826965"/>
    <w:rsid w:val="00827260"/>
    <w:rsid w:val="00830765"/>
    <w:rsid w:val="00830AA3"/>
    <w:rsid w:val="0083136D"/>
    <w:rsid w:val="00831416"/>
    <w:rsid w:val="00833901"/>
    <w:rsid w:val="00833D8C"/>
    <w:rsid w:val="00833E9E"/>
    <w:rsid w:val="0083425C"/>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0E6D"/>
    <w:rsid w:val="00851631"/>
    <w:rsid w:val="0085234F"/>
    <w:rsid w:val="00852A31"/>
    <w:rsid w:val="00853282"/>
    <w:rsid w:val="0085401B"/>
    <w:rsid w:val="008549FD"/>
    <w:rsid w:val="00855568"/>
    <w:rsid w:val="00855FFD"/>
    <w:rsid w:val="008560AA"/>
    <w:rsid w:val="00856101"/>
    <w:rsid w:val="00856358"/>
    <w:rsid w:val="0085725D"/>
    <w:rsid w:val="00857B9C"/>
    <w:rsid w:val="00857CC3"/>
    <w:rsid w:val="008608A3"/>
    <w:rsid w:val="008616E7"/>
    <w:rsid w:val="0086177F"/>
    <w:rsid w:val="00861ADB"/>
    <w:rsid w:val="00861D7A"/>
    <w:rsid w:val="00862470"/>
    <w:rsid w:val="00863FD3"/>
    <w:rsid w:val="00864322"/>
    <w:rsid w:val="008651E9"/>
    <w:rsid w:val="0086620F"/>
    <w:rsid w:val="00866AF3"/>
    <w:rsid w:val="00866C82"/>
    <w:rsid w:val="008672E6"/>
    <w:rsid w:val="008677E5"/>
    <w:rsid w:val="00867C57"/>
    <w:rsid w:val="00874311"/>
    <w:rsid w:val="00874A6B"/>
    <w:rsid w:val="00874EC5"/>
    <w:rsid w:val="00875741"/>
    <w:rsid w:val="00875B00"/>
    <w:rsid w:val="00875C31"/>
    <w:rsid w:val="00876E75"/>
    <w:rsid w:val="008775EA"/>
    <w:rsid w:val="008775F8"/>
    <w:rsid w:val="0087780F"/>
    <w:rsid w:val="00877CD3"/>
    <w:rsid w:val="008811E5"/>
    <w:rsid w:val="0088215D"/>
    <w:rsid w:val="008826D8"/>
    <w:rsid w:val="00882832"/>
    <w:rsid w:val="008832C1"/>
    <w:rsid w:val="00883EE7"/>
    <w:rsid w:val="00884F3F"/>
    <w:rsid w:val="00885016"/>
    <w:rsid w:val="00885243"/>
    <w:rsid w:val="00885D64"/>
    <w:rsid w:val="008867D4"/>
    <w:rsid w:val="00886823"/>
    <w:rsid w:val="00886BC0"/>
    <w:rsid w:val="00887179"/>
    <w:rsid w:val="008904B6"/>
    <w:rsid w:val="0089075D"/>
    <w:rsid w:val="008913B9"/>
    <w:rsid w:val="008917A2"/>
    <w:rsid w:val="00892E4C"/>
    <w:rsid w:val="008937C6"/>
    <w:rsid w:val="008938BD"/>
    <w:rsid w:val="008938D5"/>
    <w:rsid w:val="0089404D"/>
    <w:rsid w:val="00894718"/>
    <w:rsid w:val="008964DA"/>
    <w:rsid w:val="008965F1"/>
    <w:rsid w:val="0089703E"/>
    <w:rsid w:val="00897ED9"/>
    <w:rsid w:val="008A05B4"/>
    <w:rsid w:val="008A16AF"/>
    <w:rsid w:val="008A1A26"/>
    <w:rsid w:val="008A1D16"/>
    <w:rsid w:val="008A400D"/>
    <w:rsid w:val="008A48EB"/>
    <w:rsid w:val="008A4CDA"/>
    <w:rsid w:val="008A600D"/>
    <w:rsid w:val="008A6118"/>
    <w:rsid w:val="008A7119"/>
    <w:rsid w:val="008A7EBA"/>
    <w:rsid w:val="008B07D3"/>
    <w:rsid w:val="008B131C"/>
    <w:rsid w:val="008B1588"/>
    <w:rsid w:val="008B1B68"/>
    <w:rsid w:val="008B1E0A"/>
    <w:rsid w:val="008B1E53"/>
    <w:rsid w:val="008B22B6"/>
    <w:rsid w:val="008B3178"/>
    <w:rsid w:val="008B42C0"/>
    <w:rsid w:val="008B5CE8"/>
    <w:rsid w:val="008B5DEB"/>
    <w:rsid w:val="008B600B"/>
    <w:rsid w:val="008B6B63"/>
    <w:rsid w:val="008B7B94"/>
    <w:rsid w:val="008B7ED5"/>
    <w:rsid w:val="008C1980"/>
    <w:rsid w:val="008C1A4B"/>
    <w:rsid w:val="008C1D6E"/>
    <w:rsid w:val="008C390E"/>
    <w:rsid w:val="008C3EC2"/>
    <w:rsid w:val="008C4304"/>
    <w:rsid w:val="008C4C74"/>
    <w:rsid w:val="008C4FFF"/>
    <w:rsid w:val="008C5A28"/>
    <w:rsid w:val="008C5FC5"/>
    <w:rsid w:val="008C6BCA"/>
    <w:rsid w:val="008C6D79"/>
    <w:rsid w:val="008C71C7"/>
    <w:rsid w:val="008C7941"/>
    <w:rsid w:val="008D0AE2"/>
    <w:rsid w:val="008D0C17"/>
    <w:rsid w:val="008D0D20"/>
    <w:rsid w:val="008D4D27"/>
    <w:rsid w:val="008D4F19"/>
    <w:rsid w:val="008D6C81"/>
    <w:rsid w:val="008D7021"/>
    <w:rsid w:val="008E09E2"/>
    <w:rsid w:val="008E0F89"/>
    <w:rsid w:val="008E1610"/>
    <w:rsid w:val="008E1E4F"/>
    <w:rsid w:val="008E35C2"/>
    <w:rsid w:val="008E5112"/>
    <w:rsid w:val="008E65E1"/>
    <w:rsid w:val="008E6631"/>
    <w:rsid w:val="008E6DE2"/>
    <w:rsid w:val="008E74FA"/>
    <w:rsid w:val="008E7876"/>
    <w:rsid w:val="008E7C8C"/>
    <w:rsid w:val="008E7F8D"/>
    <w:rsid w:val="008E7FB7"/>
    <w:rsid w:val="008F132E"/>
    <w:rsid w:val="008F13C2"/>
    <w:rsid w:val="008F18DE"/>
    <w:rsid w:val="008F2EF0"/>
    <w:rsid w:val="008F3198"/>
    <w:rsid w:val="008F3F61"/>
    <w:rsid w:val="008F49A9"/>
    <w:rsid w:val="008F4F40"/>
    <w:rsid w:val="008F55D2"/>
    <w:rsid w:val="008F63CE"/>
    <w:rsid w:val="008F6657"/>
    <w:rsid w:val="008F667F"/>
    <w:rsid w:val="008F7B0E"/>
    <w:rsid w:val="00900716"/>
    <w:rsid w:val="00901136"/>
    <w:rsid w:val="00902407"/>
    <w:rsid w:val="0090272A"/>
    <w:rsid w:val="00902823"/>
    <w:rsid w:val="009031A1"/>
    <w:rsid w:val="009039AC"/>
    <w:rsid w:val="00904EBC"/>
    <w:rsid w:val="00905482"/>
    <w:rsid w:val="009065F0"/>
    <w:rsid w:val="00906693"/>
    <w:rsid w:val="0090713F"/>
    <w:rsid w:val="00907DCF"/>
    <w:rsid w:val="00910995"/>
    <w:rsid w:val="00910A4F"/>
    <w:rsid w:val="00911323"/>
    <w:rsid w:val="00911E05"/>
    <w:rsid w:val="00912803"/>
    <w:rsid w:val="009137DC"/>
    <w:rsid w:val="0091402A"/>
    <w:rsid w:val="0091434B"/>
    <w:rsid w:val="00915AB5"/>
    <w:rsid w:val="00915D7D"/>
    <w:rsid w:val="00916501"/>
    <w:rsid w:val="00917C96"/>
    <w:rsid w:val="00920F9E"/>
    <w:rsid w:val="00921058"/>
    <w:rsid w:val="00921199"/>
    <w:rsid w:val="009226A6"/>
    <w:rsid w:val="00923040"/>
    <w:rsid w:val="009233A1"/>
    <w:rsid w:val="0092386C"/>
    <w:rsid w:val="0092388F"/>
    <w:rsid w:val="00923FA4"/>
    <w:rsid w:val="0092470C"/>
    <w:rsid w:val="00924F1E"/>
    <w:rsid w:val="00924F61"/>
    <w:rsid w:val="00925627"/>
    <w:rsid w:val="009256FC"/>
    <w:rsid w:val="00930F02"/>
    <w:rsid w:val="009324AF"/>
    <w:rsid w:val="009325A8"/>
    <w:rsid w:val="00932E54"/>
    <w:rsid w:val="00933552"/>
    <w:rsid w:val="00934755"/>
    <w:rsid w:val="00935227"/>
    <w:rsid w:val="00940E00"/>
    <w:rsid w:val="009428F3"/>
    <w:rsid w:val="0094410E"/>
    <w:rsid w:val="009451A4"/>
    <w:rsid w:val="00945744"/>
    <w:rsid w:val="00946812"/>
    <w:rsid w:val="00947B6C"/>
    <w:rsid w:val="00947C7C"/>
    <w:rsid w:val="00950C83"/>
    <w:rsid w:val="00950F37"/>
    <w:rsid w:val="00951AB8"/>
    <w:rsid w:val="009524D4"/>
    <w:rsid w:val="0095253D"/>
    <w:rsid w:val="009531F5"/>
    <w:rsid w:val="009532F9"/>
    <w:rsid w:val="0095391A"/>
    <w:rsid w:val="0095569D"/>
    <w:rsid w:val="009575C9"/>
    <w:rsid w:val="00957AF1"/>
    <w:rsid w:val="0096015F"/>
    <w:rsid w:val="0096044E"/>
    <w:rsid w:val="0096076D"/>
    <w:rsid w:val="009607F8"/>
    <w:rsid w:val="009613F6"/>
    <w:rsid w:val="009621AF"/>
    <w:rsid w:val="009629AE"/>
    <w:rsid w:val="009629DB"/>
    <w:rsid w:val="00964A83"/>
    <w:rsid w:val="00964B22"/>
    <w:rsid w:val="0096569E"/>
    <w:rsid w:val="009662CE"/>
    <w:rsid w:val="009667A2"/>
    <w:rsid w:val="00966B28"/>
    <w:rsid w:val="00966F68"/>
    <w:rsid w:val="009676F5"/>
    <w:rsid w:val="00967EBC"/>
    <w:rsid w:val="00967F78"/>
    <w:rsid w:val="00970F1D"/>
    <w:rsid w:val="0097115D"/>
    <w:rsid w:val="009713DE"/>
    <w:rsid w:val="00971EEE"/>
    <w:rsid w:val="00972FC0"/>
    <w:rsid w:val="00974690"/>
    <w:rsid w:val="00974CC4"/>
    <w:rsid w:val="0097555C"/>
    <w:rsid w:val="00975D71"/>
    <w:rsid w:val="00976A55"/>
    <w:rsid w:val="00980252"/>
    <w:rsid w:val="009804B0"/>
    <w:rsid w:val="00980542"/>
    <w:rsid w:val="00980CD5"/>
    <w:rsid w:val="00981CE7"/>
    <w:rsid w:val="009829C8"/>
    <w:rsid w:val="00982D21"/>
    <w:rsid w:val="00984915"/>
    <w:rsid w:val="00986F45"/>
    <w:rsid w:val="009872B2"/>
    <w:rsid w:val="009902EA"/>
    <w:rsid w:val="0099046C"/>
    <w:rsid w:val="00990A43"/>
    <w:rsid w:val="00990CD5"/>
    <w:rsid w:val="00991484"/>
    <w:rsid w:val="009919E7"/>
    <w:rsid w:val="0099219C"/>
    <w:rsid w:val="00992989"/>
    <w:rsid w:val="009929C8"/>
    <w:rsid w:val="00992AF4"/>
    <w:rsid w:val="00992D8E"/>
    <w:rsid w:val="00993241"/>
    <w:rsid w:val="009936C3"/>
    <w:rsid w:val="0099535D"/>
    <w:rsid w:val="00997281"/>
    <w:rsid w:val="009A08B6"/>
    <w:rsid w:val="009A0F29"/>
    <w:rsid w:val="009A17C8"/>
    <w:rsid w:val="009A1E68"/>
    <w:rsid w:val="009A3399"/>
    <w:rsid w:val="009A3572"/>
    <w:rsid w:val="009A3692"/>
    <w:rsid w:val="009A499C"/>
    <w:rsid w:val="009A5127"/>
    <w:rsid w:val="009A5547"/>
    <w:rsid w:val="009A5E79"/>
    <w:rsid w:val="009A6296"/>
    <w:rsid w:val="009A662B"/>
    <w:rsid w:val="009A688D"/>
    <w:rsid w:val="009A695F"/>
    <w:rsid w:val="009A7259"/>
    <w:rsid w:val="009A7774"/>
    <w:rsid w:val="009A7CAB"/>
    <w:rsid w:val="009B020F"/>
    <w:rsid w:val="009B0584"/>
    <w:rsid w:val="009B3B34"/>
    <w:rsid w:val="009B437D"/>
    <w:rsid w:val="009B53FE"/>
    <w:rsid w:val="009B58BE"/>
    <w:rsid w:val="009B5C2C"/>
    <w:rsid w:val="009B6260"/>
    <w:rsid w:val="009C053F"/>
    <w:rsid w:val="009C1A09"/>
    <w:rsid w:val="009C1D78"/>
    <w:rsid w:val="009C1F8A"/>
    <w:rsid w:val="009C2965"/>
    <w:rsid w:val="009C4C42"/>
    <w:rsid w:val="009C6CBA"/>
    <w:rsid w:val="009C6E7A"/>
    <w:rsid w:val="009C7265"/>
    <w:rsid w:val="009C7A13"/>
    <w:rsid w:val="009C7F03"/>
    <w:rsid w:val="009D2063"/>
    <w:rsid w:val="009D2132"/>
    <w:rsid w:val="009D255F"/>
    <w:rsid w:val="009D2FA2"/>
    <w:rsid w:val="009D3F28"/>
    <w:rsid w:val="009D5908"/>
    <w:rsid w:val="009D5DD1"/>
    <w:rsid w:val="009D66B5"/>
    <w:rsid w:val="009D74F5"/>
    <w:rsid w:val="009D7A04"/>
    <w:rsid w:val="009E048A"/>
    <w:rsid w:val="009E31B8"/>
    <w:rsid w:val="009E418C"/>
    <w:rsid w:val="009E4AAC"/>
    <w:rsid w:val="009E526E"/>
    <w:rsid w:val="009E5282"/>
    <w:rsid w:val="009E61B6"/>
    <w:rsid w:val="009E70DC"/>
    <w:rsid w:val="009E7F5C"/>
    <w:rsid w:val="009F0115"/>
    <w:rsid w:val="009F0DD1"/>
    <w:rsid w:val="009F17C4"/>
    <w:rsid w:val="009F1836"/>
    <w:rsid w:val="009F2CA1"/>
    <w:rsid w:val="009F3D33"/>
    <w:rsid w:val="009F402F"/>
    <w:rsid w:val="009F47E4"/>
    <w:rsid w:val="009F4883"/>
    <w:rsid w:val="009F48D9"/>
    <w:rsid w:val="009F4BDE"/>
    <w:rsid w:val="009F5173"/>
    <w:rsid w:val="009F5563"/>
    <w:rsid w:val="009F5924"/>
    <w:rsid w:val="009F610B"/>
    <w:rsid w:val="009F6484"/>
    <w:rsid w:val="00A015D1"/>
    <w:rsid w:val="00A02588"/>
    <w:rsid w:val="00A02BB4"/>
    <w:rsid w:val="00A03186"/>
    <w:rsid w:val="00A054DF"/>
    <w:rsid w:val="00A0558C"/>
    <w:rsid w:val="00A05F29"/>
    <w:rsid w:val="00A0773C"/>
    <w:rsid w:val="00A10502"/>
    <w:rsid w:val="00A114E6"/>
    <w:rsid w:val="00A1205D"/>
    <w:rsid w:val="00A13A5D"/>
    <w:rsid w:val="00A14063"/>
    <w:rsid w:val="00A15217"/>
    <w:rsid w:val="00A16A06"/>
    <w:rsid w:val="00A16A28"/>
    <w:rsid w:val="00A17AAD"/>
    <w:rsid w:val="00A17CA3"/>
    <w:rsid w:val="00A21722"/>
    <w:rsid w:val="00A22329"/>
    <w:rsid w:val="00A224F9"/>
    <w:rsid w:val="00A235D0"/>
    <w:rsid w:val="00A23781"/>
    <w:rsid w:val="00A23D17"/>
    <w:rsid w:val="00A250FE"/>
    <w:rsid w:val="00A253AC"/>
    <w:rsid w:val="00A2572B"/>
    <w:rsid w:val="00A25E62"/>
    <w:rsid w:val="00A260FA"/>
    <w:rsid w:val="00A26301"/>
    <w:rsid w:val="00A26761"/>
    <w:rsid w:val="00A26CA1"/>
    <w:rsid w:val="00A26DAB"/>
    <w:rsid w:val="00A278AC"/>
    <w:rsid w:val="00A27C4D"/>
    <w:rsid w:val="00A30096"/>
    <w:rsid w:val="00A30794"/>
    <w:rsid w:val="00A30AE2"/>
    <w:rsid w:val="00A319A8"/>
    <w:rsid w:val="00A321FD"/>
    <w:rsid w:val="00A32233"/>
    <w:rsid w:val="00A324D9"/>
    <w:rsid w:val="00A32704"/>
    <w:rsid w:val="00A32BEE"/>
    <w:rsid w:val="00A334DE"/>
    <w:rsid w:val="00A348F6"/>
    <w:rsid w:val="00A34AFC"/>
    <w:rsid w:val="00A35215"/>
    <w:rsid w:val="00A3632C"/>
    <w:rsid w:val="00A367CC"/>
    <w:rsid w:val="00A369A1"/>
    <w:rsid w:val="00A37116"/>
    <w:rsid w:val="00A371D6"/>
    <w:rsid w:val="00A37B26"/>
    <w:rsid w:val="00A40673"/>
    <w:rsid w:val="00A408D1"/>
    <w:rsid w:val="00A41354"/>
    <w:rsid w:val="00A4281D"/>
    <w:rsid w:val="00A43002"/>
    <w:rsid w:val="00A433A3"/>
    <w:rsid w:val="00A44BC8"/>
    <w:rsid w:val="00A44DAA"/>
    <w:rsid w:val="00A4523C"/>
    <w:rsid w:val="00A4551E"/>
    <w:rsid w:val="00A45B45"/>
    <w:rsid w:val="00A45FBA"/>
    <w:rsid w:val="00A52898"/>
    <w:rsid w:val="00A532A2"/>
    <w:rsid w:val="00A5352D"/>
    <w:rsid w:val="00A5428F"/>
    <w:rsid w:val="00A542A3"/>
    <w:rsid w:val="00A54377"/>
    <w:rsid w:val="00A54E5C"/>
    <w:rsid w:val="00A55B7B"/>
    <w:rsid w:val="00A55F87"/>
    <w:rsid w:val="00A560CC"/>
    <w:rsid w:val="00A5783E"/>
    <w:rsid w:val="00A57B3E"/>
    <w:rsid w:val="00A605D2"/>
    <w:rsid w:val="00A61182"/>
    <w:rsid w:val="00A6185B"/>
    <w:rsid w:val="00A61CB6"/>
    <w:rsid w:val="00A627B6"/>
    <w:rsid w:val="00A63084"/>
    <w:rsid w:val="00A64812"/>
    <w:rsid w:val="00A65618"/>
    <w:rsid w:val="00A65B6E"/>
    <w:rsid w:val="00A65F9C"/>
    <w:rsid w:val="00A6651D"/>
    <w:rsid w:val="00A673E4"/>
    <w:rsid w:val="00A67704"/>
    <w:rsid w:val="00A67F18"/>
    <w:rsid w:val="00A70297"/>
    <w:rsid w:val="00A704A9"/>
    <w:rsid w:val="00A70557"/>
    <w:rsid w:val="00A7066B"/>
    <w:rsid w:val="00A7098B"/>
    <w:rsid w:val="00A717F0"/>
    <w:rsid w:val="00A71E8F"/>
    <w:rsid w:val="00A729AF"/>
    <w:rsid w:val="00A72A3E"/>
    <w:rsid w:val="00A7398C"/>
    <w:rsid w:val="00A739B7"/>
    <w:rsid w:val="00A73A9A"/>
    <w:rsid w:val="00A73AFF"/>
    <w:rsid w:val="00A74508"/>
    <w:rsid w:val="00A76061"/>
    <w:rsid w:val="00A7661C"/>
    <w:rsid w:val="00A7699A"/>
    <w:rsid w:val="00A76A4F"/>
    <w:rsid w:val="00A76F4F"/>
    <w:rsid w:val="00A774BC"/>
    <w:rsid w:val="00A778FF"/>
    <w:rsid w:val="00A80EAF"/>
    <w:rsid w:val="00A81A6E"/>
    <w:rsid w:val="00A823AE"/>
    <w:rsid w:val="00A826FD"/>
    <w:rsid w:val="00A828ED"/>
    <w:rsid w:val="00A83851"/>
    <w:rsid w:val="00A83A08"/>
    <w:rsid w:val="00A83D31"/>
    <w:rsid w:val="00A84E18"/>
    <w:rsid w:val="00A8529D"/>
    <w:rsid w:val="00A868FD"/>
    <w:rsid w:val="00A87ED0"/>
    <w:rsid w:val="00A87FD4"/>
    <w:rsid w:val="00A91244"/>
    <w:rsid w:val="00A917EB"/>
    <w:rsid w:val="00A91AF4"/>
    <w:rsid w:val="00A9349C"/>
    <w:rsid w:val="00A93D13"/>
    <w:rsid w:val="00A93F46"/>
    <w:rsid w:val="00A943DA"/>
    <w:rsid w:val="00A94621"/>
    <w:rsid w:val="00A952F3"/>
    <w:rsid w:val="00A95807"/>
    <w:rsid w:val="00A96395"/>
    <w:rsid w:val="00A96693"/>
    <w:rsid w:val="00A970A8"/>
    <w:rsid w:val="00AA18A2"/>
    <w:rsid w:val="00AA19BE"/>
    <w:rsid w:val="00AA2245"/>
    <w:rsid w:val="00AA3730"/>
    <w:rsid w:val="00AA3A8A"/>
    <w:rsid w:val="00AA3E62"/>
    <w:rsid w:val="00AA44D2"/>
    <w:rsid w:val="00AA4A22"/>
    <w:rsid w:val="00AA5B6A"/>
    <w:rsid w:val="00AA6057"/>
    <w:rsid w:val="00AA6899"/>
    <w:rsid w:val="00AA6C14"/>
    <w:rsid w:val="00AA75E3"/>
    <w:rsid w:val="00AB1B3E"/>
    <w:rsid w:val="00AB1FEE"/>
    <w:rsid w:val="00AB2FF5"/>
    <w:rsid w:val="00AB30EB"/>
    <w:rsid w:val="00AB3924"/>
    <w:rsid w:val="00AB3C6A"/>
    <w:rsid w:val="00AB7282"/>
    <w:rsid w:val="00AB7D44"/>
    <w:rsid w:val="00AC0044"/>
    <w:rsid w:val="00AC0945"/>
    <w:rsid w:val="00AC0B82"/>
    <w:rsid w:val="00AC17AF"/>
    <w:rsid w:val="00AC2159"/>
    <w:rsid w:val="00AC296A"/>
    <w:rsid w:val="00AC4B90"/>
    <w:rsid w:val="00AC651B"/>
    <w:rsid w:val="00AC6658"/>
    <w:rsid w:val="00AC6F45"/>
    <w:rsid w:val="00AD02AE"/>
    <w:rsid w:val="00AD06F8"/>
    <w:rsid w:val="00AD1523"/>
    <w:rsid w:val="00AD1BEF"/>
    <w:rsid w:val="00AD316A"/>
    <w:rsid w:val="00AD3B15"/>
    <w:rsid w:val="00AD3D96"/>
    <w:rsid w:val="00AD402A"/>
    <w:rsid w:val="00AD460E"/>
    <w:rsid w:val="00AD47F3"/>
    <w:rsid w:val="00AD636B"/>
    <w:rsid w:val="00AD6967"/>
    <w:rsid w:val="00AD7BDF"/>
    <w:rsid w:val="00AD7EB2"/>
    <w:rsid w:val="00AD7EEA"/>
    <w:rsid w:val="00AE24E6"/>
    <w:rsid w:val="00AE4CB0"/>
    <w:rsid w:val="00AE58DD"/>
    <w:rsid w:val="00AE6298"/>
    <w:rsid w:val="00AE631D"/>
    <w:rsid w:val="00AE6575"/>
    <w:rsid w:val="00AE6DA6"/>
    <w:rsid w:val="00AE7134"/>
    <w:rsid w:val="00AE74CE"/>
    <w:rsid w:val="00AF0C76"/>
    <w:rsid w:val="00AF0D0C"/>
    <w:rsid w:val="00AF1574"/>
    <w:rsid w:val="00AF2948"/>
    <w:rsid w:val="00AF41A2"/>
    <w:rsid w:val="00AF4EF0"/>
    <w:rsid w:val="00AF5167"/>
    <w:rsid w:val="00AF6167"/>
    <w:rsid w:val="00AF67BC"/>
    <w:rsid w:val="00AF6CB5"/>
    <w:rsid w:val="00AF71FF"/>
    <w:rsid w:val="00AF7227"/>
    <w:rsid w:val="00B01BA2"/>
    <w:rsid w:val="00B01BD6"/>
    <w:rsid w:val="00B01CD0"/>
    <w:rsid w:val="00B02D8A"/>
    <w:rsid w:val="00B03A5D"/>
    <w:rsid w:val="00B0423F"/>
    <w:rsid w:val="00B0431D"/>
    <w:rsid w:val="00B04536"/>
    <w:rsid w:val="00B04E09"/>
    <w:rsid w:val="00B0587F"/>
    <w:rsid w:val="00B068E6"/>
    <w:rsid w:val="00B0766E"/>
    <w:rsid w:val="00B0798C"/>
    <w:rsid w:val="00B10AA6"/>
    <w:rsid w:val="00B114BA"/>
    <w:rsid w:val="00B11845"/>
    <w:rsid w:val="00B11C98"/>
    <w:rsid w:val="00B13141"/>
    <w:rsid w:val="00B1389F"/>
    <w:rsid w:val="00B14636"/>
    <w:rsid w:val="00B147A6"/>
    <w:rsid w:val="00B15F52"/>
    <w:rsid w:val="00B161A9"/>
    <w:rsid w:val="00B166FD"/>
    <w:rsid w:val="00B16F17"/>
    <w:rsid w:val="00B17425"/>
    <w:rsid w:val="00B17B5E"/>
    <w:rsid w:val="00B20491"/>
    <w:rsid w:val="00B220B5"/>
    <w:rsid w:val="00B2223C"/>
    <w:rsid w:val="00B226CF"/>
    <w:rsid w:val="00B241FD"/>
    <w:rsid w:val="00B242A3"/>
    <w:rsid w:val="00B24A68"/>
    <w:rsid w:val="00B273A2"/>
    <w:rsid w:val="00B27D3C"/>
    <w:rsid w:val="00B30923"/>
    <w:rsid w:val="00B325A3"/>
    <w:rsid w:val="00B338A0"/>
    <w:rsid w:val="00B33DF4"/>
    <w:rsid w:val="00B355DA"/>
    <w:rsid w:val="00B35853"/>
    <w:rsid w:val="00B366ED"/>
    <w:rsid w:val="00B3791F"/>
    <w:rsid w:val="00B4029E"/>
    <w:rsid w:val="00B40438"/>
    <w:rsid w:val="00B40C7D"/>
    <w:rsid w:val="00B4158A"/>
    <w:rsid w:val="00B41E70"/>
    <w:rsid w:val="00B43FC8"/>
    <w:rsid w:val="00B4546D"/>
    <w:rsid w:val="00B456E8"/>
    <w:rsid w:val="00B46A56"/>
    <w:rsid w:val="00B46C39"/>
    <w:rsid w:val="00B512E8"/>
    <w:rsid w:val="00B512FC"/>
    <w:rsid w:val="00B515BB"/>
    <w:rsid w:val="00B51F2E"/>
    <w:rsid w:val="00B52321"/>
    <w:rsid w:val="00B52FCB"/>
    <w:rsid w:val="00B53930"/>
    <w:rsid w:val="00B5434B"/>
    <w:rsid w:val="00B54C7D"/>
    <w:rsid w:val="00B552A7"/>
    <w:rsid w:val="00B55ABC"/>
    <w:rsid w:val="00B564E6"/>
    <w:rsid w:val="00B62EFA"/>
    <w:rsid w:val="00B63EED"/>
    <w:rsid w:val="00B659AA"/>
    <w:rsid w:val="00B6655A"/>
    <w:rsid w:val="00B6710B"/>
    <w:rsid w:val="00B67136"/>
    <w:rsid w:val="00B671B1"/>
    <w:rsid w:val="00B67968"/>
    <w:rsid w:val="00B67DC7"/>
    <w:rsid w:val="00B70E95"/>
    <w:rsid w:val="00B70F1E"/>
    <w:rsid w:val="00B71106"/>
    <w:rsid w:val="00B7189A"/>
    <w:rsid w:val="00B72D1A"/>
    <w:rsid w:val="00B732F4"/>
    <w:rsid w:val="00B74506"/>
    <w:rsid w:val="00B77826"/>
    <w:rsid w:val="00B77A9C"/>
    <w:rsid w:val="00B8009C"/>
    <w:rsid w:val="00B80E9D"/>
    <w:rsid w:val="00B81B35"/>
    <w:rsid w:val="00B81E15"/>
    <w:rsid w:val="00B82131"/>
    <w:rsid w:val="00B82ED5"/>
    <w:rsid w:val="00B83088"/>
    <w:rsid w:val="00B836A7"/>
    <w:rsid w:val="00B8451B"/>
    <w:rsid w:val="00B84B5C"/>
    <w:rsid w:val="00B85556"/>
    <w:rsid w:val="00B85C47"/>
    <w:rsid w:val="00B86910"/>
    <w:rsid w:val="00B86C2C"/>
    <w:rsid w:val="00B875C0"/>
    <w:rsid w:val="00B877EB"/>
    <w:rsid w:val="00B87E35"/>
    <w:rsid w:val="00B905EE"/>
    <w:rsid w:val="00B915C7"/>
    <w:rsid w:val="00B916ED"/>
    <w:rsid w:val="00B91E50"/>
    <w:rsid w:val="00B923A7"/>
    <w:rsid w:val="00B92787"/>
    <w:rsid w:val="00B93C0D"/>
    <w:rsid w:val="00B93DFE"/>
    <w:rsid w:val="00B9446C"/>
    <w:rsid w:val="00B95011"/>
    <w:rsid w:val="00B953FF"/>
    <w:rsid w:val="00B95AF6"/>
    <w:rsid w:val="00B95E59"/>
    <w:rsid w:val="00B96DDE"/>
    <w:rsid w:val="00B9731A"/>
    <w:rsid w:val="00B977F7"/>
    <w:rsid w:val="00B97FD0"/>
    <w:rsid w:val="00BA03E2"/>
    <w:rsid w:val="00BA0E6F"/>
    <w:rsid w:val="00BA14BA"/>
    <w:rsid w:val="00BA36FC"/>
    <w:rsid w:val="00BA3FAE"/>
    <w:rsid w:val="00BA4F13"/>
    <w:rsid w:val="00BA597C"/>
    <w:rsid w:val="00BA5D03"/>
    <w:rsid w:val="00BA5E67"/>
    <w:rsid w:val="00BA76A4"/>
    <w:rsid w:val="00BA79FF"/>
    <w:rsid w:val="00BB1883"/>
    <w:rsid w:val="00BB1BDA"/>
    <w:rsid w:val="00BB1F9A"/>
    <w:rsid w:val="00BB20F4"/>
    <w:rsid w:val="00BB2338"/>
    <w:rsid w:val="00BB39EE"/>
    <w:rsid w:val="00BB4F2B"/>
    <w:rsid w:val="00BB5469"/>
    <w:rsid w:val="00BB5C4F"/>
    <w:rsid w:val="00BB7744"/>
    <w:rsid w:val="00BB78F6"/>
    <w:rsid w:val="00BC0C4F"/>
    <w:rsid w:val="00BC0CFC"/>
    <w:rsid w:val="00BC0E8B"/>
    <w:rsid w:val="00BC0F83"/>
    <w:rsid w:val="00BC1972"/>
    <w:rsid w:val="00BC1F44"/>
    <w:rsid w:val="00BC2907"/>
    <w:rsid w:val="00BC2AA2"/>
    <w:rsid w:val="00BC2ABD"/>
    <w:rsid w:val="00BC39BA"/>
    <w:rsid w:val="00BC5183"/>
    <w:rsid w:val="00BC698D"/>
    <w:rsid w:val="00BC72C6"/>
    <w:rsid w:val="00BC793E"/>
    <w:rsid w:val="00BC7B26"/>
    <w:rsid w:val="00BD0CEA"/>
    <w:rsid w:val="00BD0DBF"/>
    <w:rsid w:val="00BD224F"/>
    <w:rsid w:val="00BD22B7"/>
    <w:rsid w:val="00BD25F8"/>
    <w:rsid w:val="00BD3AB6"/>
    <w:rsid w:val="00BD5176"/>
    <w:rsid w:val="00BD60FF"/>
    <w:rsid w:val="00BD75B3"/>
    <w:rsid w:val="00BE1894"/>
    <w:rsid w:val="00BE1A5B"/>
    <w:rsid w:val="00BE1CDE"/>
    <w:rsid w:val="00BE2F01"/>
    <w:rsid w:val="00BE37EC"/>
    <w:rsid w:val="00BE5DD4"/>
    <w:rsid w:val="00BE6491"/>
    <w:rsid w:val="00BE7A0F"/>
    <w:rsid w:val="00BF0523"/>
    <w:rsid w:val="00BF0BC8"/>
    <w:rsid w:val="00BF145F"/>
    <w:rsid w:val="00BF23EF"/>
    <w:rsid w:val="00BF273A"/>
    <w:rsid w:val="00BF289C"/>
    <w:rsid w:val="00BF3424"/>
    <w:rsid w:val="00BF44A8"/>
    <w:rsid w:val="00BF59E7"/>
    <w:rsid w:val="00BF5EC6"/>
    <w:rsid w:val="00BF6BDE"/>
    <w:rsid w:val="00BF74B7"/>
    <w:rsid w:val="00BF7D0E"/>
    <w:rsid w:val="00BF7DEC"/>
    <w:rsid w:val="00BF7E78"/>
    <w:rsid w:val="00C00500"/>
    <w:rsid w:val="00C011D4"/>
    <w:rsid w:val="00C02B98"/>
    <w:rsid w:val="00C0360F"/>
    <w:rsid w:val="00C05101"/>
    <w:rsid w:val="00C05376"/>
    <w:rsid w:val="00C05E57"/>
    <w:rsid w:val="00C065DD"/>
    <w:rsid w:val="00C06932"/>
    <w:rsid w:val="00C06FA5"/>
    <w:rsid w:val="00C07BAD"/>
    <w:rsid w:val="00C07CCA"/>
    <w:rsid w:val="00C1036A"/>
    <w:rsid w:val="00C10663"/>
    <w:rsid w:val="00C11378"/>
    <w:rsid w:val="00C11396"/>
    <w:rsid w:val="00C11866"/>
    <w:rsid w:val="00C13E41"/>
    <w:rsid w:val="00C13E72"/>
    <w:rsid w:val="00C15A13"/>
    <w:rsid w:val="00C16370"/>
    <w:rsid w:val="00C16A03"/>
    <w:rsid w:val="00C16B6D"/>
    <w:rsid w:val="00C16C19"/>
    <w:rsid w:val="00C16D18"/>
    <w:rsid w:val="00C17059"/>
    <w:rsid w:val="00C17262"/>
    <w:rsid w:val="00C17ABB"/>
    <w:rsid w:val="00C200AA"/>
    <w:rsid w:val="00C200CA"/>
    <w:rsid w:val="00C206BD"/>
    <w:rsid w:val="00C209EA"/>
    <w:rsid w:val="00C20C09"/>
    <w:rsid w:val="00C21551"/>
    <w:rsid w:val="00C2360C"/>
    <w:rsid w:val="00C23F69"/>
    <w:rsid w:val="00C24095"/>
    <w:rsid w:val="00C24A23"/>
    <w:rsid w:val="00C24C03"/>
    <w:rsid w:val="00C2569A"/>
    <w:rsid w:val="00C25D09"/>
    <w:rsid w:val="00C30902"/>
    <w:rsid w:val="00C31116"/>
    <w:rsid w:val="00C33EC0"/>
    <w:rsid w:val="00C34305"/>
    <w:rsid w:val="00C35649"/>
    <w:rsid w:val="00C35A16"/>
    <w:rsid w:val="00C35D86"/>
    <w:rsid w:val="00C37236"/>
    <w:rsid w:val="00C402DE"/>
    <w:rsid w:val="00C40451"/>
    <w:rsid w:val="00C4088D"/>
    <w:rsid w:val="00C40936"/>
    <w:rsid w:val="00C41375"/>
    <w:rsid w:val="00C41A2B"/>
    <w:rsid w:val="00C41B5D"/>
    <w:rsid w:val="00C41B73"/>
    <w:rsid w:val="00C423D7"/>
    <w:rsid w:val="00C424D3"/>
    <w:rsid w:val="00C424DE"/>
    <w:rsid w:val="00C4362E"/>
    <w:rsid w:val="00C44248"/>
    <w:rsid w:val="00C44ACB"/>
    <w:rsid w:val="00C44D23"/>
    <w:rsid w:val="00C44EAB"/>
    <w:rsid w:val="00C459CE"/>
    <w:rsid w:val="00C46DE0"/>
    <w:rsid w:val="00C46E79"/>
    <w:rsid w:val="00C47091"/>
    <w:rsid w:val="00C51706"/>
    <w:rsid w:val="00C51C28"/>
    <w:rsid w:val="00C53C75"/>
    <w:rsid w:val="00C5454F"/>
    <w:rsid w:val="00C55C3C"/>
    <w:rsid w:val="00C55CB5"/>
    <w:rsid w:val="00C55F1C"/>
    <w:rsid w:val="00C56D48"/>
    <w:rsid w:val="00C57884"/>
    <w:rsid w:val="00C60339"/>
    <w:rsid w:val="00C60938"/>
    <w:rsid w:val="00C6094B"/>
    <w:rsid w:val="00C609CE"/>
    <w:rsid w:val="00C60E4B"/>
    <w:rsid w:val="00C61D05"/>
    <w:rsid w:val="00C61F48"/>
    <w:rsid w:val="00C62CD8"/>
    <w:rsid w:val="00C64AD4"/>
    <w:rsid w:val="00C656DC"/>
    <w:rsid w:val="00C667C2"/>
    <w:rsid w:val="00C66DAC"/>
    <w:rsid w:val="00C70734"/>
    <w:rsid w:val="00C70FFC"/>
    <w:rsid w:val="00C71BD8"/>
    <w:rsid w:val="00C71DCD"/>
    <w:rsid w:val="00C7217B"/>
    <w:rsid w:val="00C748F8"/>
    <w:rsid w:val="00C748FD"/>
    <w:rsid w:val="00C75833"/>
    <w:rsid w:val="00C7675B"/>
    <w:rsid w:val="00C80349"/>
    <w:rsid w:val="00C8049A"/>
    <w:rsid w:val="00C814C7"/>
    <w:rsid w:val="00C81E5A"/>
    <w:rsid w:val="00C82054"/>
    <w:rsid w:val="00C83394"/>
    <w:rsid w:val="00C8455F"/>
    <w:rsid w:val="00C8507B"/>
    <w:rsid w:val="00C861D7"/>
    <w:rsid w:val="00C86259"/>
    <w:rsid w:val="00C866A8"/>
    <w:rsid w:val="00C86785"/>
    <w:rsid w:val="00C879D6"/>
    <w:rsid w:val="00C87B02"/>
    <w:rsid w:val="00C91B28"/>
    <w:rsid w:val="00C925D1"/>
    <w:rsid w:val="00C92606"/>
    <w:rsid w:val="00C92B75"/>
    <w:rsid w:val="00C9339A"/>
    <w:rsid w:val="00C93955"/>
    <w:rsid w:val="00C9450C"/>
    <w:rsid w:val="00C949CA"/>
    <w:rsid w:val="00C9538D"/>
    <w:rsid w:val="00C954C7"/>
    <w:rsid w:val="00C95757"/>
    <w:rsid w:val="00C95BD6"/>
    <w:rsid w:val="00C96290"/>
    <w:rsid w:val="00C96292"/>
    <w:rsid w:val="00C96BB8"/>
    <w:rsid w:val="00CA1B9E"/>
    <w:rsid w:val="00CA1DF3"/>
    <w:rsid w:val="00CA2B15"/>
    <w:rsid w:val="00CA2C33"/>
    <w:rsid w:val="00CA3624"/>
    <w:rsid w:val="00CA3EDC"/>
    <w:rsid w:val="00CA487E"/>
    <w:rsid w:val="00CA601A"/>
    <w:rsid w:val="00CA67BF"/>
    <w:rsid w:val="00CA6E26"/>
    <w:rsid w:val="00CB0499"/>
    <w:rsid w:val="00CB0A29"/>
    <w:rsid w:val="00CB0CEE"/>
    <w:rsid w:val="00CB3CE5"/>
    <w:rsid w:val="00CB3FEA"/>
    <w:rsid w:val="00CB46A6"/>
    <w:rsid w:val="00CB47CC"/>
    <w:rsid w:val="00CB5EA1"/>
    <w:rsid w:val="00CB6869"/>
    <w:rsid w:val="00CB70F2"/>
    <w:rsid w:val="00CB7354"/>
    <w:rsid w:val="00CC0922"/>
    <w:rsid w:val="00CC0E59"/>
    <w:rsid w:val="00CC0F6C"/>
    <w:rsid w:val="00CC17B5"/>
    <w:rsid w:val="00CC1901"/>
    <w:rsid w:val="00CC2450"/>
    <w:rsid w:val="00CC2516"/>
    <w:rsid w:val="00CC55CC"/>
    <w:rsid w:val="00CC5754"/>
    <w:rsid w:val="00CC5B7D"/>
    <w:rsid w:val="00CC6A38"/>
    <w:rsid w:val="00CC6EE1"/>
    <w:rsid w:val="00CC7814"/>
    <w:rsid w:val="00CD009E"/>
    <w:rsid w:val="00CD0380"/>
    <w:rsid w:val="00CD063B"/>
    <w:rsid w:val="00CD0F10"/>
    <w:rsid w:val="00CD15A0"/>
    <w:rsid w:val="00CD1675"/>
    <w:rsid w:val="00CD2280"/>
    <w:rsid w:val="00CD2285"/>
    <w:rsid w:val="00CD256C"/>
    <w:rsid w:val="00CD3C33"/>
    <w:rsid w:val="00CD3E89"/>
    <w:rsid w:val="00CD44D9"/>
    <w:rsid w:val="00CD556D"/>
    <w:rsid w:val="00CD5E39"/>
    <w:rsid w:val="00CD678A"/>
    <w:rsid w:val="00CD7B80"/>
    <w:rsid w:val="00CD7D63"/>
    <w:rsid w:val="00CE04FD"/>
    <w:rsid w:val="00CE1073"/>
    <w:rsid w:val="00CE13E8"/>
    <w:rsid w:val="00CE1B3B"/>
    <w:rsid w:val="00CE246A"/>
    <w:rsid w:val="00CE2617"/>
    <w:rsid w:val="00CE2C57"/>
    <w:rsid w:val="00CE3D39"/>
    <w:rsid w:val="00CE45A5"/>
    <w:rsid w:val="00CE49EA"/>
    <w:rsid w:val="00CE5997"/>
    <w:rsid w:val="00CE673C"/>
    <w:rsid w:val="00CE6752"/>
    <w:rsid w:val="00CE68F0"/>
    <w:rsid w:val="00CE70C8"/>
    <w:rsid w:val="00CE7243"/>
    <w:rsid w:val="00CE7FE8"/>
    <w:rsid w:val="00CF132A"/>
    <w:rsid w:val="00CF1547"/>
    <w:rsid w:val="00CF1599"/>
    <w:rsid w:val="00CF168B"/>
    <w:rsid w:val="00CF1EA8"/>
    <w:rsid w:val="00CF29CF"/>
    <w:rsid w:val="00CF3602"/>
    <w:rsid w:val="00CF37F3"/>
    <w:rsid w:val="00CF562A"/>
    <w:rsid w:val="00CF5D17"/>
    <w:rsid w:val="00CF61FE"/>
    <w:rsid w:val="00D0188B"/>
    <w:rsid w:val="00D024F9"/>
    <w:rsid w:val="00D02BCE"/>
    <w:rsid w:val="00D02C19"/>
    <w:rsid w:val="00D0340C"/>
    <w:rsid w:val="00D039CD"/>
    <w:rsid w:val="00D03F91"/>
    <w:rsid w:val="00D05AF3"/>
    <w:rsid w:val="00D0618A"/>
    <w:rsid w:val="00D06350"/>
    <w:rsid w:val="00D0682E"/>
    <w:rsid w:val="00D07798"/>
    <w:rsid w:val="00D102D6"/>
    <w:rsid w:val="00D12C0B"/>
    <w:rsid w:val="00D1329A"/>
    <w:rsid w:val="00D13501"/>
    <w:rsid w:val="00D13BBD"/>
    <w:rsid w:val="00D13FA4"/>
    <w:rsid w:val="00D14615"/>
    <w:rsid w:val="00D1492D"/>
    <w:rsid w:val="00D161CE"/>
    <w:rsid w:val="00D167B2"/>
    <w:rsid w:val="00D16801"/>
    <w:rsid w:val="00D17753"/>
    <w:rsid w:val="00D17D50"/>
    <w:rsid w:val="00D17F84"/>
    <w:rsid w:val="00D20539"/>
    <w:rsid w:val="00D20F23"/>
    <w:rsid w:val="00D21447"/>
    <w:rsid w:val="00D21B83"/>
    <w:rsid w:val="00D22583"/>
    <w:rsid w:val="00D2361C"/>
    <w:rsid w:val="00D256BD"/>
    <w:rsid w:val="00D25FCA"/>
    <w:rsid w:val="00D261B1"/>
    <w:rsid w:val="00D26D23"/>
    <w:rsid w:val="00D27180"/>
    <w:rsid w:val="00D31267"/>
    <w:rsid w:val="00D31975"/>
    <w:rsid w:val="00D31BCF"/>
    <w:rsid w:val="00D31E7C"/>
    <w:rsid w:val="00D324E9"/>
    <w:rsid w:val="00D34B67"/>
    <w:rsid w:val="00D4012C"/>
    <w:rsid w:val="00D40203"/>
    <w:rsid w:val="00D40D7C"/>
    <w:rsid w:val="00D41833"/>
    <w:rsid w:val="00D42C77"/>
    <w:rsid w:val="00D437F1"/>
    <w:rsid w:val="00D439AE"/>
    <w:rsid w:val="00D43BB8"/>
    <w:rsid w:val="00D4460E"/>
    <w:rsid w:val="00D44B92"/>
    <w:rsid w:val="00D44F31"/>
    <w:rsid w:val="00D468DD"/>
    <w:rsid w:val="00D47493"/>
    <w:rsid w:val="00D479D1"/>
    <w:rsid w:val="00D479F0"/>
    <w:rsid w:val="00D50BB5"/>
    <w:rsid w:val="00D50C65"/>
    <w:rsid w:val="00D50DED"/>
    <w:rsid w:val="00D52743"/>
    <w:rsid w:val="00D535A8"/>
    <w:rsid w:val="00D53ADD"/>
    <w:rsid w:val="00D53C30"/>
    <w:rsid w:val="00D547DA"/>
    <w:rsid w:val="00D54F2D"/>
    <w:rsid w:val="00D551BC"/>
    <w:rsid w:val="00D5766C"/>
    <w:rsid w:val="00D576E9"/>
    <w:rsid w:val="00D577AD"/>
    <w:rsid w:val="00D5795A"/>
    <w:rsid w:val="00D60379"/>
    <w:rsid w:val="00D60812"/>
    <w:rsid w:val="00D610E6"/>
    <w:rsid w:val="00D61335"/>
    <w:rsid w:val="00D6187C"/>
    <w:rsid w:val="00D61CD7"/>
    <w:rsid w:val="00D62110"/>
    <w:rsid w:val="00D630EF"/>
    <w:rsid w:val="00D63B68"/>
    <w:rsid w:val="00D643BB"/>
    <w:rsid w:val="00D643F6"/>
    <w:rsid w:val="00D66C33"/>
    <w:rsid w:val="00D66F0E"/>
    <w:rsid w:val="00D67D96"/>
    <w:rsid w:val="00D7119E"/>
    <w:rsid w:val="00D72256"/>
    <w:rsid w:val="00D73C27"/>
    <w:rsid w:val="00D75BB1"/>
    <w:rsid w:val="00D76560"/>
    <w:rsid w:val="00D765F0"/>
    <w:rsid w:val="00D76FC9"/>
    <w:rsid w:val="00D773BD"/>
    <w:rsid w:val="00D774E2"/>
    <w:rsid w:val="00D779FC"/>
    <w:rsid w:val="00D80247"/>
    <w:rsid w:val="00D81C64"/>
    <w:rsid w:val="00D81EBF"/>
    <w:rsid w:val="00D82D93"/>
    <w:rsid w:val="00D8514E"/>
    <w:rsid w:val="00D85A42"/>
    <w:rsid w:val="00D85F3D"/>
    <w:rsid w:val="00D8652F"/>
    <w:rsid w:val="00D8680A"/>
    <w:rsid w:val="00D86FDF"/>
    <w:rsid w:val="00D918B7"/>
    <w:rsid w:val="00D93958"/>
    <w:rsid w:val="00D94957"/>
    <w:rsid w:val="00D958BA"/>
    <w:rsid w:val="00D9596D"/>
    <w:rsid w:val="00D95C18"/>
    <w:rsid w:val="00D9706F"/>
    <w:rsid w:val="00D97177"/>
    <w:rsid w:val="00D971B8"/>
    <w:rsid w:val="00D9772B"/>
    <w:rsid w:val="00D978FE"/>
    <w:rsid w:val="00D97ECD"/>
    <w:rsid w:val="00DA06EB"/>
    <w:rsid w:val="00DA1379"/>
    <w:rsid w:val="00DA391F"/>
    <w:rsid w:val="00DA59DE"/>
    <w:rsid w:val="00DA6A61"/>
    <w:rsid w:val="00DA78BF"/>
    <w:rsid w:val="00DB23FD"/>
    <w:rsid w:val="00DB3669"/>
    <w:rsid w:val="00DB4519"/>
    <w:rsid w:val="00DB6DCE"/>
    <w:rsid w:val="00DC0400"/>
    <w:rsid w:val="00DC135E"/>
    <w:rsid w:val="00DC25AE"/>
    <w:rsid w:val="00DC26A2"/>
    <w:rsid w:val="00DC29EB"/>
    <w:rsid w:val="00DC307F"/>
    <w:rsid w:val="00DC393B"/>
    <w:rsid w:val="00DC3DA7"/>
    <w:rsid w:val="00DC4BD3"/>
    <w:rsid w:val="00DC4D61"/>
    <w:rsid w:val="00DC6411"/>
    <w:rsid w:val="00DC69A6"/>
    <w:rsid w:val="00DC7048"/>
    <w:rsid w:val="00DC7057"/>
    <w:rsid w:val="00DC7211"/>
    <w:rsid w:val="00DC72E0"/>
    <w:rsid w:val="00DC7ECE"/>
    <w:rsid w:val="00DD0277"/>
    <w:rsid w:val="00DD05F3"/>
    <w:rsid w:val="00DD1D74"/>
    <w:rsid w:val="00DD2444"/>
    <w:rsid w:val="00DD3051"/>
    <w:rsid w:val="00DD3216"/>
    <w:rsid w:val="00DD322B"/>
    <w:rsid w:val="00DD3FD8"/>
    <w:rsid w:val="00DD5278"/>
    <w:rsid w:val="00DD5B09"/>
    <w:rsid w:val="00DD61AB"/>
    <w:rsid w:val="00DD6B4A"/>
    <w:rsid w:val="00DD7BC2"/>
    <w:rsid w:val="00DE0530"/>
    <w:rsid w:val="00DE128E"/>
    <w:rsid w:val="00DE236C"/>
    <w:rsid w:val="00DE29AA"/>
    <w:rsid w:val="00DE2E3E"/>
    <w:rsid w:val="00DE3C1D"/>
    <w:rsid w:val="00DE541B"/>
    <w:rsid w:val="00DE5439"/>
    <w:rsid w:val="00DE5EA2"/>
    <w:rsid w:val="00DE65B2"/>
    <w:rsid w:val="00DE6948"/>
    <w:rsid w:val="00DE6BAA"/>
    <w:rsid w:val="00DE7351"/>
    <w:rsid w:val="00DF00BD"/>
    <w:rsid w:val="00DF01C2"/>
    <w:rsid w:val="00DF0C4E"/>
    <w:rsid w:val="00DF1D05"/>
    <w:rsid w:val="00DF2151"/>
    <w:rsid w:val="00DF22D3"/>
    <w:rsid w:val="00DF2B56"/>
    <w:rsid w:val="00DF300B"/>
    <w:rsid w:val="00DF3023"/>
    <w:rsid w:val="00DF5EA3"/>
    <w:rsid w:val="00DF6078"/>
    <w:rsid w:val="00DF6300"/>
    <w:rsid w:val="00DF6F33"/>
    <w:rsid w:val="00E003CF"/>
    <w:rsid w:val="00E00B0B"/>
    <w:rsid w:val="00E040DC"/>
    <w:rsid w:val="00E041D9"/>
    <w:rsid w:val="00E04FAF"/>
    <w:rsid w:val="00E050CD"/>
    <w:rsid w:val="00E062DE"/>
    <w:rsid w:val="00E06F84"/>
    <w:rsid w:val="00E112D2"/>
    <w:rsid w:val="00E128DD"/>
    <w:rsid w:val="00E13F1A"/>
    <w:rsid w:val="00E157EA"/>
    <w:rsid w:val="00E173B4"/>
    <w:rsid w:val="00E178CF"/>
    <w:rsid w:val="00E17DA9"/>
    <w:rsid w:val="00E207EB"/>
    <w:rsid w:val="00E214A2"/>
    <w:rsid w:val="00E214C6"/>
    <w:rsid w:val="00E21D9C"/>
    <w:rsid w:val="00E22DAA"/>
    <w:rsid w:val="00E242E2"/>
    <w:rsid w:val="00E2435E"/>
    <w:rsid w:val="00E24955"/>
    <w:rsid w:val="00E25659"/>
    <w:rsid w:val="00E26546"/>
    <w:rsid w:val="00E269D2"/>
    <w:rsid w:val="00E27B8C"/>
    <w:rsid w:val="00E304BD"/>
    <w:rsid w:val="00E30B81"/>
    <w:rsid w:val="00E314F8"/>
    <w:rsid w:val="00E316DA"/>
    <w:rsid w:val="00E3212C"/>
    <w:rsid w:val="00E330DE"/>
    <w:rsid w:val="00E34A2F"/>
    <w:rsid w:val="00E34CA2"/>
    <w:rsid w:val="00E35739"/>
    <w:rsid w:val="00E35872"/>
    <w:rsid w:val="00E40143"/>
    <w:rsid w:val="00E40910"/>
    <w:rsid w:val="00E4114B"/>
    <w:rsid w:val="00E41D96"/>
    <w:rsid w:val="00E4250F"/>
    <w:rsid w:val="00E4284B"/>
    <w:rsid w:val="00E439F2"/>
    <w:rsid w:val="00E43C09"/>
    <w:rsid w:val="00E449B9"/>
    <w:rsid w:val="00E456A0"/>
    <w:rsid w:val="00E45A1C"/>
    <w:rsid w:val="00E4771A"/>
    <w:rsid w:val="00E50020"/>
    <w:rsid w:val="00E51113"/>
    <w:rsid w:val="00E51357"/>
    <w:rsid w:val="00E51427"/>
    <w:rsid w:val="00E51827"/>
    <w:rsid w:val="00E52223"/>
    <w:rsid w:val="00E53D3B"/>
    <w:rsid w:val="00E54628"/>
    <w:rsid w:val="00E547CD"/>
    <w:rsid w:val="00E555B7"/>
    <w:rsid w:val="00E555E2"/>
    <w:rsid w:val="00E5560C"/>
    <w:rsid w:val="00E56368"/>
    <w:rsid w:val="00E60068"/>
    <w:rsid w:val="00E6011C"/>
    <w:rsid w:val="00E61834"/>
    <w:rsid w:val="00E61AD0"/>
    <w:rsid w:val="00E634D7"/>
    <w:rsid w:val="00E647E3"/>
    <w:rsid w:val="00E647F8"/>
    <w:rsid w:val="00E6549E"/>
    <w:rsid w:val="00E65628"/>
    <w:rsid w:val="00E658AF"/>
    <w:rsid w:val="00E66230"/>
    <w:rsid w:val="00E66711"/>
    <w:rsid w:val="00E67187"/>
    <w:rsid w:val="00E70A91"/>
    <w:rsid w:val="00E72607"/>
    <w:rsid w:val="00E73C29"/>
    <w:rsid w:val="00E745DD"/>
    <w:rsid w:val="00E74995"/>
    <w:rsid w:val="00E74D87"/>
    <w:rsid w:val="00E76F7E"/>
    <w:rsid w:val="00E802E7"/>
    <w:rsid w:val="00E81687"/>
    <w:rsid w:val="00E81DAA"/>
    <w:rsid w:val="00E82655"/>
    <w:rsid w:val="00E8349A"/>
    <w:rsid w:val="00E834D5"/>
    <w:rsid w:val="00E85942"/>
    <w:rsid w:val="00E85EF8"/>
    <w:rsid w:val="00E8721F"/>
    <w:rsid w:val="00E878A2"/>
    <w:rsid w:val="00E87B2C"/>
    <w:rsid w:val="00E902CC"/>
    <w:rsid w:val="00E90587"/>
    <w:rsid w:val="00E905A1"/>
    <w:rsid w:val="00E9073B"/>
    <w:rsid w:val="00E90D7F"/>
    <w:rsid w:val="00E919C9"/>
    <w:rsid w:val="00E92125"/>
    <w:rsid w:val="00E92688"/>
    <w:rsid w:val="00E93284"/>
    <w:rsid w:val="00E939C6"/>
    <w:rsid w:val="00E94854"/>
    <w:rsid w:val="00E94857"/>
    <w:rsid w:val="00E95F2A"/>
    <w:rsid w:val="00E96154"/>
    <w:rsid w:val="00E96794"/>
    <w:rsid w:val="00E97DE6"/>
    <w:rsid w:val="00EA291F"/>
    <w:rsid w:val="00EA414E"/>
    <w:rsid w:val="00EA46E1"/>
    <w:rsid w:val="00EA4A1D"/>
    <w:rsid w:val="00EA4EC6"/>
    <w:rsid w:val="00EA4F37"/>
    <w:rsid w:val="00EA56F1"/>
    <w:rsid w:val="00EA594D"/>
    <w:rsid w:val="00EA59B1"/>
    <w:rsid w:val="00EA5D55"/>
    <w:rsid w:val="00EA655C"/>
    <w:rsid w:val="00EA7386"/>
    <w:rsid w:val="00EA7896"/>
    <w:rsid w:val="00EA7D2D"/>
    <w:rsid w:val="00EB0B3E"/>
    <w:rsid w:val="00EB15DA"/>
    <w:rsid w:val="00EB24F2"/>
    <w:rsid w:val="00EB27E9"/>
    <w:rsid w:val="00EB2DEE"/>
    <w:rsid w:val="00EB5922"/>
    <w:rsid w:val="00EB5C51"/>
    <w:rsid w:val="00EB65FD"/>
    <w:rsid w:val="00EB665F"/>
    <w:rsid w:val="00EB6796"/>
    <w:rsid w:val="00EB6E5F"/>
    <w:rsid w:val="00EC0CBF"/>
    <w:rsid w:val="00EC14DF"/>
    <w:rsid w:val="00EC21B0"/>
    <w:rsid w:val="00EC2456"/>
    <w:rsid w:val="00EC2923"/>
    <w:rsid w:val="00EC29F7"/>
    <w:rsid w:val="00EC4744"/>
    <w:rsid w:val="00EC66ED"/>
    <w:rsid w:val="00EC6A17"/>
    <w:rsid w:val="00EC6B62"/>
    <w:rsid w:val="00EC6E73"/>
    <w:rsid w:val="00EC74E4"/>
    <w:rsid w:val="00ED05D8"/>
    <w:rsid w:val="00ED0926"/>
    <w:rsid w:val="00ED10DD"/>
    <w:rsid w:val="00ED15FC"/>
    <w:rsid w:val="00ED25C3"/>
    <w:rsid w:val="00ED3931"/>
    <w:rsid w:val="00ED4265"/>
    <w:rsid w:val="00ED48FF"/>
    <w:rsid w:val="00ED4F1D"/>
    <w:rsid w:val="00ED50BF"/>
    <w:rsid w:val="00ED65E0"/>
    <w:rsid w:val="00ED6B8E"/>
    <w:rsid w:val="00ED6D95"/>
    <w:rsid w:val="00ED6F02"/>
    <w:rsid w:val="00ED72C1"/>
    <w:rsid w:val="00EE1C1D"/>
    <w:rsid w:val="00EE3DC2"/>
    <w:rsid w:val="00EE3E01"/>
    <w:rsid w:val="00EE4DCA"/>
    <w:rsid w:val="00EE5189"/>
    <w:rsid w:val="00EE545E"/>
    <w:rsid w:val="00EE59E7"/>
    <w:rsid w:val="00EE5CB3"/>
    <w:rsid w:val="00EE6D33"/>
    <w:rsid w:val="00EE7350"/>
    <w:rsid w:val="00EE766B"/>
    <w:rsid w:val="00EE77CD"/>
    <w:rsid w:val="00EE7C36"/>
    <w:rsid w:val="00EF02C4"/>
    <w:rsid w:val="00EF0E64"/>
    <w:rsid w:val="00EF193B"/>
    <w:rsid w:val="00EF1ECE"/>
    <w:rsid w:val="00EF201E"/>
    <w:rsid w:val="00EF610A"/>
    <w:rsid w:val="00EF68EE"/>
    <w:rsid w:val="00EF77AD"/>
    <w:rsid w:val="00F0112A"/>
    <w:rsid w:val="00F01400"/>
    <w:rsid w:val="00F0192F"/>
    <w:rsid w:val="00F027B2"/>
    <w:rsid w:val="00F0355B"/>
    <w:rsid w:val="00F04080"/>
    <w:rsid w:val="00F05AA4"/>
    <w:rsid w:val="00F05DE3"/>
    <w:rsid w:val="00F06512"/>
    <w:rsid w:val="00F07935"/>
    <w:rsid w:val="00F10108"/>
    <w:rsid w:val="00F14B47"/>
    <w:rsid w:val="00F154E9"/>
    <w:rsid w:val="00F165C5"/>
    <w:rsid w:val="00F175F1"/>
    <w:rsid w:val="00F17D24"/>
    <w:rsid w:val="00F21327"/>
    <w:rsid w:val="00F23814"/>
    <w:rsid w:val="00F23AC8"/>
    <w:rsid w:val="00F2598E"/>
    <w:rsid w:val="00F26372"/>
    <w:rsid w:val="00F26462"/>
    <w:rsid w:val="00F26E93"/>
    <w:rsid w:val="00F27298"/>
    <w:rsid w:val="00F27530"/>
    <w:rsid w:val="00F3061D"/>
    <w:rsid w:val="00F32065"/>
    <w:rsid w:val="00F35186"/>
    <w:rsid w:val="00F36F25"/>
    <w:rsid w:val="00F37217"/>
    <w:rsid w:val="00F3742E"/>
    <w:rsid w:val="00F40CD7"/>
    <w:rsid w:val="00F40D52"/>
    <w:rsid w:val="00F40D6D"/>
    <w:rsid w:val="00F41BB6"/>
    <w:rsid w:val="00F420A4"/>
    <w:rsid w:val="00F42173"/>
    <w:rsid w:val="00F43948"/>
    <w:rsid w:val="00F43B2E"/>
    <w:rsid w:val="00F44458"/>
    <w:rsid w:val="00F44BDA"/>
    <w:rsid w:val="00F45F98"/>
    <w:rsid w:val="00F46B51"/>
    <w:rsid w:val="00F46E5F"/>
    <w:rsid w:val="00F47E44"/>
    <w:rsid w:val="00F506C7"/>
    <w:rsid w:val="00F50BB2"/>
    <w:rsid w:val="00F50ECD"/>
    <w:rsid w:val="00F50EDB"/>
    <w:rsid w:val="00F51399"/>
    <w:rsid w:val="00F52E21"/>
    <w:rsid w:val="00F537A6"/>
    <w:rsid w:val="00F53846"/>
    <w:rsid w:val="00F544E4"/>
    <w:rsid w:val="00F548BB"/>
    <w:rsid w:val="00F54FCD"/>
    <w:rsid w:val="00F559EF"/>
    <w:rsid w:val="00F561B7"/>
    <w:rsid w:val="00F565E1"/>
    <w:rsid w:val="00F56AE7"/>
    <w:rsid w:val="00F577FF"/>
    <w:rsid w:val="00F60726"/>
    <w:rsid w:val="00F60A3C"/>
    <w:rsid w:val="00F60C61"/>
    <w:rsid w:val="00F6237C"/>
    <w:rsid w:val="00F62D4C"/>
    <w:rsid w:val="00F62E24"/>
    <w:rsid w:val="00F63D92"/>
    <w:rsid w:val="00F652DB"/>
    <w:rsid w:val="00F65A0C"/>
    <w:rsid w:val="00F6622B"/>
    <w:rsid w:val="00F66E4D"/>
    <w:rsid w:val="00F7114A"/>
    <w:rsid w:val="00F7116F"/>
    <w:rsid w:val="00F7120A"/>
    <w:rsid w:val="00F71ABF"/>
    <w:rsid w:val="00F71B38"/>
    <w:rsid w:val="00F722B4"/>
    <w:rsid w:val="00F72364"/>
    <w:rsid w:val="00F734AA"/>
    <w:rsid w:val="00F73897"/>
    <w:rsid w:val="00F7391E"/>
    <w:rsid w:val="00F73C63"/>
    <w:rsid w:val="00F749CF"/>
    <w:rsid w:val="00F75541"/>
    <w:rsid w:val="00F75E56"/>
    <w:rsid w:val="00F772CE"/>
    <w:rsid w:val="00F772D4"/>
    <w:rsid w:val="00F80D22"/>
    <w:rsid w:val="00F81771"/>
    <w:rsid w:val="00F81E67"/>
    <w:rsid w:val="00F82959"/>
    <w:rsid w:val="00F8331E"/>
    <w:rsid w:val="00F839CD"/>
    <w:rsid w:val="00F83CCF"/>
    <w:rsid w:val="00F83D62"/>
    <w:rsid w:val="00F83E5C"/>
    <w:rsid w:val="00F84289"/>
    <w:rsid w:val="00F8449A"/>
    <w:rsid w:val="00F84581"/>
    <w:rsid w:val="00F85552"/>
    <w:rsid w:val="00F856F0"/>
    <w:rsid w:val="00F85E69"/>
    <w:rsid w:val="00F86BE9"/>
    <w:rsid w:val="00F8728D"/>
    <w:rsid w:val="00F87CF3"/>
    <w:rsid w:val="00F917BF"/>
    <w:rsid w:val="00F91B79"/>
    <w:rsid w:val="00F92FF8"/>
    <w:rsid w:val="00F93242"/>
    <w:rsid w:val="00F93728"/>
    <w:rsid w:val="00F93D21"/>
    <w:rsid w:val="00F95783"/>
    <w:rsid w:val="00F96C58"/>
    <w:rsid w:val="00F96DFD"/>
    <w:rsid w:val="00F97AC4"/>
    <w:rsid w:val="00F97EC8"/>
    <w:rsid w:val="00FA2BAB"/>
    <w:rsid w:val="00FA32B7"/>
    <w:rsid w:val="00FA3F05"/>
    <w:rsid w:val="00FA40A1"/>
    <w:rsid w:val="00FA5348"/>
    <w:rsid w:val="00FA7038"/>
    <w:rsid w:val="00FA7BC4"/>
    <w:rsid w:val="00FB0D2E"/>
    <w:rsid w:val="00FB1206"/>
    <w:rsid w:val="00FB150C"/>
    <w:rsid w:val="00FB1AF0"/>
    <w:rsid w:val="00FB2168"/>
    <w:rsid w:val="00FB2399"/>
    <w:rsid w:val="00FB281B"/>
    <w:rsid w:val="00FB39FE"/>
    <w:rsid w:val="00FB3B79"/>
    <w:rsid w:val="00FB541A"/>
    <w:rsid w:val="00FB58A2"/>
    <w:rsid w:val="00FB685E"/>
    <w:rsid w:val="00FB6AD2"/>
    <w:rsid w:val="00FB75E4"/>
    <w:rsid w:val="00FB7616"/>
    <w:rsid w:val="00FB79C0"/>
    <w:rsid w:val="00FC1388"/>
    <w:rsid w:val="00FC212F"/>
    <w:rsid w:val="00FC28CC"/>
    <w:rsid w:val="00FC28CD"/>
    <w:rsid w:val="00FC2900"/>
    <w:rsid w:val="00FC2E48"/>
    <w:rsid w:val="00FC30BF"/>
    <w:rsid w:val="00FC3144"/>
    <w:rsid w:val="00FC3EE0"/>
    <w:rsid w:val="00FC4003"/>
    <w:rsid w:val="00FC4006"/>
    <w:rsid w:val="00FC4F13"/>
    <w:rsid w:val="00FC57BC"/>
    <w:rsid w:val="00FC5A03"/>
    <w:rsid w:val="00FC6B73"/>
    <w:rsid w:val="00FD0DF1"/>
    <w:rsid w:val="00FD3434"/>
    <w:rsid w:val="00FD346C"/>
    <w:rsid w:val="00FD3B47"/>
    <w:rsid w:val="00FD3FF5"/>
    <w:rsid w:val="00FD50AD"/>
    <w:rsid w:val="00FD57B4"/>
    <w:rsid w:val="00FD5A2F"/>
    <w:rsid w:val="00FD65F5"/>
    <w:rsid w:val="00FE0482"/>
    <w:rsid w:val="00FE0998"/>
    <w:rsid w:val="00FE0E4B"/>
    <w:rsid w:val="00FE1325"/>
    <w:rsid w:val="00FE1986"/>
    <w:rsid w:val="00FE20A0"/>
    <w:rsid w:val="00FE25A3"/>
    <w:rsid w:val="00FE278F"/>
    <w:rsid w:val="00FE2879"/>
    <w:rsid w:val="00FE2A9A"/>
    <w:rsid w:val="00FE378D"/>
    <w:rsid w:val="00FE37FA"/>
    <w:rsid w:val="00FE3F90"/>
    <w:rsid w:val="00FE5503"/>
    <w:rsid w:val="00FE68EE"/>
    <w:rsid w:val="00FE77E7"/>
    <w:rsid w:val="00FF079F"/>
    <w:rsid w:val="00FF1039"/>
    <w:rsid w:val="00FF17BE"/>
    <w:rsid w:val="00FF1B7C"/>
    <w:rsid w:val="00FF1DF3"/>
    <w:rsid w:val="00FF2437"/>
    <w:rsid w:val="00FF2BC6"/>
    <w:rsid w:val="00FF37BE"/>
    <w:rsid w:val="00FF466B"/>
    <w:rsid w:val="00FF5425"/>
    <w:rsid w:val="00FF5D96"/>
    <w:rsid w:val="00FF66AB"/>
    <w:rsid w:val="00FF6E73"/>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3EF4A"/>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 w:type="character" w:styleId="Refdenotaderodap">
    <w:name w:val="footnote reference"/>
    <w:basedOn w:val="Fontepargpadro"/>
    <w:uiPriority w:val="99"/>
    <w:semiHidden/>
    <w:unhideWhenUsed/>
    <w:rsid w:val="003B6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F49F8-F1F4-469B-A1AE-99A2414A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11</Pages>
  <Words>4694</Words>
  <Characters>25237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29872</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Gastao Giometti</cp:lastModifiedBy>
  <cp:revision>78</cp:revision>
  <cp:lastPrinted>2015-01-09T11:18:00Z</cp:lastPrinted>
  <dcterms:created xsi:type="dcterms:W3CDTF">2019-10-04T18:01:00Z</dcterms:created>
  <dcterms:modified xsi:type="dcterms:W3CDTF">2019-11-07T14:34:00Z</dcterms:modified>
</cp:coreProperties>
</file>