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02" w:rsidRPr="00826906" w:rsidRDefault="00C87B02">
      <w:pPr>
        <w:pStyle w:val="Cabealho"/>
        <w:tabs>
          <w:tab w:val="clear" w:pos="4419"/>
          <w:tab w:val="clear" w:pos="8838"/>
        </w:tabs>
        <w:rPr>
          <w:rFonts w:ascii="Arial" w:hAnsi="Arial" w:cs="Arial"/>
          <w:b/>
        </w:rPr>
      </w:pPr>
      <w:r w:rsidRPr="00826906">
        <w:rPr>
          <w:rFonts w:ascii="Arial" w:hAnsi="Arial" w:cs="Arial"/>
          <w:b/>
        </w:rPr>
        <w:t>MINISTÉRIO DA AGRICULTURA, PECUÁRIA E ABASTECIMENTO</w:t>
      </w:r>
    </w:p>
    <w:p w:rsidR="00C87B02" w:rsidRPr="00826906" w:rsidRDefault="00C87B02">
      <w:pPr>
        <w:pStyle w:val="Cabealho"/>
        <w:tabs>
          <w:tab w:val="clear" w:pos="4419"/>
          <w:tab w:val="clear" w:pos="8838"/>
        </w:tabs>
        <w:rPr>
          <w:rFonts w:ascii="Arial" w:hAnsi="Arial" w:cs="Arial"/>
          <w:b/>
        </w:rPr>
      </w:pPr>
      <w:r w:rsidRPr="00826906">
        <w:rPr>
          <w:rFonts w:ascii="Arial" w:hAnsi="Arial" w:cs="Arial"/>
          <w:b/>
        </w:rPr>
        <w:t>Secretaria de</w:t>
      </w:r>
      <w:r w:rsidR="00902F2D">
        <w:rPr>
          <w:rFonts w:ascii="Arial" w:hAnsi="Arial" w:cs="Arial"/>
          <w:b/>
        </w:rPr>
        <w:t xml:space="preserve"> Comércio</w:t>
      </w:r>
      <w:r w:rsidRPr="00826906">
        <w:rPr>
          <w:rFonts w:ascii="Arial" w:hAnsi="Arial" w:cs="Arial"/>
          <w:b/>
        </w:rPr>
        <w:t xml:space="preserve"> </w:t>
      </w:r>
      <w:r w:rsidR="00902F2D">
        <w:rPr>
          <w:rFonts w:ascii="Arial" w:hAnsi="Arial" w:cs="Arial"/>
          <w:b/>
        </w:rPr>
        <w:t xml:space="preserve">e </w:t>
      </w:r>
      <w:r w:rsidRPr="00826906">
        <w:rPr>
          <w:rFonts w:ascii="Arial" w:hAnsi="Arial" w:cs="Arial"/>
          <w:b/>
        </w:rPr>
        <w:t xml:space="preserve">Relações Internacionais </w:t>
      </w:r>
    </w:p>
    <w:p w:rsidR="00C87B02" w:rsidRPr="00826906" w:rsidRDefault="00C87B02">
      <w:pPr>
        <w:pStyle w:val="Ttulo1"/>
        <w:rPr>
          <w:rFonts w:ascii="Arial" w:hAnsi="Arial" w:cs="Arial"/>
          <w:sz w:val="20"/>
          <w:szCs w:val="20"/>
        </w:rPr>
      </w:pPr>
    </w:p>
    <w:p w:rsidR="00C87B02" w:rsidRPr="00826906" w:rsidRDefault="00C87B02">
      <w:pPr>
        <w:pStyle w:val="Ttulo1"/>
        <w:rPr>
          <w:rFonts w:ascii="Arial" w:hAnsi="Arial" w:cs="Arial"/>
          <w:sz w:val="20"/>
          <w:szCs w:val="20"/>
        </w:rPr>
      </w:pPr>
      <w:r w:rsidRPr="00826906">
        <w:rPr>
          <w:rFonts w:ascii="Arial" w:hAnsi="Arial" w:cs="Arial"/>
          <w:sz w:val="20"/>
          <w:szCs w:val="20"/>
        </w:rPr>
        <w:t xml:space="preserve">Balança Comercial do Agronegócio – </w:t>
      </w:r>
      <w:r w:rsidR="00902F2D">
        <w:rPr>
          <w:rFonts w:ascii="Arial" w:hAnsi="Arial" w:cs="Arial"/>
          <w:sz w:val="20"/>
          <w:szCs w:val="20"/>
        </w:rPr>
        <w:t>Janeiro/2019</w:t>
      </w:r>
    </w:p>
    <w:p w:rsidR="008035E6" w:rsidRPr="00826906" w:rsidRDefault="008035E6" w:rsidP="008035E6">
      <w:pPr>
        <w:rPr>
          <w:rFonts w:ascii="Arial" w:hAnsi="Arial" w:cs="Arial"/>
        </w:rPr>
      </w:pPr>
    </w:p>
    <w:p w:rsidR="008035E6" w:rsidRPr="00826906" w:rsidRDefault="00902F2D" w:rsidP="008035E6">
      <w:pPr>
        <w:rPr>
          <w:rFonts w:ascii="Arial" w:hAnsi="Arial" w:cs="Arial"/>
        </w:rPr>
      </w:pPr>
      <w:r w:rsidRPr="00902F2D">
        <w:rPr>
          <w:noProof/>
        </w:rPr>
        <w:drawing>
          <wp:inline distT="0" distB="0" distL="0" distR="0" wp14:anchorId="133FE1A1" wp14:editId="2AF9E4DB">
            <wp:extent cx="6480175" cy="30518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175" cy="3051810"/>
                    </a:xfrm>
                    <a:prstGeom prst="rect">
                      <a:avLst/>
                    </a:prstGeom>
                  </pic:spPr>
                </pic:pic>
              </a:graphicData>
            </a:graphic>
          </wp:inline>
        </w:drawing>
      </w:r>
    </w:p>
    <w:p w:rsidR="00C87B02" w:rsidRPr="00826906" w:rsidRDefault="00C87B02">
      <w:pPr>
        <w:pStyle w:val="Ttulo5"/>
        <w:autoSpaceDE/>
        <w:autoSpaceDN/>
        <w:adjustRightInd/>
        <w:rPr>
          <w:rFonts w:ascii="Arial" w:hAnsi="Arial" w:cs="Arial"/>
          <w:sz w:val="20"/>
          <w:szCs w:val="20"/>
        </w:rPr>
      </w:pPr>
    </w:p>
    <w:p w:rsidR="00E04FAF" w:rsidRPr="00826906" w:rsidRDefault="00E04FAF">
      <w:pPr>
        <w:pStyle w:val="Ttulo5"/>
        <w:autoSpaceDE/>
        <w:autoSpaceDN/>
        <w:adjustRightInd/>
        <w:rPr>
          <w:rFonts w:ascii="Arial" w:hAnsi="Arial" w:cs="Arial"/>
          <w:sz w:val="20"/>
          <w:szCs w:val="20"/>
        </w:rPr>
      </w:pPr>
    </w:p>
    <w:p w:rsidR="00C87B02" w:rsidRPr="00826906" w:rsidRDefault="00C87B02">
      <w:pPr>
        <w:pStyle w:val="Ttulo5"/>
        <w:autoSpaceDE/>
        <w:autoSpaceDN/>
        <w:adjustRightInd/>
        <w:rPr>
          <w:rFonts w:ascii="Arial" w:hAnsi="Arial" w:cs="Arial"/>
          <w:sz w:val="20"/>
          <w:szCs w:val="20"/>
        </w:rPr>
      </w:pPr>
      <w:r w:rsidRPr="00826906">
        <w:rPr>
          <w:rFonts w:ascii="Arial" w:hAnsi="Arial" w:cs="Arial"/>
          <w:sz w:val="20"/>
          <w:szCs w:val="20"/>
        </w:rPr>
        <w:t xml:space="preserve">I </w:t>
      </w:r>
      <w:r w:rsidR="001D51EE" w:rsidRPr="00826906">
        <w:rPr>
          <w:rFonts w:ascii="Arial" w:hAnsi="Arial" w:cs="Arial"/>
          <w:sz w:val="20"/>
          <w:szCs w:val="20"/>
        </w:rPr>
        <w:t>–</w:t>
      </w:r>
      <w:r w:rsidRPr="00826906">
        <w:rPr>
          <w:rFonts w:ascii="Arial" w:hAnsi="Arial" w:cs="Arial"/>
          <w:sz w:val="20"/>
          <w:szCs w:val="20"/>
        </w:rPr>
        <w:t xml:space="preserve"> Resultados do mês</w:t>
      </w:r>
      <w:r w:rsidR="004215B4" w:rsidRPr="00826906">
        <w:rPr>
          <w:rFonts w:ascii="Arial" w:hAnsi="Arial" w:cs="Arial"/>
          <w:sz w:val="20"/>
          <w:szCs w:val="20"/>
        </w:rPr>
        <w:t xml:space="preserve"> (comparativo </w:t>
      </w:r>
      <w:r w:rsidR="00893DCA">
        <w:rPr>
          <w:rFonts w:ascii="Arial" w:hAnsi="Arial" w:cs="Arial"/>
          <w:sz w:val="20"/>
          <w:szCs w:val="20"/>
        </w:rPr>
        <w:t>Janeiro/2019</w:t>
      </w:r>
      <w:r w:rsidR="00D50BB5" w:rsidRPr="00826906">
        <w:rPr>
          <w:rFonts w:ascii="Arial" w:hAnsi="Arial" w:cs="Arial"/>
          <w:sz w:val="20"/>
          <w:szCs w:val="20"/>
        </w:rPr>
        <w:t xml:space="preserve"> – </w:t>
      </w:r>
      <w:r w:rsidR="00893DCA">
        <w:rPr>
          <w:rFonts w:ascii="Arial" w:hAnsi="Arial" w:cs="Arial"/>
          <w:sz w:val="20"/>
          <w:szCs w:val="20"/>
        </w:rPr>
        <w:t>Janeiro/2018</w:t>
      </w:r>
      <w:r w:rsidR="001D51EE" w:rsidRPr="00826906">
        <w:rPr>
          <w:rFonts w:ascii="Arial" w:hAnsi="Arial" w:cs="Arial"/>
          <w:sz w:val="20"/>
          <w:szCs w:val="20"/>
        </w:rPr>
        <w:t>)</w:t>
      </w:r>
    </w:p>
    <w:p w:rsidR="00A16A28" w:rsidRDefault="00A16A28" w:rsidP="00BA03E2">
      <w:pPr>
        <w:pStyle w:val="Recuodecorpodetexto"/>
        <w:rPr>
          <w:rFonts w:ascii="Arial" w:hAnsi="Arial" w:cs="Arial"/>
          <w:color w:val="000000" w:themeColor="text1"/>
          <w:sz w:val="20"/>
          <w:szCs w:val="20"/>
        </w:rPr>
      </w:pPr>
    </w:p>
    <w:p w:rsidR="00F13231" w:rsidRPr="00F13231" w:rsidRDefault="00F13231" w:rsidP="00F13231">
      <w:pPr>
        <w:jc w:val="both"/>
        <w:rPr>
          <w:sz w:val="22"/>
          <w:szCs w:val="22"/>
        </w:rPr>
      </w:pPr>
      <w:r w:rsidRPr="00F13231">
        <w:rPr>
          <w:sz w:val="22"/>
          <w:szCs w:val="22"/>
        </w:rPr>
        <w:t>As exportações brasileiras do agronegócio foram de US$ 6,63 bilhões em janeiro de 2019, o que correspondeu a um incremento de 7,4% em relação aos US$ 6,17 bilhões exportados em janeiro de 2018. O aumento das vendas externas ocorreu em função da elevação do índice de quantum das exportações, que subiu 8,9%. Por sua vez, o índice de preço das exportações brasileiras do agronegócio caiu 1,3%, reduzindo o impacto positivo da elevação da quantidade exportada.</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As exportações do agronegócio perderam participação relativa no mês de janeiro de 2019, diminuindo a participação de 36,2% em janeiro de 2018 para 35,7% em janeiro de 2019. A queda de 0,5 ponto percentual ocorreu em função do maior crescimento das exportações dos demais setores, que expandiram as vendas externas em 10,1% em comparação aos 7,4% de incremento nas exportações do agronegócio.</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 xml:space="preserve">As importações de produtos do agronegócio tiveram pequeno crescimento de 0,5%, subindo de US$ 1,236 bilhão em janeiro de 2018 para US$ 1,242 bilhão em janeiro de 2019. O índice de quantum das importações subiu 1,0% enquanto o índice de preço caiu 0,5%, resultando nessa expansão de 0,5% nas importações. </w:t>
      </w:r>
    </w:p>
    <w:p w:rsidR="00F13231" w:rsidRDefault="00F13231" w:rsidP="00BA03E2">
      <w:pPr>
        <w:pStyle w:val="Recuodecorpodetexto"/>
        <w:rPr>
          <w:rFonts w:ascii="Arial" w:hAnsi="Arial" w:cs="Arial"/>
          <w:color w:val="000000" w:themeColor="text1"/>
          <w:sz w:val="20"/>
          <w:szCs w:val="20"/>
        </w:rPr>
      </w:pPr>
    </w:p>
    <w:p w:rsidR="001A1062" w:rsidRPr="00826906" w:rsidRDefault="001A1062" w:rsidP="00437C17">
      <w:pPr>
        <w:pStyle w:val="Recuodecorpodetexto"/>
        <w:ind w:firstLine="0"/>
        <w:rPr>
          <w:rFonts w:ascii="Arial" w:hAnsi="Arial" w:cs="Arial"/>
          <w:color w:val="000000" w:themeColor="text1"/>
          <w:sz w:val="20"/>
          <w:szCs w:val="20"/>
        </w:rPr>
      </w:pPr>
    </w:p>
    <w:p w:rsidR="005F69F8" w:rsidRPr="00826906" w:rsidRDefault="005F69F8" w:rsidP="005F69F8">
      <w:pPr>
        <w:pStyle w:val="Ttulo5"/>
        <w:autoSpaceDE/>
        <w:autoSpaceDN/>
        <w:adjustRightInd/>
        <w:rPr>
          <w:rFonts w:ascii="Arial" w:hAnsi="Arial" w:cs="Arial"/>
          <w:sz w:val="20"/>
          <w:szCs w:val="20"/>
        </w:rPr>
      </w:pPr>
      <w:proofErr w:type="spellStart"/>
      <w:r w:rsidRPr="00826906">
        <w:rPr>
          <w:rFonts w:ascii="Arial" w:hAnsi="Arial" w:cs="Arial"/>
          <w:sz w:val="20"/>
          <w:szCs w:val="20"/>
        </w:rPr>
        <w:t>I.a</w:t>
      </w:r>
      <w:proofErr w:type="spellEnd"/>
      <w:r w:rsidRPr="00826906">
        <w:rPr>
          <w:rFonts w:ascii="Arial" w:hAnsi="Arial" w:cs="Arial"/>
          <w:sz w:val="20"/>
          <w:szCs w:val="20"/>
        </w:rPr>
        <w:t xml:space="preserve"> – Setores do Agronegócio</w:t>
      </w:r>
    </w:p>
    <w:p w:rsidR="008F18DE" w:rsidRDefault="008F18DE" w:rsidP="008F18DE">
      <w:pPr>
        <w:pStyle w:val="Recuodecorpodetexto"/>
        <w:rPr>
          <w:rFonts w:ascii="Arial" w:hAnsi="Arial" w:cs="Arial"/>
          <w:color w:val="000000" w:themeColor="text1"/>
          <w:sz w:val="20"/>
          <w:szCs w:val="20"/>
        </w:rPr>
      </w:pPr>
    </w:p>
    <w:p w:rsidR="00F13231" w:rsidRPr="00F13231" w:rsidRDefault="00F13231" w:rsidP="00F13231">
      <w:pPr>
        <w:jc w:val="both"/>
        <w:rPr>
          <w:sz w:val="22"/>
          <w:szCs w:val="22"/>
        </w:rPr>
      </w:pPr>
      <w:r w:rsidRPr="00F13231">
        <w:rPr>
          <w:sz w:val="22"/>
          <w:szCs w:val="22"/>
        </w:rPr>
        <w:t>Os cinco principais setores exportadores do agronegócio em janeiro de 2019 foram: produtos florestais (participação de 21,9%); complexo soja (participação de 20,1%); carnes (participação de 15,5%); cereais, farinhas e preparações (participação de 13,0%) e café (participação de 6,8%). Estes setores foram responsáveis por 77,3% do valor total exportado em produtos de agronegócio em janeiro de 2019. Em janeiro de 2018, os mesmos cinco setores foram responsáveis por 70,8% do valor total exportado. Ou seja, houve uma concentração da pauta exportadora do agronegócio na comparação entre os períodos.</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 xml:space="preserve">As exportações de produtos florestais foram de US$ 1,45 bilhão, recorde para os meses de janeiro. Com esse valor recorde, o setor assumiu pela primeira vez a posição de principal setor exportador do agronegócio. A exportações de celulose, principal produto exportado pelo setor, subiram de US$ 714,56 milhões em janeiro de 2018 para US$ 1,02 bilhão em janeiro de 2019 (+42,5%). Trata-se da primeira vez em que o Brasil exporta mais de um bilhão de dólares em celulose para os meses de janeiro. A quantidade exportada subiu 25,4% entre janeiro de 2018 e janeiro de 2019, atingindo a quantidade recorde de 1,73 milhão de toneladas exportadas, enquanto o preço médio de exportação do </w:t>
      </w:r>
      <w:r w:rsidRPr="00F13231">
        <w:rPr>
          <w:sz w:val="22"/>
          <w:szCs w:val="22"/>
        </w:rPr>
        <w:lastRenderedPageBreak/>
        <w:t xml:space="preserve">produto subiu 13,6% no período. Ainda no setor, as exportações de madeira e suas obras foram de US$ 255,19 milhões (-5,0%) enquanto as exportações de papel subiram 6,8%, chegando a US$ 177,43 milhões. </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As exportações do complexo soja subiram de US$ 1,03 bilhão em janeiro de 2018 para US$ 1,33 bilhão em janeiro de 2019 (+28,9%), recorde para os meses de janeiro.  As exportações de soja em grão também foram recorde para o mês de janeiro, tanto em quantidade quanto em valor exportado. As vendas externas do grão subiram de US$ 594,26 milhões em janeiro de 2018 para US$ 814,92 milhões em janeiro de 2019 (+37,1%), enquanto o volume embarcado subiu de 1,56 milhão de toneladas em janeiro de 2018 para 2,15 milhões de toneladas em janeiro de 2019.  Outros dois produtos exportados no setor foram: farelo de soja (US$ 481,68 milhões; +21,8%) e óleo de soja (US$ 33,09 milhões; -21,6%).</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As vendas externas de carnes tiveram retração em janeiro, diminuindo de US$ 1,19 bilhão para US$ 1,03 bilhão (-13,1%). A redução da quantidade exportada explica a queda das exportações do setor, embora o preço médio de exportação das carnes também tenha diminuído (-1,9%). A principal carne exportada em janeiro foi a carne bovina, com vendas externas de US$ 457,12 milhões (-11,8%). Na carne bovina, a queda dos preços de exportação em 11,2% explica em grande parte a redução do valor exportado. Na carne de frango, houve queda de 15,2% na quantidade exportada, fator que explica o recuo de 13,2% no valor das exportações do produto, que foi para US$ 445,44 milhões. Houve queda na quantidade exportada de carne de frango para os principais parceiros comerciais: Arábia Saudita (-28,3%); China (-2,8%); Japão (-24,1%); Emirados Árabes Unidos (-10,8%); Hong Kong (-47,4%). Ainda no setor, as exportações de carne suína foram de US$ 90,65 milhões (-17,9%) e de carne de peru US$ 7,41 milhões (-33,5%).</w:t>
      </w:r>
    </w:p>
    <w:p w:rsidR="00F13231" w:rsidRPr="00F13231" w:rsidRDefault="00F13231" w:rsidP="00F13231">
      <w:pPr>
        <w:jc w:val="both"/>
        <w:rPr>
          <w:sz w:val="22"/>
          <w:szCs w:val="22"/>
        </w:rPr>
      </w:pPr>
    </w:p>
    <w:p w:rsidR="00F13231" w:rsidRDefault="00F13231" w:rsidP="00F13231">
      <w:pPr>
        <w:jc w:val="both"/>
        <w:rPr>
          <w:sz w:val="22"/>
          <w:szCs w:val="22"/>
        </w:rPr>
      </w:pPr>
      <w:r w:rsidRPr="00F13231">
        <w:rPr>
          <w:sz w:val="22"/>
          <w:szCs w:val="22"/>
        </w:rPr>
        <w:t>As exportações de cereais, farinhas e preparações ficaram na quarta posição dentre os principais setores exportadores do agronegócio. O setor exportou US$ 864,61 milhões em janeiro de 2019, o que representou uma expansão de 58,5% em relação aos US$ 545,33 milhões exportados pelo setor em janeiro de 2018. O milho foi o principal cereal exportado, com US$ 734,08 milhões em exportações (+56,6%). A quantidade exportada de milho suplantou novamente 4 milhões de toneladas, volume só obtido em janeiro de 2016.</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 xml:space="preserve"> O quinto principal setor exportador em janeiro de 2019 foi o setor cafeeiro. As vendas externas de café foram de US$ 448,00 milhões (-1,0%), cifra superior à venda externa do complexo sucroalcooleiro (US$ 364,61 milhões; -42,5%), que em janeiro de 2018 ocupou a quinta posição dentre os principais setores exportadores do agronegócio com exportações de US$ 634,24 milhões. </w:t>
      </w:r>
    </w:p>
    <w:p w:rsidR="00F13231" w:rsidRPr="00F13231" w:rsidRDefault="00F13231" w:rsidP="00F13231">
      <w:pPr>
        <w:jc w:val="both"/>
        <w:rPr>
          <w:sz w:val="22"/>
          <w:szCs w:val="22"/>
        </w:rPr>
      </w:pPr>
    </w:p>
    <w:p w:rsidR="00F13231" w:rsidRDefault="00F13231" w:rsidP="00F13231">
      <w:pPr>
        <w:jc w:val="both"/>
        <w:rPr>
          <w:sz w:val="22"/>
          <w:szCs w:val="22"/>
        </w:rPr>
      </w:pPr>
      <w:r w:rsidRPr="00F13231">
        <w:rPr>
          <w:sz w:val="22"/>
          <w:szCs w:val="22"/>
        </w:rPr>
        <w:t xml:space="preserve">As exportações de café verde foram de US$ 408,42 milhões em janeiro de 2019 (-2,2%). O volume embarcado foi recorde para os meses de janeiro, com 182 mil toneladas (+15,9%). Todavia, o preço médio de exportação teve um recuo de US$ 2.660 por tonelada em janeiro de 2018 para US$ 2.244 em janeiro de 2019 (-15,6%). Além do café verde, o Brasil exportou US$ 35,65 milhões em café solúvel (+30,6%). </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 xml:space="preserve">Os vinte demais setores que compõem o agrupamento do agronegócio perderam participação em janeiro de 2019. Esses setores passaram de uma participação de 29,2% em janeiro de 2018 para 22,7% em janeiro de 2019, o que significou uma redução de 6,5 pontos percentuais. As exportações desses vinte setores caíram de US$ 1,80 bilhão em janeiro de 2018 para US$ 1,50 bilhão em janeiro de 2019 (-16,7%). </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As importações de produtos agropecuários foram de US$ 1,24 bilhão (+0,5%), conforme já mencionado no início do texto. Os principais produtos importados com cifras acima de US$ 30 milhões foram: trigo (US$ 140,49 milhões; +13,0%); papel (US$ 78,00 milhões; -3,6%); álcool etílico (US$ 65,61 milhões; -10,3%); vestuário e outros produtos têxteis (US$ 53,60 milhões; +7,0%); malte (US$ 51,14 milhões; +106,3%); salmões, frescos ou refrigerados (US$ 48,10 milhões; +4,1%); azeite de oliva (US$ 32,75 milhões; -12,2%); filés de peixe, congelados (US$ 31,37 milhões; +13,2%); e borracha natural (US$ 30,43 milhões; +2,1%). Esses produtos representavam 40% do valor importado pelo Brasil em produtos agropecuários em 2018, porcentagem que subiu para 42,8% em janeiro de 2019.</w:t>
      </w:r>
    </w:p>
    <w:p w:rsidR="0049174C" w:rsidRDefault="0049174C" w:rsidP="00437C17">
      <w:pPr>
        <w:pStyle w:val="Recuodecorpodetexto"/>
        <w:ind w:firstLine="0"/>
        <w:rPr>
          <w:rFonts w:ascii="Arial" w:hAnsi="Arial" w:cs="Arial"/>
          <w:sz w:val="20"/>
          <w:szCs w:val="20"/>
        </w:rPr>
      </w:pPr>
    </w:p>
    <w:p w:rsidR="0049174C" w:rsidRPr="00437C17" w:rsidRDefault="00902F2D" w:rsidP="00437C17">
      <w:pPr>
        <w:pStyle w:val="Recuodecorpodetexto"/>
        <w:ind w:firstLine="0"/>
        <w:rPr>
          <w:rFonts w:ascii="Arial" w:hAnsi="Arial" w:cs="Arial"/>
          <w:sz w:val="20"/>
          <w:szCs w:val="20"/>
        </w:rPr>
      </w:pPr>
      <w:r w:rsidRPr="00902F2D">
        <w:rPr>
          <w:noProof/>
        </w:rPr>
        <w:lastRenderedPageBreak/>
        <w:drawing>
          <wp:inline distT="0" distB="0" distL="0" distR="0" wp14:anchorId="424C0F8F" wp14:editId="709F83A3">
            <wp:extent cx="6480175" cy="385508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175" cy="3855085"/>
                    </a:xfrm>
                    <a:prstGeom prst="rect">
                      <a:avLst/>
                    </a:prstGeom>
                  </pic:spPr>
                </pic:pic>
              </a:graphicData>
            </a:graphic>
          </wp:inline>
        </w:drawing>
      </w:r>
    </w:p>
    <w:p w:rsidR="00AB3924" w:rsidRPr="00826906" w:rsidRDefault="00AB3924">
      <w:pPr>
        <w:rPr>
          <w:rFonts w:ascii="Arial" w:hAnsi="Arial" w:cs="Arial"/>
          <w:b/>
          <w:sz w:val="20"/>
          <w:szCs w:val="20"/>
        </w:rPr>
      </w:pPr>
    </w:p>
    <w:p w:rsidR="001D51EE" w:rsidRPr="00826906" w:rsidRDefault="006D7B33" w:rsidP="00E207EB">
      <w:pPr>
        <w:jc w:val="both"/>
        <w:rPr>
          <w:rFonts w:ascii="Arial" w:hAnsi="Arial" w:cs="Arial"/>
          <w:b/>
          <w:sz w:val="20"/>
          <w:szCs w:val="20"/>
        </w:rPr>
      </w:pPr>
      <w:proofErr w:type="spellStart"/>
      <w:r w:rsidRPr="00826906">
        <w:rPr>
          <w:rFonts w:ascii="Arial" w:hAnsi="Arial" w:cs="Arial"/>
          <w:b/>
          <w:sz w:val="20"/>
          <w:szCs w:val="20"/>
        </w:rPr>
        <w:t>I.b</w:t>
      </w:r>
      <w:proofErr w:type="spellEnd"/>
      <w:r w:rsidRPr="00826906">
        <w:rPr>
          <w:rFonts w:ascii="Arial" w:hAnsi="Arial" w:cs="Arial"/>
          <w:b/>
          <w:sz w:val="20"/>
          <w:szCs w:val="20"/>
        </w:rPr>
        <w:t xml:space="preserve"> – Blocos Econômicos e Regiões Geográficas</w:t>
      </w:r>
    </w:p>
    <w:p w:rsidR="006D7B33" w:rsidRDefault="006D7B33" w:rsidP="006D7B33">
      <w:pPr>
        <w:rPr>
          <w:rFonts w:ascii="Arial" w:hAnsi="Arial" w:cs="Arial"/>
        </w:rPr>
      </w:pPr>
    </w:p>
    <w:p w:rsidR="00F13231" w:rsidRPr="00F13231" w:rsidRDefault="00F13231" w:rsidP="00F13231">
      <w:pPr>
        <w:jc w:val="both"/>
        <w:rPr>
          <w:sz w:val="22"/>
          <w:szCs w:val="22"/>
        </w:rPr>
      </w:pPr>
      <w:r w:rsidRPr="00F13231">
        <w:rPr>
          <w:sz w:val="22"/>
          <w:szCs w:val="22"/>
        </w:rPr>
        <w:t>As exportações brasileiras do agronegócio subiram em quatro blocos ou regiões geográficas constantes da Tabela 2. O destaque novamente é a expansão das exportações para a Ásia, região que aumentou as aquisições em 26,8% no período em análise e, por conseguinte, elevou sua participação no valor total exportado pelo Brasil em produtos do agronegócio de 37,1% em janeiro de 2018 para 43,8% do total em janeiro de 2019. Três produtos tiveram destaque nas exportações para a Ásia: soja em grãos (US$ 767,77 milhões; +49,6%); celulose (US$ 534,08 milhões; +40,4%); milho (US$ 343,79 milhões; +170,4%). Esses três produtos representavam 44,6% do valor exportado pelo Brasil em produtos do agronegócio para a Ásia em janeiro de 2018. Em 2019, esses mesmos três produtos passaram a representar 56,7% do valor total exportado para o continente asiático.</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Outros blocos ou regiões geográficas que aumentaram as compras de produtos do agronegócio brasileiro foram: ALADI (US$ 340,70; +8,6%); Europa Oriental (US$ 189,64 milhões; +64,6%); e Oceania (US$ 22,23 milhões; +35,5%).</w:t>
      </w:r>
    </w:p>
    <w:p w:rsidR="0049174C" w:rsidRDefault="0049174C" w:rsidP="00B530C2">
      <w:pPr>
        <w:pStyle w:val="Recuodecorpodetexto"/>
        <w:ind w:firstLine="0"/>
        <w:rPr>
          <w:rFonts w:ascii="Arial" w:hAnsi="Arial" w:cs="Arial"/>
          <w:sz w:val="20"/>
          <w:szCs w:val="20"/>
        </w:rPr>
      </w:pPr>
    </w:p>
    <w:p w:rsidR="0049174C" w:rsidRPr="00127A7E" w:rsidRDefault="00902F2D" w:rsidP="00B530C2">
      <w:pPr>
        <w:pStyle w:val="Recuodecorpodetexto"/>
        <w:ind w:firstLine="0"/>
        <w:rPr>
          <w:rFonts w:ascii="Arial" w:hAnsi="Arial" w:cs="Arial"/>
          <w:sz w:val="20"/>
          <w:szCs w:val="20"/>
        </w:rPr>
      </w:pPr>
      <w:r w:rsidRPr="00902F2D">
        <w:rPr>
          <w:noProof/>
        </w:rPr>
        <w:drawing>
          <wp:inline distT="0" distB="0" distL="0" distR="0" wp14:anchorId="12F87223" wp14:editId="540A2B67">
            <wp:extent cx="6480175" cy="234823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348230"/>
                    </a:xfrm>
                    <a:prstGeom prst="rect">
                      <a:avLst/>
                    </a:prstGeom>
                  </pic:spPr>
                </pic:pic>
              </a:graphicData>
            </a:graphic>
          </wp:inline>
        </w:drawing>
      </w:r>
    </w:p>
    <w:p w:rsidR="00826906" w:rsidRDefault="00826906" w:rsidP="00AB2FF5">
      <w:pPr>
        <w:rPr>
          <w:rFonts w:ascii="Arial" w:hAnsi="Arial" w:cs="Arial"/>
        </w:rPr>
      </w:pPr>
    </w:p>
    <w:p w:rsidR="00F13231" w:rsidRDefault="00F13231" w:rsidP="00AB2FF5">
      <w:pPr>
        <w:rPr>
          <w:rFonts w:ascii="Arial" w:hAnsi="Arial" w:cs="Arial"/>
        </w:rPr>
      </w:pPr>
    </w:p>
    <w:p w:rsidR="00F13231" w:rsidRDefault="00F13231" w:rsidP="00AB2FF5">
      <w:pPr>
        <w:rPr>
          <w:rFonts w:ascii="Arial" w:hAnsi="Arial" w:cs="Arial"/>
        </w:rPr>
      </w:pPr>
    </w:p>
    <w:p w:rsidR="00F13231" w:rsidRDefault="00F13231" w:rsidP="00AB2FF5">
      <w:pPr>
        <w:rPr>
          <w:rFonts w:ascii="Arial" w:hAnsi="Arial" w:cs="Arial"/>
        </w:rPr>
      </w:pPr>
    </w:p>
    <w:p w:rsidR="00F13231" w:rsidRDefault="00F13231" w:rsidP="00AB2FF5">
      <w:pPr>
        <w:rPr>
          <w:rFonts w:ascii="Arial" w:hAnsi="Arial" w:cs="Arial"/>
        </w:rPr>
      </w:pPr>
    </w:p>
    <w:p w:rsidR="00902F2D" w:rsidRDefault="00902F2D" w:rsidP="00AB2FF5">
      <w:pPr>
        <w:rPr>
          <w:rFonts w:ascii="Arial" w:hAnsi="Arial" w:cs="Arial"/>
          <w:b/>
          <w:sz w:val="20"/>
          <w:szCs w:val="20"/>
        </w:rPr>
      </w:pPr>
      <w:proofErr w:type="spellStart"/>
      <w:r w:rsidRPr="00902F2D">
        <w:rPr>
          <w:rFonts w:ascii="Arial" w:hAnsi="Arial" w:cs="Arial"/>
          <w:b/>
          <w:sz w:val="20"/>
          <w:szCs w:val="20"/>
        </w:rPr>
        <w:t>I.c</w:t>
      </w:r>
      <w:proofErr w:type="spellEnd"/>
      <w:r w:rsidRPr="00902F2D">
        <w:rPr>
          <w:rFonts w:ascii="Arial" w:hAnsi="Arial" w:cs="Arial"/>
          <w:b/>
          <w:sz w:val="20"/>
          <w:szCs w:val="20"/>
        </w:rPr>
        <w:t xml:space="preserve"> </w:t>
      </w:r>
      <w:r w:rsidR="00F13231">
        <w:rPr>
          <w:rFonts w:ascii="Arial" w:hAnsi="Arial" w:cs="Arial"/>
          <w:b/>
          <w:sz w:val="20"/>
          <w:szCs w:val="20"/>
        </w:rPr>
        <w:t>–</w:t>
      </w:r>
      <w:r w:rsidRPr="00902F2D">
        <w:rPr>
          <w:rFonts w:ascii="Arial" w:hAnsi="Arial" w:cs="Arial"/>
          <w:b/>
          <w:sz w:val="20"/>
          <w:szCs w:val="20"/>
        </w:rPr>
        <w:t xml:space="preserve"> Países</w:t>
      </w:r>
    </w:p>
    <w:p w:rsidR="00F13231" w:rsidRDefault="00F13231" w:rsidP="00AB2FF5">
      <w:pPr>
        <w:rPr>
          <w:rFonts w:ascii="Arial" w:hAnsi="Arial" w:cs="Arial"/>
          <w:b/>
          <w:sz w:val="20"/>
          <w:szCs w:val="20"/>
        </w:rPr>
      </w:pPr>
      <w:bookmarkStart w:id="0" w:name="_GoBack"/>
      <w:bookmarkEnd w:id="0"/>
    </w:p>
    <w:p w:rsidR="00F13231" w:rsidRPr="00F13231" w:rsidRDefault="00F13231" w:rsidP="00F13231">
      <w:pPr>
        <w:jc w:val="both"/>
        <w:rPr>
          <w:sz w:val="22"/>
          <w:szCs w:val="22"/>
        </w:rPr>
      </w:pPr>
      <w:r w:rsidRPr="00F13231">
        <w:rPr>
          <w:sz w:val="22"/>
          <w:szCs w:val="22"/>
        </w:rPr>
        <w:t>A China continua sendo a principal parceira do agronegócio brasileiro. As exportações para o país asiático subiram de US$ 1,16 bilhão em janeiro de 2018 para US$ 1,52 bilhão em janeiro de 2019 (+31,2%). Com tal expansão, a participação da China subiu 4,2 pontos percentuais, passando de 18,8% em janeiro de 2018 para 23,0% em janeiro de 2019.</w:t>
      </w:r>
    </w:p>
    <w:p w:rsidR="00F13231" w:rsidRPr="00F13231" w:rsidRDefault="00F13231" w:rsidP="00F13231">
      <w:pPr>
        <w:jc w:val="both"/>
        <w:rPr>
          <w:sz w:val="22"/>
          <w:szCs w:val="22"/>
        </w:rPr>
      </w:pPr>
      <w:r w:rsidRPr="00F13231">
        <w:rPr>
          <w:sz w:val="22"/>
          <w:szCs w:val="22"/>
        </w:rPr>
        <w:t xml:space="preserve"> </w:t>
      </w:r>
    </w:p>
    <w:p w:rsidR="00F13231" w:rsidRPr="00F13231" w:rsidRDefault="00F13231" w:rsidP="00F13231">
      <w:pPr>
        <w:jc w:val="both"/>
        <w:rPr>
          <w:sz w:val="22"/>
          <w:szCs w:val="22"/>
        </w:rPr>
      </w:pPr>
      <w:r w:rsidRPr="00F13231">
        <w:rPr>
          <w:sz w:val="22"/>
          <w:szCs w:val="22"/>
        </w:rPr>
        <w:t>A China adquiriu 91,6% da quantidade total de soja em grão exportada pelo Brasil em janeiro de 2019, ou 1,97 milhão de toneladas das 2,15 milhões de toneladas exportadas pelo Brasil em janeiro de 2019. A celulose foi o segundo principal produto exportado pelo Brasil à China. Foram adquiridas 622,66 mil toneladas pela China, ou 61% da quantidade total de celulose exportada pelo Brasil. Por outro lado, esses números revelam uma pauta concentrada em poucos produtos de exportação. Em janeiro de 2019, as vendas brasileiras de soja em grão e celulose para a China concentraram 73,6% do valor total exportado pelo Brasil em produtos do agronegócio para o país asiático.</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 xml:space="preserve">Outros países constantes da Tabela 3 que tiveram aumento de participação nas exportações brasileiras do agronegócio acima ou igual de 1 ponto percentual foram: Vietnã e Coreia do Sul. </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As exportações brasileiras de produtos do agronegócio para o Vietnã subiram de US$ 92,39 milhões em janeiro de 2018 para US$ 223,14 milhões em janeiro de 2019 (+141,5%). Com tal expansão, a participação do Vietnã subiu de 1,5% para 3,4% do valor total exportado pelo Brasil em produtos do agronegócio. A explicação para o forte aumento das exportações para o Vietnã está no incremento das exportações de milho ao país. Em janeiro de 2018, as exportações de milho brasileiro ao Vietnã foram de US$ 26,0 milhões, cifra que atingiu US$ 139,54 milhões em janeiro de 2019. Ademais, o Vietnã não havia importado soja em grão brasileira em janeiro de 2018 e adquiriu US$ 20,19 milhões em janeiro de 2019.</w:t>
      </w:r>
    </w:p>
    <w:p w:rsidR="00F13231" w:rsidRPr="00F13231" w:rsidRDefault="00F13231" w:rsidP="00F13231">
      <w:pPr>
        <w:jc w:val="both"/>
        <w:rPr>
          <w:sz w:val="22"/>
          <w:szCs w:val="22"/>
        </w:rPr>
      </w:pPr>
    </w:p>
    <w:p w:rsidR="00F13231" w:rsidRPr="00F13231" w:rsidRDefault="00F13231" w:rsidP="00F13231">
      <w:pPr>
        <w:jc w:val="both"/>
        <w:rPr>
          <w:sz w:val="22"/>
          <w:szCs w:val="22"/>
        </w:rPr>
      </w:pPr>
      <w:r w:rsidRPr="00F13231">
        <w:rPr>
          <w:sz w:val="22"/>
          <w:szCs w:val="22"/>
        </w:rPr>
        <w:t>A Coreia do Sul aumentou as importações de produtos do agronegócio brasileiro de US$ 136,14 milhões em janeiro de 2018 para US$ 213,72 milhões em janeiro de 2019 (+57,0%), passando, assim, de uma participação de 2,2% para 3,2% no valor das exportações brasileiras do agronegócio. As exportações de três produtos explicam esse incremento nas exportações brasileiro à Coreia do Sul: milho (US$ 55,99 milhões; +102,4%); celulose (US$ 50,89 milhões; +513,9%); e farelo de soja (US$ 48,71 milhões; +91,7%)</w:t>
      </w:r>
      <w:r>
        <w:rPr>
          <w:sz w:val="22"/>
          <w:szCs w:val="22"/>
        </w:rPr>
        <w:t>.</w:t>
      </w:r>
    </w:p>
    <w:p w:rsidR="00902F2D" w:rsidRDefault="00902F2D" w:rsidP="00AB2FF5">
      <w:pPr>
        <w:rPr>
          <w:rFonts w:ascii="Arial" w:hAnsi="Arial" w:cs="Arial"/>
        </w:rPr>
      </w:pPr>
    </w:p>
    <w:p w:rsidR="00902F2D" w:rsidRDefault="00902F2D" w:rsidP="00AB2FF5">
      <w:pPr>
        <w:rPr>
          <w:rFonts w:ascii="Arial" w:hAnsi="Arial" w:cs="Arial"/>
        </w:rPr>
      </w:pPr>
    </w:p>
    <w:p w:rsidR="00902F2D" w:rsidRDefault="00902F2D" w:rsidP="00AB2FF5">
      <w:pPr>
        <w:rPr>
          <w:rFonts w:ascii="Arial" w:hAnsi="Arial" w:cs="Arial"/>
        </w:rPr>
      </w:pPr>
      <w:r w:rsidRPr="00902F2D">
        <w:rPr>
          <w:noProof/>
        </w:rPr>
        <w:drawing>
          <wp:inline distT="0" distB="0" distL="0" distR="0" wp14:anchorId="4F464181" wp14:editId="4CE8011F">
            <wp:extent cx="6480175" cy="3879215"/>
            <wp:effectExtent l="0" t="0" r="0" b="698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3879215"/>
                    </a:xfrm>
                    <a:prstGeom prst="rect">
                      <a:avLst/>
                    </a:prstGeom>
                  </pic:spPr>
                </pic:pic>
              </a:graphicData>
            </a:graphic>
          </wp:inline>
        </w:drawing>
      </w:r>
    </w:p>
    <w:p w:rsidR="00902F2D" w:rsidRPr="00826906" w:rsidRDefault="00902F2D" w:rsidP="00AB2FF5">
      <w:pPr>
        <w:rPr>
          <w:rFonts w:ascii="Arial" w:hAnsi="Arial" w:cs="Arial"/>
        </w:rPr>
      </w:pPr>
    </w:p>
    <w:p w:rsidR="00F13231" w:rsidRDefault="00F13231" w:rsidP="003B632E">
      <w:pPr>
        <w:autoSpaceDE w:val="0"/>
        <w:autoSpaceDN w:val="0"/>
        <w:adjustRightInd w:val="0"/>
        <w:jc w:val="both"/>
        <w:rPr>
          <w:rFonts w:ascii="Arial" w:hAnsi="Arial" w:cs="Arial"/>
          <w:b/>
          <w:sz w:val="20"/>
          <w:szCs w:val="20"/>
        </w:rPr>
      </w:pPr>
    </w:p>
    <w:p w:rsidR="00F13231" w:rsidRDefault="00F13231" w:rsidP="003B632E">
      <w:pPr>
        <w:autoSpaceDE w:val="0"/>
        <w:autoSpaceDN w:val="0"/>
        <w:adjustRightInd w:val="0"/>
        <w:jc w:val="both"/>
        <w:rPr>
          <w:rFonts w:ascii="Arial" w:hAnsi="Arial" w:cs="Arial"/>
          <w:b/>
          <w:sz w:val="20"/>
          <w:szCs w:val="20"/>
        </w:rPr>
      </w:pPr>
    </w:p>
    <w:p w:rsidR="00F13231" w:rsidRDefault="00F13231" w:rsidP="003B632E">
      <w:pPr>
        <w:autoSpaceDE w:val="0"/>
        <w:autoSpaceDN w:val="0"/>
        <w:adjustRightInd w:val="0"/>
        <w:jc w:val="both"/>
        <w:rPr>
          <w:rFonts w:ascii="Arial" w:hAnsi="Arial" w:cs="Arial"/>
          <w:b/>
          <w:sz w:val="20"/>
          <w:szCs w:val="20"/>
        </w:rPr>
      </w:pPr>
    </w:p>
    <w:p w:rsidR="003B632E" w:rsidRPr="00826906" w:rsidRDefault="003B632E" w:rsidP="003B632E">
      <w:pPr>
        <w:autoSpaceDE w:val="0"/>
        <w:autoSpaceDN w:val="0"/>
        <w:adjustRightInd w:val="0"/>
        <w:jc w:val="both"/>
        <w:rPr>
          <w:rFonts w:ascii="Arial" w:hAnsi="Arial" w:cs="Arial"/>
          <w:b/>
          <w:sz w:val="20"/>
          <w:szCs w:val="20"/>
        </w:rPr>
      </w:pPr>
      <w:r w:rsidRPr="00826906">
        <w:rPr>
          <w:rFonts w:ascii="Arial" w:hAnsi="Arial" w:cs="Arial"/>
          <w:b/>
          <w:sz w:val="20"/>
          <w:szCs w:val="20"/>
        </w:rPr>
        <w:t>II – Resultados do</w:t>
      </w:r>
      <w:r w:rsidR="00902F2D">
        <w:rPr>
          <w:rFonts w:ascii="Arial" w:hAnsi="Arial" w:cs="Arial"/>
          <w:b/>
          <w:sz w:val="20"/>
          <w:szCs w:val="20"/>
        </w:rPr>
        <w:t>s</w:t>
      </w:r>
      <w:r w:rsidRPr="00826906">
        <w:rPr>
          <w:rFonts w:ascii="Arial" w:hAnsi="Arial" w:cs="Arial"/>
          <w:b/>
          <w:sz w:val="20"/>
          <w:szCs w:val="20"/>
        </w:rPr>
        <w:t xml:space="preserve"> </w:t>
      </w:r>
      <w:r w:rsidR="00902F2D">
        <w:rPr>
          <w:rFonts w:ascii="Arial" w:hAnsi="Arial" w:cs="Arial"/>
          <w:b/>
          <w:sz w:val="20"/>
          <w:szCs w:val="20"/>
        </w:rPr>
        <w:t>Últimos Doze Meses</w:t>
      </w:r>
      <w:r w:rsidRPr="00826906">
        <w:rPr>
          <w:rFonts w:ascii="Arial" w:hAnsi="Arial" w:cs="Arial"/>
          <w:b/>
          <w:sz w:val="20"/>
          <w:szCs w:val="20"/>
        </w:rPr>
        <w:t xml:space="preserve"> (comparativo </w:t>
      </w:r>
      <w:r w:rsidR="00893DCA">
        <w:rPr>
          <w:rFonts w:ascii="Arial" w:hAnsi="Arial" w:cs="Arial"/>
          <w:b/>
          <w:sz w:val="20"/>
          <w:szCs w:val="20"/>
        </w:rPr>
        <w:t xml:space="preserve">Fevereiro de 2018 a </w:t>
      </w:r>
      <w:proofErr w:type="gramStart"/>
      <w:r w:rsidR="00893DCA">
        <w:rPr>
          <w:rFonts w:ascii="Arial" w:hAnsi="Arial" w:cs="Arial"/>
          <w:b/>
          <w:sz w:val="20"/>
          <w:szCs w:val="20"/>
        </w:rPr>
        <w:t>Janeiro</w:t>
      </w:r>
      <w:proofErr w:type="gramEnd"/>
      <w:r w:rsidR="00893DCA">
        <w:rPr>
          <w:rFonts w:ascii="Arial" w:hAnsi="Arial" w:cs="Arial"/>
          <w:b/>
          <w:sz w:val="20"/>
          <w:szCs w:val="20"/>
        </w:rPr>
        <w:t xml:space="preserve"> de 2019</w:t>
      </w:r>
      <w:r w:rsidRPr="00826906">
        <w:rPr>
          <w:rFonts w:ascii="Arial" w:hAnsi="Arial" w:cs="Arial"/>
          <w:b/>
          <w:sz w:val="20"/>
          <w:szCs w:val="20"/>
        </w:rPr>
        <w:t xml:space="preserve"> – </w:t>
      </w:r>
      <w:r w:rsidR="00902F2D">
        <w:rPr>
          <w:rFonts w:ascii="Arial" w:hAnsi="Arial" w:cs="Arial"/>
          <w:b/>
          <w:sz w:val="20"/>
          <w:szCs w:val="20"/>
        </w:rPr>
        <w:t>Fevereiro de 201</w:t>
      </w:r>
      <w:r w:rsidR="00893DCA">
        <w:rPr>
          <w:rFonts w:ascii="Arial" w:hAnsi="Arial" w:cs="Arial"/>
          <w:b/>
          <w:sz w:val="20"/>
          <w:szCs w:val="20"/>
        </w:rPr>
        <w:t>7</w:t>
      </w:r>
      <w:r w:rsidR="00902F2D">
        <w:rPr>
          <w:rFonts w:ascii="Arial" w:hAnsi="Arial" w:cs="Arial"/>
          <w:b/>
          <w:sz w:val="20"/>
          <w:szCs w:val="20"/>
        </w:rPr>
        <w:t xml:space="preserve"> a Janeiro de 201</w:t>
      </w:r>
      <w:r w:rsidR="00893DCA">
        <w:rPr>
          <w:rFonts w:ascii="Arial" w:hAnsi="Arial" w:cs="Arial"/>
          <w:b/>
          <w:sz w:val="20"/>
          <w:szCs w:val="20"/>
        </w:rPr>
        <w:t>8</w:t>
      </w:r>
      <w:r w:rsidRPr="00826906">
        <w:rPr>
          <w:rFonts w:ascii="Arial" w:hAnsi="Arial" w:cs="Arial"/>
          <w:b/>
          <w:sz w:val="20"/>
          <w:szCs w:val="20"/>
        </w:rPr>
        <w:t>)</w:t>
      </w:r>
    </w:p>
    <w:p w:rsidR="003B632E" w:rsidRPr="00826906" w:rsidRDefault="003B632E" w:rsidP="003B632E">
      <w:pPr>
        <w:autoSpaceDE w:val="0"/>
        <w:autoSpaceDN w:val="0"/>
        <w:adjustRightInd w:val="0"/>
        <w:jc w:val="both"/>
        <w:rPr>
          <w:rFonts w:ascii="Arial" w:hAnsi="Arial" w:cs="Arial"/>
          <w:b/>
          <w:sz w:val="20"/>
          <w:szCs w:val="20"/>
        </w:rPr>
      </w:pPr>
    </w:p>
    <w:p w:rsidR="00401F39" w:rsidRPr="00F13231" w:rsidRDefault="00401F39" w:rsidP="00F13231">
      <w:pPr>
        <w:jc w:val="both"/>
        <w:rPr>
          <w:sz w:val="22"/>
          <w:szCs w:val="22"/>
        </w:rPr>
      </w:pPr>
      <w:r w:rsidRPr="00F13231">
        <w:rPr>
          <w:sz w:val="22"/>
          <w:szCs w:val="22"/>
        </w:rPr>
        <w:t>Nos últimos doze meses, entre fevereiro de 2018 e janeiro de 2019, as exportações do agronegócio brasileiro alcançaram a cifra de US$ 102,14 bilhões, o que significou incremento de 6,0% em comparação aos US$ 96,32 bilhões exportados nos doze meses imediatamente anteriores. Esse valor representou 42,3% do total das vendas externas brasileiras no período, o que demonstra uma perda de participação em relação a fevereiro de 2017 e janeiro de 2018 (43,8%), apesar do crescimento verificado nos últimos doze meses. As importações de produtos do agronegócio totalizaram US$ 14,04 bilhões, com retração de 0,5% em relação ao período precedente. Como resultado, o saldo da balança comercial do agronegócio no acumulado dos últimos doze meses foi de US$ 88,10 bilhões (+7,2%).</w:t>
      </w:r>
    </w:p>
    <w:p w:rsidR="003B632E" w:rsidRDefault="003B632E" w:rsidP="003B632E">
      <w:pPr>
        <w:autoSpaceDE w:val="0"/>
        <w:autoSpaceDN w:val="0"/>
        <w:adjustRightInd w:val="0"/>
        <w:jc w:val="both"/>
        <w:rPr>
          <w:rFonts w:ascii="Arial" w:hAnsi="Arial" w:cs="Arial"/>
          <w:b/>
          <w:sz w:val="20"/>
          <w:szCs w:val="20"/>
        </w:rPr>
      </w:pPr>
    </w:p>
    <w:p w:rsidR="003B632E" w:rsidRPr="00826906" w:rsidRDefault="003B632E" w:rsidP="003B632E">
      <w:pPr>
        <w:pStyle w:val="Ttulo5"/>
        <w:autoSpaceDE/>
        <w:autoSpaceDN/>
        <w:adjustRightInd/>
        <w:rPr>
          <w:rFonts w:ascii="Arial" w:hAnsi="Arial" w:cs="Arial"/>
          <w:sz w:val="20"/>
          <w:szCs w:val="20"/>
        </w:rPr>
      </w:pPr>
      <w:proofErr w:type="spellStart"/>
      <w:r w:rsidRPr="00826906">
        <w:rPr>
          <w:rFonts w:ascii="Arial" w:hAnsi="Arial" w:cs="Arial"/>
          <w:sz w:val="20"/>
          <w:szCs w:val="20"/>
        </w:rPr>
        <w:t>II.a</w:t>
      </w:r>
      <w:proofErr w:type="spellEnd"/>
      <w:r w:rsidRPr="00826906">
        <w:rPr>
          <w:rFonts w:ascii="Arial" w:hAnsi="Arial" w:cs="Arial"/>
          <w:sz w:val="20"/>
          <w:szCs w:val="20"/>
        </w:rPr>
        <w:t xml:space="preserve"> – Setores do Agronegócio</w:t>
      </w:r>
    </w:p>
    <w:p w:rsidR="003B632E" w:rsidRDefault="003B632E" w:rsidP="003B632E">
      <w:pPr>
        <w:rPr>
          <w:rFonts w:ascii="Arial" w:hAnsi="Arial" w:cs="Arial"/>
        </w:rPr>
      </w:pPr>
    </w:p>
    <w:p w:rsidR="00401F39" w:rsidRPr="00F13231" w:rsidRDefault="00401F39" w:rsidP="00401F39">
      <w:pPr>
        <w:pStyle w:val="Recuodecorpodetexto"/>
        <w:ind w:firstLine="0"/>
        <w:rPr>
          <w:sz w:val="22"/>
          <w:szCs w:val="22"/>
        </w:rPr>
      </w:pPr>
      <w:r w:rsidRPr="00F13231">
        <w:rPr>
          <w:sz w:val="22"/>
          <w:szCs w:val="22"/>
        </w:rPr>
        <w:t>Os principais setores exportadores do agronegócio no período foram: complexo soja, com 40,3% de participação; carnes, com 14,2%; produtos florestais, com 14,1%; complexo sucroalcooleiro, com 7,0%; e cereais, farinhas e preparações, com 5,0%. É possível observar que houve concentração da pauta no período em relação aos cinco principais setores. Entre fevereiro de 2017 e janeiro de 2018, tais setores apresentaram participação de 79,1% do total exportado em produtos do agronegócio. Já nos últimos doze meses, os mesmos setores passaram a representar 80,8% das exportações do agronegócio brasileiro. Tal aumento de concentração se deve à expansão das vendas externas do complexo soja e produtos florestais, notadamente da soja em grãos, farelo de soja e celulose.</w:t>
      </w:r>
    </w:p>
    <w:p w:rsidR="00401F39" w:rsidRPr="00F13231" w:rsidRDefault="00401F39" w:rsidP="00401F39">
      <w:pPr>
        <w:pStyle w:val="Recuodecorpodetexto"/>
        <w:ind w:firstLine="0"/>
        <w:rPr>
          <w:sz w:val="22"/>
          <w:szCs w:val="22"/>
        </w:rPr>
      </w:pPr>
    </w:p>
    <w:p w:rsidR="00401F39" w:rsidRPr="00F13231" w:rsidRDefault="00401F39" w:rsidP="00401F39">
      <w:pPr>
        <w:pStyle w:val="Recuodecorpodetexto"/>
        <w:ind w:firstLine="0"/>
        <w:rPr>
          <w:sz w:val="22"/>
          <w:szCs w:val="22"/>
        </w:rPr>
      </w:pPr>
      <w:r w:rsidRPr="00F13231">
        <w:rPr>
          <w:sz w:val="22"/>
          <w:szCs w:val="22"/>
        </w:rPr>
        <w:t>As exportações do complexo soja, entre fevereiro de 2018 e janeiro de 2019, aumentaram em comparação ao período anterior de US$ 31,79 bilhões para US$ 41,20 bilhões (+29,6%). Verificou-se incremento de 22,1% no quantum comercializado, além de alta na cotação média dos produtos do setor à taxa de 6,2%. O principal item negociado pelo setor foi a soja em grãos, com o montante de US$ 33,40 bilhões e expansão de 28,8% em comparação a fevereiro de 2017 e janeiro de 2018 (US$ 25,94 bilhões). Esse aumento de receita foi resultado da elevação da quantidade embarcada do grão, que atingiu o patamar de 84,19 milhões de toneladas (+22,4%), além do incremento do preço médio do produto brasileiro no mercado internacional de 5,2%, chegando a US$ 397 por tonelada. As vendas externas de farelo de soja avançaram 40,4% nos últimos doze meses em razão da elevação de 22,2% no quantum comercializado do produto e do aumento da cotação média em 14,9%, totalizando US$ 6,78 bilhões. Já sobre o óleo de soja, a expansão da quantidade comercializada (+6,7%) compensou a retração do preço médio no período (-5,9%), possibilitando a manutenção da receita de exportação do produto em US$ 1,02 bilhão (+0,3%).</w:t>
      </w:r>
    </w:p>
    <w:p w:rsidR="00401F39" w:rsidRPr="00F13231" w:rsidRDefault="00401F39" w:rsidP="00401F39">
      <w:pPr>
        <w:pStyle w:val="Recuodecorpodetexto"/>
        <w:ind w:firstLine="0"/>
        <w:rPr>
          <w:sz w:val="22"/>
          <w:szCs w:val="22"/>
        </w:rPr>
      </w:pPr>
    </w:p>
    <w:p w:rsidR="00401F39" w:rsidRPr="00F13231" w:rsidRDefault="00401F39" w:rsidP="00401F39">
      <w:pPr>
        <w:pStyle w:val="Recuodecorpodetexto"/>
        <w:ind w:firstLine="0"/>
        <w:rPr>
          <w:sz w:val="22"/>
          <w:szCs w:val="22"/>
        </w:rPr>
      </w:pPr>
      <w:r w:rsidRPr="00F13231">
        <w:rPr>
          <w:sz w:val="22"/>
          <w:szCs w:val="22"/>
        </w:rPr>
        <w:t>As exportações de carnes alcançaram o montante de US$ 14,55 bilhões, o que significou retração de 5,8% em comparação ao valor comercializado nos doze meses imediatamente anteriores (US$ 15,45 bilhões). Em relação à quantidade, foram embarcadas 6,52 milhões de toneladas no período, observando-se diminuição de 2,4%, com queda no preço médio de 3,5%. O principal produto – e único a apresentar incremento de receita de exportação no período analisado -  foi a carne bovina, com 6,48 bilhões (+5,1%) e 1,64 milhão de t</w:t>
      </w:r>
      <w:r w:rsidR="004B739D" w:rsidRPr="00F13231">
        <w:rPr>
          <w:sz w:val="22"/>
          <w:szCs w:val="22"/>
        </w:rPr>
        <w:t>oneladas comercializadas (+9,8%)</w:t>
      </w:r>
      <w:r w:rsidRPr="00F13231">
        <w:rPr>
          <w:sz w:val="22"/>
          <w:szCs w:val="22"/>
        </w:rPr>
        <w:t>, apesar na queda no preço médio de 4,3%. As vendas externas de carne de frango caíram 5,5% em quantidade (3,97 milhões de toneladas) e 4,8% na cotação média, o que refletiu na diminuição de 10,1% no valor arrecadado (US$ 6,34 bilhões). As exportações de carne suína sofreram redução em valor (-26,1%), com a soma de US$ 1,17 bilhão. A quantidade embarcada decresceu 6,6% no período e o preço médio passou de US$ 2.350 por tonelada para US$ 1.860 por tonelada (-20,9%). As vendas externas de carne de peru diminuíram 31,6% em quantidade e atingiram a cifra de US$ 142,51 milhões nos últimos doze meses (-43,8%).</w:t>
      </w:r>
    </w:p>
    <w:p w:rsidR="00401F39" w:rsidRPr="00F13231" w:rsidRDefault="00401F39" w:rsidP="00401F39">
      <w:pPr>
        <w:pStyle w:val="Recuodecorpodetexto"/>
        <w:ind w:firstLine="0"/>
        <w:rPr>
          <w:sz w:val="22"/>
          <w:szCs w:val="22"/>
        </w:rPr>
      </w:pPr>
    </w:p>
    <w:p w:rsidR="00401F39" w:rsidRPr="00F13231" w:rsidRDefault="00401F39" w:rsidP="00401F39">
      <w:pPr>
        <w:pStyle w:val="Recuodecorpodetexto"/>
        <w:ind w:firstLine="0"/>
        <w:rPr>
          <w:sz w:val="22"/>
          <w:szCs w:val="22"/>
        </w:rPr>
      </w:pPr>
      <w:r w:rsidRPr="00F13231">
        <w:rPr>
          <w:sz w:val="22"/>
          <w:szCs w:val="22"/>
        </w:rPr>
        <w:t>Os produtos florestais aparecem na terceira colocação entre os maiores setores do agronegócio em valor exportado, com vendas de US$ 14,45 bilhões (+23,3%) e 25,12 milhões de toneladas negociadas (+11,3%). O principal item negociado foi a celulose, com 15,67 milhões de toneladas embarcadas (+14,0%). Com a expansão de 17,3% no preço médio, houve incremento de 33,8% no valor exportado, que atingiu a soma de US$ 8,66 bilhões. As vendas de madeiras e suas obras alcançaram o patamar de US$ 3,70 bilhões (+11,8%), com 7,39 milhões de toneladas negociadas (+10,9%) e aumento de 0,8% no preço médio dos produtos desse subsetor. Em relação às vendas externas de papel, houve queda de 4,8% em quantidade (2,07 milhões de toneladas), expansão 13,5% no preço médio e elevação de 8,1% na receita (US$ 2,09 bilhões).</w:t>
      </w:r>
    </w:p>
    <w:p w:rsidR="00401F39" w:rsidRPr="00F13231" w:rsidRDefault="00401F39" w:rsidP="00401F39">
      <w:pPr>
        <w:pStyle w:val="Recuodecorpodetexto"/>
        <w:ind w:firstLine="0"/>
        <w:rPr>
          <w:sz w:val="22"/>
          <w:szCs w:val="22"/>
        </w:rPr>
      </w:pPr>
    </w:p>
    <w:p w:rsidR="00401F39" w:rsidRPr="00F13231" w:rsidRDefault="00401F39" w:rsidP="00401F39">
      <w:pPr>
        <w:pStyle w:val="Recuodecorpodetexto"/>
        <w:ind w:firstLine="0"/>
        <w:rPr>
          <w:sz w:val="22"/>
          <w:szCs w:val="22"/>
        </w:rPr>
      </w:pPr>
      <w:r w:rsidRPr="00F13231">
        <w:rPr>
          <w:sz w:val="22"/>
          <w:szCs w:val="22"/>
        </w:rPr>
        <w:t xml:space="preserve">As exportações do complexo sucroalcooleiro decresceram de US$ 11,84 bilhões, entre fevereiro de 2017 e janeiro de 2018, para US$ 7,16 bilhões, entre fevereiro de 2018 e janeiro de 2019 (-39,5%), em razão da queda de 24,1% no quantum exportado, que atingiu 22,19 milhões de toneladas no período, e concomitante retração da cotação média </w:t>
      </w:r>
      <w:r w:rsidRPr="00F13231">
        <w:rPr>
          <w:sz w:val="22"/>
          <w:szCs w:val="22"/>
        </w:rPr>
        <w:lastRenderedPageBreak/>
        <w:t>dos produtos do setor (-20,3%). O preço médio do açúcar caiu 23,3% nos últimos doze meses em virtude do excesso de oferta verificado no mercado internacional atualmente, enquanto o volume comercializado decresceu 25,7%, puxando para baixo a receita de exportação, que caiu 43,1% e alcançou US$ 6,27 bilhões. O preço médio do álcool também caiu no período considerado, passando de US$ 701 por tonelada para os atuais US$ 659 por tonelada (-5,9%). As vendas em quantidade aumentaram 15,5%, resultando no valor exportado de US$ 875,30 milhões (+8,7%).</w:t>
      </w:r>
    </w:p>
    <w:p w:rsidR="00401F39" w:rsidRPr="00F13231" w:rsidRDefault="00401F39" w:rsidP="00401F39">
      <w:pPr>
        <w:pStyle w:val="Recuodecorpodetexto"/>
        <w:ind w:firstLine="0"/>
        <w:rPr>
          <w:sz w:val="22"/>
          <w:szCs w:val="22"/>
        </w:rPr>
      </w:pPr>
    </w:p>
    <w:p w:rsidR="00401F39" w:rsidRPr="00F13231" w:rsidRDefault="00401F39" w:rsidP="00401F39">
      <w:pPr>
        <w:pStyle w:val="Recuodecorpodetexto"/>
        <w:ind w:firstLine="0"/>
        <w:rPr>
          <w:sz w:val="22"/>
          <w:szCs w:val="22"/>
        </w:rPr>
      </w:pPr>
      <w:r w:rsidRPr="00F13231">
        <w:rPr>
          <w:sz w:val="22"/>
          <w:szCs w:val="22"/>
        </w:rPr>
        <w:t xml:space="preserve">Os cereais, farinhas e preparações ficaram na quinta colocação entre os setores do agronegócio no acumulado dos últimos doze meses, com vendas externas de US$ 5,12 bilhões e quantum comercializado de 26,98 milhões de toneladas, o que representou redução de 5,8% e 16,7%, respectivamente. O principal item negociado foi o milho, com exportações de US$ 4,30 bilhões ou 84,0% do total das vendas do setor no período.  Em comparação a fevereiro de 2017 e janeiro de 2018, verificou-se diminuição de 19,7% no quantum comercializado (24,75 milhões de toneladas) e elevação da cotação média do grão à taxa de 11,7%. Em consequência, a receita de exportação caiu 10,3% nesses últimos doze meses. </w:t>
      </w:r>
    </w:p>
    <w:p w:rsidR="00401F39" w:rsidRPr="00F13231" w:rsidRDefault="00401F39" w:rsidP="00401F39">
      <w:pPr>
        <w:pStyle w:val="Recuodecorpodetexto"/>
        <w:ind w:firstLine="0"/>
        <w:rPr>
          <w:sz w:val="22"/>
          <w:szCs w:val="22"/>
        </w:rPr>
      </w:pPr>
    </w:p>
    <w:p w:rsidR="00401F39" w:rsidRPr="00F13231" w:rsidRDefault="00401F39" w:rsidP="00401F39">
      <w:pPr>
        <w:pStyle w:val="Recuodecorpodetexto"/>
        <w:ind w:firstLine="0"/>
        <w:rPr>
          <w:sz w:val="22"/>
          <w:szCs w:val="22"/>
        </w:rPr>
      </w:pPr>
      <w:r w:rsidRPr="00F13231">
        <w:rPr>
          <w:sz w:val="22"/>
          <w:szCs w:val="22"/>
        </w:rPr>
        <w:t>Em relação às importações de produtos do agronegócio nos últimos doze meses, observou-se um montante de US$ 14,04 bilhões e recuo de 0,5% em comparação aos US$ 14,12 bilhões registrados entre fevereiro de 2017 e janeiro de 2018. Os principais itens adquiridos no mercado internacional, nesse período, foram: trigo (US$ 1,52 bilhão e +29,9%); papel (US$ 885,29 milhões e +2,7%); álcool etílico (US$ 735,79 milhões e -16,9%); vestuário e outros produtos têxteis de algodão (US$ 633,91 milhões e +16,4%); salmões frescos ou refrigerados (US$ 506,67 milhões e -0,7%); azeite de oliva (US$ 431,67 milhões e +22,9%); malte (US$ 431,37 milhões e +3,6%); vinho (US$ 375,26 milhões e +0,7%); borracha natural (US$ 343,81 milhões e</w:t>
      </w:r>
      <w:r w:rsidR="003F349D" w:rsidRPr="00F13231">
        <w:rPr>
          <w:sz w:val="22"/>
          <w:szCs w:val="22"/>
        </w:rPr>
        <w:t xml:space="preserve"> -15,8%); e óleo de </w:t>
      </w:r>
      <w:r w:rsidRPr="00F13231">
        <w:rPr>
          <w:sz w:val="22"/>
          <w:szCs w:val="22"/>
        </w:rPr>
        <w:t>palma (US$ 343,55 milhões e -8,9%).</w:t>
      </w:r>
    </w:p>
    <w:p w:rsidR="00401F39" w:rsidRPr="00F13231" w:rsidRDefault="00401F39" w:rsidP="003B632E">
      <w:pPr>
        <w:rPr>
          <w:sz w:val="22"/>
          <w:szCs w:val="22"/>
        </w:rPr>
      </w:pPr>
    </w:p>
    <w:p w:rsidR="000076AB" w:rsidRPr="00826906" w:rsidRDefault="00902F2D" w:rsidP="003B632E">
      <w:pPr>
        <w:rPr>
          <w:rFonts w:ascii="Arial" w:hAnsi="Arial" w:cs="Arial"/>
        </w:rPr>
      </w:pPr>
      <w:r w:rsidRPr="00902F2D">
        <w:rPr>
          <w:noProof/>
        </w:rPr>
        <w:drawing>
          <wp:inline distT="0" distB="0" distL="0" distR="0" wp14:anchorId="02CE5622" wp14:editId="4811DAB3">
            <wp:extent cx="6480175" cy="385508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3855085"/>
                    </a:xfrm>
                    <a:prstGeom prst="rect">
                      <a:avLst/>
                    </a:prstGeom>
                  </pic:spPr>
                </pic:pic>
              </a:graphicData>
            </a:graphic>
          </wp:inline>
        </w:drawing>
      </w:r>
    </w:p>
    <w:p w:rsidR="003B632E" w:rsidRPr="00826906" w:rsidRDefault="003B632E" w:rsidP="003B632E">
      <w:pPr>
        <w:rPr>
          <w:rFonts w:ascii="Arial" w:hAnsi="Arial" w:cs="Arial"/>
        </w:rPr>
      </w:pPr>
    </w:p>
    <w:p w:rsidR="003B632E" w:rsidRPr="00826906" w:rsidRDefault="003B632E" w:rsidP="003B632E">
      <w:pPr>
        <w:pStyle w:val="Ttulo5"/>
        <w:autoSpaceDE/>
        <w:autoSpaceDN/>
        <w:adjustRightInd/>
        <w:rPr>
          <w:rFonts w:ascii="Arial" w:hAnsi="Arial" w:cs="Arial"/>
          <w:sz w:val="20"/>
          <w:szCs w:val="20"/>
        </w:rPr>
      </w:pPr>
      <w:bookmarkStart w:id="1" w:name="OLE_LINK1"/>
      <w:proofErr w:type="spellStart"/>
      <w:r w:rsidRPr="00826906">
        <w:rPr>
          <w:rFonts w:ascii="Arial" w:hAnsi="Arial" w:cs="Arial"/>
          <w:sz w:val="20"/>
          <w:szCs w:val="20"/>
        </w:rPr>
        <w:t>II.b</w:t>
      </w:r>
      <w:proofErr w:type="spellEnd"/>
      <w:r w:rsidRPr="00826906">
        <w:rPr>
          <w:rFonts w:ascii="Arial" w:hAnsi="Arial" w:cs="Arial"/>
          <w:sz w:val="20"/>
          <w:szCs w:val="20"/>
        </w:rPr>
        <w:t xml:space="preserve"> – Blocos Econômicos e Regiões Geográficas</w:t>
      </w:r>
    </w:p>
    <w:p w:rsidR="003B632E" w:rsidRDefault="003B632E" w:rsidP="003B632E">
      <w:pPr>
        <w:jc w:val="both"/>
        <w:rPr>
          <w:rFonts w:ascii="Arial" w:hAnsi="Arial" w:cs="Arial"/>
          <w:sz w:val="20"/>
          <w:szCs w:val="20"/>
        </w:rPr>
      </w:pPr>
    </w:p>
    <w:p w:rsidR="00401F39" w:rsidRPr="00F13231" w:rsidRDefault="00401F39" w:rsidP="00401F39">
      <w:pPr>
        <w:pStyle w:val="Recuodecorpodetexto"/>
        <w:ind w:firstLine="0"/>
        <w:rPr>
          <w:sz w:val="22"/>
          <w:szCs w:val="22"/>
        </w:rPr>
      </w:pPr>
      <w:r w:rsidRPr="00F13231">
        <w:rPr>
          <w:sz w:val="22"/>
          <w:szCs w:val="22"/>
        </w:rPr>
        <w:t>No âmbito das exportações do agronegócio por blocos econômicos e regiões geográficas, a Ásia segue no posto de principal destino dos produtos brasileiros. As vendas para o continente asiático atingiram a marca de US$ 52,33 bilhões, o que significou expansão de 17,8% em comparação aos valores registrados entre fevereiro de 2017 e janeiro de 2018 (US$ 44,43 bilhões). Dessa forma, a participação da região nas exportações de produtos do agronegócio brasileiro passou de 46,1% para 51,2%.</w:t>
      </w:r>
    </w:p>
    <w:p w:rsidR="00401F39" w:rsidRPr="00F13231" w:rsidRDefault="00401F39" w:rsidP="00401F39">
      <w:pPr>
        <w:pStyle w:val="Recuodecorpodetexto"/>
        <w:ind w:firstLine="0"/>
        <w:rPr>
          <w:sz w:val="22"/>
          <w:szCs w:val="22"/>
        </w:rPr>
      </w:pPr>
    </w:p>
    <w:p w:rsidR="00401F39" w:rsidRPr="00F13231" w:rsidRDefault="00401F39" w:rsidP="00401F39">
      <w:pPr>
        <w:pStyle w:val="Recuodecorpodetexto"/>
        <w:ind w:firstLine="0"/>
        <w:rPr>
          <w:sz w:val="22"/>
          <w:szCs w:val="22"/>
        </w:rPr>
      </w:pPr>
      <w:r w:rsidRPr="00F13231">
        <w:rPr>
          <w:sz w:val="22"/>
          <w:szCs w:val="22"/>
        </w:rPr>
        <w:t xml:space="preserve">O segundo principal bloco de destino das exportações agropecuárias brasileiras nos últimos doze meses, a União Europeia, apresentou incremento de 5,2% nas aquisições de mercadorias brasileiras, alcançando a cifra de US$ 17,80 bilhões, ante um total de US$ 16,93 bilhões nos doze meses imediatamente anteriores (-US$ 873,50 milhões). Mesmo </w:t>
      </w:r>
      <w:r w:rsidRPr="00F13231">
        <w:rPr>
          <w:sz w:val="22"/>
          <w:szCs w:val="22"/>
        </w:rPr>
        <w:lastRenderedPageBreak/>
        <w:t xml:space="preserve">com esse crescimento em valor, a participação da UE-28 nas exportações do agronegócio brasileiro caiu de 17,6% para 17,4%, uma vez que apresentou variação inferior à média verificada no período (+6,0%). </w:t>
      </w:r>
    </w:p>
    <w:p w:rsidR="000076AB" w:rsidRDefault="000076AB" w:rsidP="003B632E">
      <w:pPr>
        <w:jc w:val="both"/>
        <w:rPr>
          <w:rFonts w:ascii="Arial" w:hAnsi="Arial" w:cs="Arial"/>
          <w:sz w:val="20"/>
          <w:szCs w:val="20"/>
        </w:rPr>
      </w:pPr>
    </w:p>
    <w:p w:rsidR="00902F2D" w:rsidRPr="00826906" w:rsidRDefault="00902F2D" w:rsidP="003B632E">
      <w:pPr>
        <w:jc w:val="both"/>
        <w:rPr>
          <w:rFonts w:ascii="Arial" w:hAnsi="Arial" w:cs="Arial"/>
          <w:sz w:val="20"/>
          <w:szCs w:val="20"/>
        </w:rPr>
      </w:pPr>
    </w:p>
    <w:p w:rsidR="003B632E" w:rsidRPr="00826906" w:rsidRDefault="00902F2D" w:rsidP="003B632E">
      <w:pPr>
        <w:jc w:val="both"/>
        <w:rPr>
          <w:rFonts w:ascii="Arial" w:hAnsi="Arial" w:cs="Arial"/>
          <w:sz w:val="20"/>
          <w:szCs w:val="20"/>
        </w:rPr>
      </w:pPr>
      <w:r w:rsidRPr="00902F2D">
        <w:rPr>
          <w:noProof/>
        </w:rPr>
        <w:drawing>
          <wp:inline distT="0" distB="0" distL="0" distR="0" wp14:anchorId="4749F7AF" wp14:editId="1C0C00D1">
            <wp:extent cx="6480175" cy="234823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348230"/>
                    </a:xfrm>
                    <a:prstGeom prst="rect">
                      <a:avLst/>
                    </a:prstGeom>
                  </pic:spPr>
                </pic:pic>
              </a:graphicData>
            </a:graphic>
          </wp:inline>
        </w:drawing>
      </w:r>
    </w:p>
    <w:p w:rsidR="003B632E" w:rsidRPr="00826906" w:rsidRDefault="003B632E" w:rsidP="003B632E">
      <w:pPr>
        <w:pStyle w:val="Ttulo5"/>
        <w:autoSpaceDE/>
        <w:autoSpaceDN/>
        <w:adjustRightInd/>
        <w:rPr>
          <w:rFonts w:ascii="Arial" w:hAnsi="Arial" w:cs="Arial"/>
          <w:sz w:val="20"/>
          <w:szCs w:val="20"/>
        </w:rPr>
      </w:pPr>
    </w:p>
    <w:bookmarkEnd w:id="1"/>
    <w:p w:rsidR="000076AB" w:rsidRDefault="000076AB" w:rsidP="000076AB">
      <w:pPr>
        <w:pStyle w:val="Recuodecorpodetexto"/>
        <w:ind w:firstLine="0"/>
        <w:rPr>
          <w:rFonts w:ascii="Arial" w:hAnsi="Arial" w:cs="Arial"/>
          <w:sz w:val="20"/>
          <w:szCs w:val="20"/>
        </w:rPr>
      </w:pPr>
    </w:p>
    <w:p w:rsidR="000076AB" w:rsidRDefault="00056A9E" w:rsidP="00056A9E">
      <w:pPr>
        <w:pStyle w:val="Ttulo5"/>
        <w:autoSpaceDE/>
        <w:autoSpaceDN/>
        <w:adjustRightInd/>
        <w:rPr>
          <w:rFonts w:ascii="Arial" w:hAnsi="Arial" w:cs="Arial"/>
          <w:sz w:val="20"/>
          <w:szCs w:val="20"/>
        </w:rPr>
      </w:pPr>
      <w:proofErr w:type="spellStart"/>
      <w:r w:rsidRPr="00056A9E">
        <w:rPr>
          <w:rFonts w:ascii="Arial" w:hAnsi="Arial" w:cs="Arial"/>
          <w:sz w:val="20"/>
          <w:szCs w:val="20"/>
        </w:rPr>
        <w:t>II.c</w:t>
      </w:r>
      <w:proofErr w:type="spellEnd"/>
      <w:r w:rsidRPr="00056A9E">
        <w:rPr>
          <w:rFonts w:ascii="Arial" w:hAnsi="Arial" w:cs="Arial"/>
          <w:sz w:val="20"/>
          <w:szCs w:val="20"/>
        </w:rPr>
        <w:t xml:space="preserve"> </w:t>
      </w:r>
      <w:r w:rsidR="00401F39">
        <w:rPr>
          <w:rFonts w:ascii="Arial" w:hAnsi="Arial" w:cs="Arial"/>
          <w:sz w:val="20"/>
          <w:szCs w:val="20"/>
        </w:rPr>
        <w:t>–</w:t>
      </w:r>
      <w:r w:rsidRPr="00056A9E">
        <w:rPr>
          <w:rFonts w:ascii="Arial" w:hAnsi="Arial" w:cs="Arial"/>
          <w:sz w:val="20"/>
          <w:szCs w:val="20"/>
        </w:rPr>
        <w:t xml:space="preserve"> Países</w:t>
      </w:r>
    </w:p>
    <w:p w:rsidR="00401F39" w:rsidRDefault="00401F39" w:rsidP="00401F39"/>
    <w:p w:rsidR="00401F39" w:rsidRPr="00F13231" w:rsidRDefault="00401F39" w:rsidP="00401F39">
      <w:pPr>
        <w:pStyle w:val="Recuodecorpodetexto"/>
        <w:ind w:firstLine="0"/>
        <w:rPr>
          <w:sz w:val="22"/>
          <w:szCs w:val="22"/>
        </w:rPr>
      </w:pPr>
      <w:r w:rsidRPr="00F13231">
        <w:rPr>
          <w:sz w:val="22"/>
          <w:szCs w:val="22"/>
        </w:rPr>
        <w:t>No que se refere aos países, a China permaneceu como o principal destino das exportações do agronegócio brasileiro, com a cifra de US$ 35,96 bilhões, o que representou quase 69% das exportações agropecuárias brasileiras para a Ásia no período. Em relação ao período anterior, verificou-se expansão de 34,0% no valor exportado e aumento da participação chinesa de 7,3 pontos percentuais, chegando a 35,2% de market share. Os principais produtos responsáveis por esse incremento das exportações no período foram: soja em grãos (+US$ 7,06 bilhões); celulose (+US$ 947,46 milhões); carne bovina in natura (+US$ 530,57 milhões); e algodão não cardado nem penteado (+US$ 410,15 milhões).</w:t>
      </w:r>
    </w:p>
    <w:p w:rsidR="00401F39" w:rsidRPr="00F13231" w:rsidRDefault="00401F39" w:rsidP="00401F39">
      <w:pPr>
        <w:pStyle w:val="Recuodecorpodetexto"/>
        <w:ind w:firstLine="0"/>
        <w:rPr>
          <w:sz w:val="22"/>
          <w:szCs w:val="22"/>
        </w:rPr>
      </w:pPr>
    </w:p>
    <w:p w:rsidR="00401F39" w:rsidRPr="00F13231" w:rsidRDefault="00401F39" w:rsidP="00401F39">
      <w:pPr>
        <w:pStyle w:val="Recuodecorpodetexto"/>
        <w:ind w:firstLine="0"/>
        <w:rPr>
          <w:sz w:val="22"/>
          <w:szCs w:val="22"/>
        </w:rPr>
      </w:pPr>
      <w:r w:rsidRPr="00F13231">
        <w:rPr>
          <w:sz w:val="22"/>
          <w:szCs w:val="22"/>
        </w:rPr>
        <w:t>As exportações para os Estados Unidos, segundo principal destino entre fevereiro de 2018 e janeiro de 2019, decresceram de US$ 6,79 bilhões para US$ 6,74 bilhões (-0,6%). Com essa redução, a participação norte americana nas exportações brasileiras caiu de 7,0% para 6,6%. Os principais produtos agropecuários exportados para o mercado norte-americano nos últimos doze meses foram: celulose (US$ 1,07 bilhão); café verde (US$ 782,51 milhões); álcool etílico (US$ 493,88 milhões); e suco de laranja (US$ 489,02 milhões).</w:t>
      </w:r>
    </w:p>
    <w:p w:rsidR="00401F39" w:rsidRPr="00F13231" w:rsidRDefault="00401F39" w:rsidP="00401F39">
      <w:pPr>
        <w:pStyle w:val="Recuodecorpodetexto"/>
        <w:ind w:firstLine="0"/>
        <w:rPr>
          <w:sz w:val="22"/>
          <w:szCs w:val="22"/>
        </w:rPr>
      </w:pPr>
    </w:p>
    <w:p w:rsidR="00401F39" w:rsidRPr="00F13231" w:rsidRDefault="00401F39" w:rsidP="00401F39">
      <w:pPr>
        <w:pStyle w:val="Recuodecorpodetexto"/>
        <w:ind w:firstLine="0"/>
        <w:rPr>
          <w:sz w:val="22"/>
          <w:szCs w:val="22"/>
        </w:rPr>
      </w:pPr>
      <w:r w:rsidRPr="00F13231">
        <w:rPr>
          <w:sz w:val="22"/>
          <w:szCs w:val="22"/>
        </w:rPr>
        <w:t>O terceiro principal destino das exportações agropecuárias brasileiras foram os Países Baixos, com US$ 4,59 bilhões, o que significou aumento de 3,0% em comparação aos US$ 4,46 bilhões registrados entre fevereiro de 2017 e janeiro de 2018. Por causa do crescimento abaixo da média da variação das exportações no período (+6,0%), a participação desse parceiro comercial caiu 0,1 ponto percentual, atingindo 4,5%. Os produtos que se destacaram em relação ao crescimento das exportações, em valor, para esse mercado, foram: farelo de soja (+US$ 255,33 milhões); carne de frango in natura (+US$ 173,89 milhões); celulose (+US$ 140,38 milhões); e suco de laranja (+US$ 43,37 milhões).</w:t>
      </w:r>
    </w:p>
    <w:p w:rsidR="00401F39" w:rsidRPr="00F13231" w:rsidRDefault="00401F39" w:rsidP="00401F39">
      <w:pPr>
        <w:pStyle w:val="Recuodecorpodetexto"/>
        <w:ind w:firstLine="0"/>
        <w:rPr>
          <w:sz w:val="22"/>
          <w:szCs w:val="22"/>
        </w:rPr>
      </w:pPr>
    </w:p>
    <w:p w:rsidR="00401F39" w:rsidRPr="00F13231" w:rsidRDefault="00401F39" w:rsidP="00401F39">
      <w:pPr>
        <w:pStyle w:val="Recuodecorpodetexto"/>
        <w:ind w:firstLine="0"/>
        <w:rPr>
          <w:sz w:val="22"/>
          <w:szCs w:val="22"/>
        </w:rPr>
      </w:pPr>
      <w:r w:rsidRPr="00F13231">
        <w:rPr>
          <w:sz w:val="22"/>
          <w:szCs w:val="22"/>
        </w:rPr>
        <w:t>Em relação ao dinamismo das exportações, os principais destaques do período, conforme ilustrado na Tabela 9, foram: Turquia (US$ 1,38 bilhão e +70,2%); Vietnã (US$ 1,81 bilhão e +21,8%); Coreia do Sul (US$ 2,14 bilhões e +18,6%); Argentina (US$ 1,48 bilhão e +9,0%); e Bélgica (US$ 1,93 bilhão e +7,4%).</w:t>
      </w:r>
    </w:p>
    <w:p w:rsidR="00401F39" w:rsidRPr="00401F39" w:rsidRDefault="00401F39" w:rsidP="00401F39">
      <w:pPr>
        <w:pStyle w:val="Recuodecorpodetexto"/>
        <w:ind w:firstLine="0"/>
        <w:rPr>
          <w:rFonts w:ascii="Arial" w:hAnsi="Arial" w:cs="Arial"/>
          <w:sz w:val="20"/>
          <w:szCs w:val="20"/>
        </w:rPr>
      </w:pPr>
    </w:p>
    <w:p w:rsidR="00902F2D" w:rsidRDefault="00902F2D" w:rsidP="000076AB">
      <w:pPr>
        <w:pStyle w:val="Recuodecorpodetexto"/>
        <w:ind w:firstLine="0"/>
        <w:rPr>
          <w:noProof/>
        </w:rPr>
      </w:pPr>
    </w:p>
    <w:p w:rsidR="00401F39" w:rsidRPr="00826906" w:rsidRDefault="00902F2D" w:rsidP="003B632E">
      <w:pPr>
        <w:pStyle w:val="Recuodecorpodetexto"/>
        <w:ind w:firstLine="0"/>
        <w:rPr>
          <w:rFonts w:ascii="Arial" w:hAnsi="Arial" w:cs="Arial"/>
          <w:sz w:val="20"/>
          <w:szCs w:val="20"/>
        </w:rPr>
      </w:pPr>
      <w:r w:rsidRPr="00902F2D">
        <w:rPr>
          <w:noProof/>
        </w:rPr>
        <w:lastRenderedPageBreak/>
        <w:drawing>
          <wp:inline distT="0" distB="0" distL="0" distR="0" wp14:anchorId="55971AD5" wp14:editId="44A41BEA">
            <wp:extent cx="6480175" cy="3879215"/>
            <wp:effectExtent l="0" t="0" r="0" b="698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3879215"/>
                    </a:xfrm>
                    <a:prstGeom prst="rect">
                      <a:avLst/>
                    </a:prstGeom>
                  </pic:spPr>
                </pic:pic>
              </a:graphicData>
            </a:graphic>
          </wp:inline>
        </w:drawing>
      </w:r>
    </w:p>
    <w:p w:rsidR="003B632E" w:rsidRPr="00826906" w:rsidRDefault="003B632E" w:rsidP="003B632E">
      <w:pPr>
        <w:autoSpaceDE w:val="0"/>
        <w:autoSpaceDN w:val="0"/>
        <w:adjustRightInd w:val="0"/>
        <w:rPr>
          <w:rFonts w:ascii="Arial" w:hAnsi="Arial" w:cs="Arial"/>
          <w:sz w:val="20"/>
          <w:szCs w:val="20"/>
        </w:rPr>
      </w:pPr>
    </w:p>
    <w:p w:rsidR="007D7D4C" w:rsidRPr="00826906" w:rsidRDefault="007D7D4C">
      <w:pPr>
        <w:autoSpaceDE w:val="0"/>
        <w:autoSpaceDN w:val="0"/>
        <w:adjustRightInd w:val="0"/>
        <w:rPr>
          <w:rFonts w:ascii="Arial" w:hAnsi="Arial" w:cs="Arial"/>
          <w:sz w:val="20"/>
          <w:szCs w:val="20"/>
        </w:rPr>
      </w:pPr>
    </w:p>
    <w:p w:rsidR="00C87B02" w:rsidRPr="00826906" w:rsidRDefault="00C87B02">
      <w:pPr>
        <w:pStyle w:val="Ttulo4"/>
        <w:pBdr>
          <w:top w:val="single" w:sz="4" w:space="1" w:color="auto"/>
          <w:left w:val="single" w:sz="4" w:space="4" w:color="auto"/>
          <w:bottom w:val="single" w:sz="4" w:space="1" w:color="auto"/>
          <w:right w:val="single" w:sz="4" w:space="4" w:color="auto"/>
        </w:pBdr>
        <w:spacing w:after="80"/>
        <w:ind w:firstLine="0"/>
        <w:rPr>
          <w:i w:val="0"/>
          <w:sz w:val="20"/>
          <w:szCs w:val="20"/>
          <w:lang w:val="pt-BR"/>
        </w:rPr>
      </w:pPr>
      <w:r w:rsidRPr="00826906">
        <w:rPr>
          <w:i w:val="0"/>
          <w:sz w:val="20"/>
          <w:szCs w:val="20"/>
          <w:lang w:val="pt-BR"/>
        </w:rPr>
        <w:t>NOTA METODOLÓGICA</w:t>
      </w:r>
    </w:p>
    <w:p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826906">
        <w:rPr>
          <w:rFonts w:ascii="Arial" w:hAnsi="Arial" w:cs="Arial"/>
          <w:sz w:val="20"/>
          <w:szCs w:val="20"/>
        </w:rPr>
        <w:t>A classificação de produtos do agronegócio utilizada nesta nota foi atualizada de acordo com a Resolução CAMEX Nº 94, de 8/12/2012, que alterou a Nomenclatura Comum do MERCOSUL – NCM para adaptá-la em relação às modificações do Sistema Harmonizado de Designação e de Codificação de Mercadorias (SH-2012), que estabelece um método internacional para a classificação de mercadorias.</w:t>
      </w:r>
    </w:p>
    <w:p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rsidR="00C87B02" w:rsidRPr="00826906" w:rsidRDefault="00C87B02" w:rsidP="00E316DA">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r w:rsidRPr="00826906">
        <w:rPr>
          <w:rFonts w:ascii="Arial" w:hAnsi="Arial" w:cs="Arial"/>
          <w:sz w:val="20"/>
          <w:szCs w:val="20"/>
        </w:rPr>
        <w:t xml:space="preserve">A Balança Comercial do Agronegócio utiliza uma classificação dos produtos do agronegócio que reúne 2.867 </w:t>
      </w:r>
      <w:proofErr w:type="spellStart"/>
      <w:r w:rsidRPr="00826906">
        <w:rPr>
          <w:rFonts w:ascii="Arial" w:hAnsi="Arial" w:cs="Arial"/>
          <w:sz w:val="20"/>
          <w:szCs w:val="20"/>
        </w:rPr>
        <w:t>NCM’s</w:t>
      </w:r>
      <w:proofErr w:type="spellEnd"/>
      <w:r w:rsidRPr="00826906">
        <w:rPr>
          <w:rFonts w:ascii="Arial" w:hAnsi="Arial" w:cs="Arial"/>
          <w:sz w:val="20"/>
          <w:szCs w:val="20"/>
        </w:rPr>
        <w:t xml:space="preserve"> em 25 setores. Essa é a mesma classificação utilizada no AGROSTAT BRASIL - base de dados </w:t>
      </w:r>
      <w:proofErr w:type="spellStart"/>
      <w:r w:rsidRPr="00826906">
        <w:rPr>
          <w:rFonts w:ascii="Arial" w:hAnsi="Arial" w:cs="Arial"/>
          <w:i/>
          <w:sz w:val="20"/>
          <w:szCs w:val="20"/>
        </w:rPr>
        <w:t>on</w:t>
      </w:r>
      <w:proofErr w:type="spellEnd"/>
      <w:r w:rsidRPr="00826906">
        <w:rPr>
          <w:rFonts w:ascii="Arial" w:hAnsi="Arial" w:cs="Arial"/>
          <w:i/>
          <w:sz w:val="20"/>
          <w:szCs w:val="20"/>
        </w:rPr>
        <w:t xml:space="preserve"> </w:t>
      </w:r>
      <w:proofErr w:type="spellStart"/>
      <w:r w:rsidRPr="00826906">
        <w:rPr>
          <w:rFonts w:ascii="Arial" w:hAnsi="Arial" w:cs="Arial"/>
          <w:i/>
          <w:sz w:val="20"/>
          <w:szCs w:val="20"/>
        </w:rPr>
        <w:t>line</w:t>
      </w:r>
      <w:proofErr w:type="spellEnd"/>
      <w:r w:rsidRPr="00826906">
        <w:rPr>
          <w:rFonts w:ascii="Arial" w:hAnsi="Arial" w:cs="Arial"/>
          <w:sz w:val="20"/>
          <w:szCs w:val="20"/>
        </w:rPr>
        <w:t xml:space="preserve"> que oferece uma visão detalhada e atualizada das exportações e importações brasileiras do agronegócio. Mais informações da metodologia e classificação podem ser consultadas no site: </w:t>
      </w:r>
      <w:hyperlink r:id="rId14" w:history="1">
        <w:r w:rsidRPr="00826906">
          <w:rPr>
            <w:rStyle w:val="Hyperlink"/>
            <w:rFonts w:ascii="Arial" w:hAnsi="Arial" w:cs="Arial"/>
            <w:sz w:val="20"/>
            <w:szCs w:val="20"/>
          </w:rPr>
          <w:t>agrostat.agricultura.gov.br</w:t>
        </w:r>
      </w:hyperlink>
      <w:r w:rsidRPr="00826906">
        <w:rPr>
          <w:rFonts w:ascii="Arial" w:hAnsi="Arial" w:cs="Arial"/>
          <w:sz w:val="20"/>
          <w:szCs w:val="20"/>
        </w:rPr>
        <w:t xml:space="preserve"> </w:t>
      </w:r>
    </w:p>
    <w:p w:rsidR="00C87B02" w:rsidRPr="00826906" w:rsidRDefault="00C87B02">
      <w:pPr>
        <w:pBdr>
          <w:top w:val="single" w:sz="4" w:space="1" w:color="auto"/>
          <w:left w:val="single" w:sz="4" w:space="4" w:color="auto"/>
          <w:bottom w:val="single" w:sz="4" w:space="1" w:color="auto"/>
          <w:right w:val="single" w:sz="4" w:space="4" w:color="auto"/>
        </w:pBdr>
        <w:autoSpaceDE w:val="0"/>
        <w:autoSpaceDN w:val="0"/>
        <w:adjustRightInd w:val="0"/>
        <w:ind w:firstLine="708"/>
        <w:jc w:val="both"/>
        <w:rPr>
          <w:rFonts w:ascii="Arial" w:hAnsi="Arial" w:cs="Arial"/>
          <w:sz w:val="20"/>
          <w:szCs w:val="20"/>
        </w:rPr>
      </w:pPr>
    </w:p>
    <w:p w:rsidR="00C87B02" w:rsidRPr="00826906" w:rsidRDefault="00C87B02">
      <w:pPr>
        <w:pStyle w:val="Ttulo2"/>
        <w:jc w:val="right"/>
        <w:rPr>
          <w:rFonts w:ascii="Arial" w:hAnsi="Arial" w:cs="Arial"/>
          <w:b/>
          <w:sz w:val="20"/>
        </w:rPr>
      </w:pPr>
    </w:p>
    <w:p w:rsidR="00C87B02" w:rsidRPr="00826906" w:rsidRDefault="00C87B02">
      <w:pPr>
        <w:pStyle w:val="Ttulo2"/>
        <w:jc w:val="right"/>
        <w:rPr>
          <w:rFonts w:ascii="Arial" w:hAnsi="Arial" w:cs="Arial"/>
          <w:b/>
          <w:sz w:val="20"/>
        </w:rPr>
      </w:pPr>
      <w:r w:rsidRPr="00826906">
        <w:rPr>
          <w:rFonts w:ascii="Arial" w:hAnsi="Arial" w:cs="Arial"/>
          <w:b/>
          <w:sz w:val="20"/>
        </w:rPr>
        <w:t>MAPA/S</w:t>
      </w:r>
      <w:r w:rsidR="00056A9E">
        <w:rPr>
          <w:rFonts w:ascii="Arial" w:hAnsi="Arial" w:cs="Arial"/>
          <w:b/>
          <w:sz w:val="20"/>
        </w:rPr>
        <w:t>C</w:t>
      </w:r>
      <w:r w:rsidRPr="00826906">
        <w:rPr>
          <w:rFonts w:ascii="Arial" w:hAnsi="Arial" w:cs="Arial"/>
          <w:b/>
          <w:sz w:val="20"/>
        </w:rPr>
        <w:t>RI/D</w:t>
      </w:r>
      <w:r w:rsidR="00056A9E">
        <w:rPr>
          <w:rFonts w:ascii="Arial" w:hAnsi="Arial" w:cs="Arial"/>
          <w:b/>
          <w:sz w:val="20"/>
        </w:rPr>
        <w:t>CNC</w:t>
      </w:r>
    </w:p>
    <w:p w:rsidR="00C87B02" w:rsidRPr="00826906" w:rsidRDefault="00C87B02">
      <w:pPr>
        <w:pStyle w:val="Recuodecorpodetexto"/>
        <w:jc w:val="right"/>
        <w:rPr>
          <w:rFonts w:ascii="Arial" w:hAnsi="Arial" w:cs="Arial"/>
          <w:sz w:val="20"/>
          <w:szCs w:val="20"/>
        </w:rPr>
      </w:pPr>
      <w:r w:rsidRPr="00826906">
        <w:rPr>
          <w:rFonts w:ascii="Arial" w:hAnsi="Arial" w:cs="Arial"/>
          <w:sz w:val="20"/>
          <w:szCs w:val="20"/>
        </w:rPr>
        <w:t xml:space="preserve"> </w:t>
      </w:r>
      <w:r w:rsidR="00056A9E">
        <w:rPr>
          <w:rFonts w:ascii="Arial" w:hAnsi="Arial" w:cs="Arial"/>
          <w:sz w:val="20"/>
          <w:szCs w:val="20"/>
        </w:rPr>
        <w:t>11/02</w:t>
      </w:r>
      <w:r w:rsidR="0049444C">
        <w:rPr>
          <w:rFonts w:ascii="Arial" w:hAnsi="Arial" w:cs="Arial"/>
          <w:sz w:val="20"/>
          <w:szCs w:val="20"/>
        </w:rPr>
        <w:t>/2019</w:t>
      </w:r>
    </w:p>
    <w:sectPr w:rsidR="00C87B02" w:rsidRPr="00826906" w:rsidSect="00C2569A">
      <w:footerReference w:type="even" r:id="rId15"/>
      <w:footerReference w:type="default" r:id="rId16"/>
      <w:pgSz w:w="11907" w:h="16840" w:code="9"/>
      <w:pgMar w:top="851" w:right="851" w:bottom="851" w:left="851" w:header="0"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186" w:rsidRDefault="00F35186">
      <w:r>
        <w:separator/>
      </w:r>
    </w:p>
  </w:endnote>
  <w:endnote w:type="continuationSeparator" w:id="0">
    <w:p w:rsidR="00F35186" w:rsidRDefault="00F35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40" w:rsidRDefault="008F4F4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F4F40" w:rsidRDefault="008F4F4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F40" w:rsidRPr="000754DD" w:rsidRDefault="008F4F40">
    <w:pPr>
      <w:pStyle w:val="Rodap"/>
      <w:framePr w:wrap="around" w:vAnchor="text" w:hAnchor="margin" w:xAlign="center" w:y="1"/>
      <w:rPr>
        <w:rStyle w:val="Nmerodepgina"/>
        <w:rFonts w:ascii="Arial" w:hAnsi="Arial" w:cs="Arial"/>
        <w:sz w:val="16"/>
        <w:szCs w:val="16"/>
      </w:rPr>
    </w:pPr>
    <w:r w:rsidRPr="000754DD">
      <w:rPr>
        <w:rStyle w:val="Nmerodepgina"/>
        <w:rFonts w:ascii="Arial" w:hAnsi="Arial" w:cs="Arial"/>
        <w:sz w:val="16"/>
        <w:szCs w:val="16"/>
      </w:rPr>
      <w:fldChar w:fldCharType="begin"/>
    </w:r>
    <w:r w:rsidRPr="000754DD">
      <w:rPr>
        <w:rStyle w:val="Nmerodepgina"/>
        <w:rFonts w:ascii="Arial" w:hAnsi="Arial" w:cs="Arial"/>
        <w:sz w:val="16"/>
        <w:szCs w:val="16"/>
      </w:rPr>
      <w:instrText xml:space="preserve">PAGE  </w:instrText>
    </w:r>
    <w:r w:rsidRPr="000754DD">
      <w:rPr>
        <w:rStyle w:val="Nmerodepgina"/>
        <w:rFonts w:ascii="Arial" w:hAnsi="Arial" w:cs="Arial"/>
        <w:sz w:val="16"/>
        <w:szCs w:val="16"/>
      </w:rPr>
      <w:fldChar w:fldCharType="separate"/>
    </w:r>
    <w:r w:rsidR="00F13231">
      <w:rPr>
        <w:rStyle w:val="Nmerodepgina"/>
        <w:rFonts w:ascii="Arial" w:hAnsi="Arial" w:cs="Arial"/>
        <w:noProof/>
        <w:sz w:val="16"/>
        <w:szCs w:val="16"/>
      </w:rPr>
      <w:t>3</w:t>
    </w:r>
    <w:r w:rsidRPr="000754DD">
      <w:rPr>
        <w:rStyle w:val="Nmerodepgina"/>
        <w:rFonts w:ascii="Arial" w:hAnsi="Arial" w:cs="Arial"/>
        <w:sz w:val="16"/>
        <w:szCs w:val="16"/>
      </w:rPr>
      <w:fldChar w:fldCharType="end"/>
    </w:r>
  </w:p>
  <w:p w:rsidR="008F4F40" w:rsidRDefault="008F4F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186" w:rsidRDefault="00F35186">
      <w:r>
        <w:separator/>
      </w:r>
    </w:p>
  </w:footnote>
  <w:footnote w:type="continuationSeparator" w:id="0">
    <w:p w:rsidR="00F35186" w:rsidRDefault="00F351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4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2A5"/>
    <w:rsid w:val="000014D2"/>
    <w:rsid w:val="0000209E"/>
    <w:rsid w:val="0000254E"/>
    <w:rsid w:val="000036C3"/>
    <w:rsid w:val="0000402A"/>
    <w:rsid w:val="00004903"/>
    <w:rsid w:val="00006103"/>
    <w:rsid w:val="00006262"/>
    <w:rsid w:val="00006ECB"/>
    <w:rsid w:val="00007083"/>
    <w:rsid w:val="000076AB"/>
    <w:rsid w:val="00007D32"/>
    <w:rsid w:val="00010A70"/>
    <w:rsid w:val="00013681"/>
    <w:rsid w:val="00013B15"/>
    <w:rsid w:val="00013C10"/>
    <w:rsid w:val="0001553F"/>
    <w:rsid w:val="000166CF"/>
    <w:rsid w:val="00017D67"/>
    <w:rsid w:val="00017F9E"/>
    <w:rsid w:val="00023523"/>
    <w:rsid w:val="00023700"/>
    <w:rsid w:val="00024620"/>
    <w:rsid w:val="000246E5"/>
    <w:rsid w:val="00024774"/>
    <w:rsid w:val="00025562"/>
    <w:rsid w:val="0002567E"/>
    <w:rsid w:val="0002592B"/>
    <w:rsid w:val="00026C30"/>
    <w:rsid w:val="00027B9D"/>
    <w:rsid w:val="00027CD6"/>
    <w:rsid w:val="00027FBF"/>
    <w:rsid w:val="000301F8"/>
    <w:rsid w:val="00030275"/>
    <w:rsid w:val="0003161E"/>
    <w:rsid w:val="00031A57"/>
    <w:rsid w:val="0003291F"/>
    <w:rsid w:val="000329DF"/>
    <w:rsid w:val="000348EF"/>
    <w:rsid w:val="00034D11"/>
    <w:rsid w:val="000354EE"/>
    <w:rsid w:val="00035920"/>
    <w:rsid w:val="00035927"/>
    <w:rsid w:val="00035E51"/>
    <w:rsid w:val="000400E7"/>
    <w:rsid w:val="00040781"/>
    <w:rsid w:val="00040AAD"/>
    <w:rsid w:val="00040CEE"/>
    <w:rsid w:val="0004141A"/>
    <w:rsid w:val="0004188A"/>
    <w:rsid w:val="00041926"/>
    <w:rsid w:val="00041C47"/>
    <w:rsid w:val="000421AD"/>
    <w:rsid w:val="00042DA0"/>
    <w:rsid w:val="00043C91"/>
    <w:rsid w:val="00045520"/>
    <w:rsid w:val="00045689"/>
    <w:rsid w:val="000456E0"/>
    <w:rsid w:val="0004621E"/>
    <w:rsid w:val="00047101"/>
    <w:rsid w:val="00047F65"/>
    <w:rsid w:val="00051416"/>
    <w:rsid w:val="00053736"/>
    <w:rsid w:val="000542D8"/>
    <w:rsid w:val="00055505"/>
    <w:rsid w:val="00056A9E"/>
    <w:rsid w:val="00056B26"/>
    <w:rsid w:val="00057E53"/>
    <w:rsid w:val="00060DB6"/>
    <w:rsid w:val="00060E48"/>
    <w:rsid w:val="00060ECE"/>
    <w:rsid w:val="00063D9B"/>
    <w:rsid w:val="00063DE6"/>
    <w:rsid w:val="00066372"/>
    <w:rsid w:val="00066406"/>
    <w:rsid w:val="000666A5"/>
    <w:rsid w:val="000676F5"/>
    <w:rsid w:val="00067C72"/>
    <w:rsid w:val="000708D1"/>
    <w:rsid w:val="00070FDC"/>
    <w:rsid w:val="0007199F"/>
    <w:rsid w:val="0007208F"/>
    <w:rsid w:val="000728BD"/>
    <w:rsid w:val="00072A5A"/>
    <w:rsid w:val="00072BF1"/>
    <w:rsid w:val="000735F0"/>
    <w:rsid w:val="00073B00"/>
    <w:rsid w:val="0007448A"/>
    <w:rsid w:val="00074CFD"/>
    <w:rsid w:val="00074FEC"/>
    <w:rsid w:val="000754DD"/>
    <w:rsid w:val="00076763"/>
    <w:rsid w:val="000777E6"/>
    <w:rsid w:val="00080CDD"/>
    <w:rsid w:val="000838F3"/>
    <w:rsid w:val="0008675A"/>
    <w:rsid w:val="00086BE6"/>
    <w:rsid w:val="00087349"/>
    <w:rsid w:val="00091B89"/>
    <w:rsid w:val="00092CA9"/>
    <w:rsid w:val="000930DA"/>
    <w:rsid w:val="00093FC9"/>
    <w:rsid w:val="0009438C"/>
    <w:rsid w:val="00094CD8"/>
    <w:rsid w:val="00094EAB"/>
    <w:rsid w:val="000950D3"/>
    <w:rsid w:val="00096E13"/>
    <w:rsid w:val="000976B6"/>
    <w:rsid w:val="000978BB"/>
    <w:rsid w:val="00097960"/>
    <w:rsid w:val="00097ADA"/>
    <w:rsid w:val="00097AEB"/>
    <w:rsid w:val="000A0879"/>
    <w:rsid w:val="000A0E3C"/>
    <w:rsid w:val="000A12CC"/>
    <w:rsid w:val="000A14AC"/>
    <w:rsid w:val="000A16C5"/>
    <w:rsid w:val="000A3C7F"/>
    <w:rsid w:val="000A412F"/>
    <w:rsid w:val="000A58CA"/>
    <w:rsid w:val="000A6462"/>
    <w:rsid w:val="000A6B29"/>
    <w:rsid w:val="000A7772"/>
    <w:rsid w:val="000B1245"/>
    <w:rsid w:val="000B1599"/>
    <w:rsid w:val="000B2CCF"/>
    <w:rsid w:val="000B4CB7"/>
    <w:rsid w:val="000B617B"/>
    <w:rsid w:val="000B6F56"/>
    <w:rsid w:val="000B778B"/>
    <w:rsid w:val="000C0B2D"/>
    <w:rsid w:val="000C101E"/>
    <w:rsid w:val="000C1354"/>
    <w:rsid w:val="000C4843"/>
    <w:rsid w:val="000C4CA1"/>
    <w:rsid w:val="000C4E0B"/>
    <w:rsid w:val="000C5899"/>
    <w:rsid w:val="000C5BC6"/>
    <w:rsid w:val="000C64AB"/>
    <w:rsid w:val="000C6B89"/>
    <w:rsid w:val="000D0A1C"/>
    <w:rsid w:val="000D0A49"/>
    <w:rsid w:val="000D1791"/>
    <w:rsid w:val="000D26FA"/>
    <w:rsid w:val="000D279E"/>
    <w:rsid w:val="000D39E2"/>
    <w:rsid w:val="000D4068"/>
    <w:rsid w:val="000D5591"/>
    <w:rsid w:val="000D5BE5"/>
    <w:rsid w:val="000E03A7"/>
    <w:rsid w:val="000E0754"/>
    <w:rsid w:val="000E1F98"/>
    <w:rsid w:val="000E3005"/>
    <w:rsid w:val="000E33C3"/>
    <w:rsid w:val="000E398E"/>
    <w:rsid w:val="000E39A2"/>
    <w:rsid w:val="000E3FFC"/>
    <w:rsid w:val="000E42AC"/>
    <w:rsid w:val="000E4AF7"/>
    <w:rsid w:val="000E4D0B"/>
    <w:rsid w:val="000E7154"/>
    <w:rsid w:val="000E7667"/>
    <w:rsid w:val="000E7821"/>
    <w:rsid w:val="000F20EC"/>
    <w:rsid w:val="000F2478"/>
    <w:rsid w:val="000F3A73"/>
    <w:rsid w:val="000F4768"/>
    <w:rsid w:val="000F5D88"/>
    <w:rsid w:val="000F67E1"/>
    <w:rsid w:val="000F6FB8"/>
    <w:rsid w:val="000F7529"/>
    <w:rsid w:val="000F7E4B"/>
    <w:rsid w:val="000F7E56"/>
    <w:rsid w:val="001002A5"/>
    <w:rsid w:val="001009DA"/>
    <w:rsid w:val="00102086"/>
    <w:rsid w:val="00102714"/>
    <w:rsid w:val="001028A9"/>
    <w:rsid w:val="00102FA0"/>
    <w:rsid w:val="00103608"/>
    <w:rsid w:val="00103A27"/>
    <w:rsid w:val="0010432D"/>
    <w:rsid w:val="00104345"/>
    <w:rsid w:val="00106AE7"/>
    <w:rsid w:val="0011004F"/>
    <w:rsid w:val="0011065F"/>
    <w:rsid w:val="0011143D"/>
    <w:rsid w:val="001120A0"/>
    <w:rsid w:val="0011278C"/>
    <w:rsid w:val="00112CB5"/>
    <w:rsid w:val="0011359A"/>
    <w:rsid w:val="00114060"/>
    <w:rsid w:val="001145E1"/>
    <w:rsid w:val="00114767"/>
    <w:rsid w:val="001148DB"/>
    <w:rsid w:val="00116244"/>
    <w:rsid w:val="00116DF6"/>
    <w:rsid w:val="001172F2"/>
    <w:rsid w:val="00120C53"/>
    <w:rsid w:val="00120FC3"/>
    <w:rsid w:val="001214F0"/>
    <w:rsid w:val="00121674"/>
    <w:rsid w:val="00121B82"/>
    <w:rsid w:val="001230EB"/>
    <w:rsid w:val="00123AEA"/>
    <w:rsid w:val="00123C08"/>
    <w:rsid w:val="00124184"/>
    <w:rsid w:val="00124275"/>
    <w:rsid w:val="001248CD"/>
    <w:rsid w:val="00125976"/>
    <w:rsid w:val="00127EF3"/>
    <w:rsid w:val="001302B1"/>
    <w:rsid w:val="00130896"/>
    <w:rsid w:val="00130BEF"/>
    <w:rsid w:val="00131883"/>
    <w:rsid w:val="00131C03"/>
    <w:rsid w:val="00132734"/>
    <w:rsid w:val="001343E9"/>
    <w:rsid w:val="00134A6E"/>
    <w:rsid w:val="00135398"/>
    <w:rsid w:val="00135405"/>
    <w:rsid w:val="00135BA2"/>
    <w:rsid w:val="001360B0"/>
    <w:rsid w:val="00136B69"/>
    <w:rsid w:val="00136D9F"/>
    <w:rsid w:val="00137206"/>
    <w:rsid w:val="00137272"/>
    <w:rsid w:val="0013770C"/>
    <w:rsid w:val="00140494"/>
    <w:rsid w:val="00140CC4"/>
    <w:rsid w:val="001410C3"/>
    <w:rsid w:val="00142592"/>
    <w:rsid w:val="00142F1E"/>
    <w:rsid w:val="00143382"/>
    <w:rsid w:val="00144082"/>
    <w:rsid w:val="0014413D"/>
    <w:rsid w:val="00144D60"/>
    <w:rsid w:val="0014572B"/>
    <w:rsid w:val="0014658F"/>
    <w:rsid w:val="0014766D"/>
    <w:rsid w:val="001479CC"/>
    <w:rsid w:val="00147F3E"/>
    <w:rsid w:val="0015012C"/>
    <w:rsid w:val="00150D5F"/>
    <w:rsid w:val="00151988"/>
    <w:rsid w:val="00153702"/>
    <w:rsid w:val="00155044"/>
    <w:rsid w:val="001553E1"/>
    <w:rsid w:val="0015622C"/>
    <w:rsid w:val="00156437"/>
    <w:rsid w:val="00157AFB"/>
    <w:rsid w:val="00161E99"/>
    <w:rsid w:val="001631E2"/>
    <w:rsid w:val="001653C9"/>
    <w:rsid w:val="001654D4"/>
    <w:rsid w:val="00165A56"/>
    <w:rsid w:val="001668BA"/>
    <w:rsid w:val="00166F09"/>
    <w:rsid w:val="00167040"/>
    <w:rsid w:val="00167101"/>
    <w:rsid w:val="00167A20"/>
    <w:rsid w:val="00171552"/>
    <w:rsid w:val="001715EE"/>
    <w:rsid w:val="00171A0D"/>
    <w:rsid w:val="00172239"/>
    <w:rsid w:val="0017334E"/>
    <w:rsid w:val="001737BF"/>
    <w:rsid w:val="001739E0"/>
    <w:rsid w:val="00173C33"/>
    <w:rsid w:val="001740EF"/>
    <w:rsid w:val="0017415F"/>
    <w:rsid w:val="00175DF5"/>
    <w:rsid w:val="00175FD4"/>
    <w:rsid w:val="001765E5"/>
    <w:rsid w:val="001768DC"/>
    <w:rsid w:val="00177C36"/>
    <w:rsid w:val="00180987"/>
    <w:rsid w:val="00181959"/>
    <w:rsid w:val="00181A5E"/>
    <w:rsid w:val="00181F12"/>
    <w:rsid w:val="001845DB"/>
    <w:rsid w:val="001855B7"/>
    <w:rsid w:val="001877D0"/>
    <w:rsid w:val="00187C56"/>
    <w:rsid w:val="0019065E"/>
    <w:rsid w:val="00191D61"/>
    <w:rsid w:val="00192430"/>
    <w:rsid w:val="00193C52"/>
    <w:rsid w:val="00193F46"/>
    <w:rsid w:val="0019506D"/>
    <w:rsid w:val="001950E2"/>
    <w:rsid w:val="001965D0"/>
    <w:rsid w:val="00196B83"/>
    <w:rsid w:val="001A002C"/>
    <w:rsid w:val="001A0A6C"/>
    <w:rsid w:val="001A0C5C"/>
    <w:rsid w:val="001A1062"/>
    <w:rsid w:val="001A1AD0"/>
    <w:rsid w:val="001A1F94"/>
    <w:rsid w:val="001A29EA"/>
    <w:rsid w:val="001A3C0C"/>
    <w:rsid w:val="001A47BE"/>
    <w:rsid w:val="001A4C12"/>
    <w:rsid w:val="001A551F"/>
    <w:rsid w:val="001A5F2C"/>
    <w:rsid w:val="001A69E4"/>
    <w:rsid w:val="001A7D65"/>
    <w:rsid w:val="001B0348"/>
    <w:rsid w:val="001B15A0"/>
    <w:rsid w:val="001B18D8"/>
    <w:rsid w:val="001B21EA"/>
    <w:rsid w:val="001B23D6"/>
    <w:rsid w:val="001B272C"/>
    <w:rsid w:val="001B290B"/>
    <w:rsid w:val="001B48AD"/>
    <w:rsid w:val="001B5153"/>
    <w:rsid w:val="001B5F0E"/>
    <w:rsid w:val="001B7C51"/>
    <w:rsid w:val="001B7EA7"/>
    <w:rsid w:val="001C10B3"/>
    <w:rsid w:val="001C182B"/>
    <w:rsid w:val="001C2AFB"/>
    <w:rsid w:val="001C2BE2"/>
    <w:rsid w:val="001C3C0D"/>
    <w:rsid w:val="001C499D"/>
    <w:rsid w:val="001C75BF"/>
    <w:rsid w:val="001C7639"/>
    <w:rsid w:val="001D1357"/>
    <w:rsid w:val="001D3304"/>
    <w:rsid w:val="001D35D6"/>
    <w:rsid w:val="001D3640"/>
    <w:rsid w:val="001D51EE"/>
    <w:rsid w:val="001D5DA7"/>
    <w:rsid w:val="001E005F"/>
    <w:rsid w:val="001E2DBF"/>
    <w:rsid w:val="001E3298"/>
    <w:rsid w:val="001E3EA2"/>
    <w:rsid w:val="001E4FEE"/>
    <w:rsid w:val="001E605F"/>
    <w:rsid w:val="001E649C"/>
    <w:rsid w:val="001F03E4"/>
    <w:rsid w:val="001F1E12"/>
    <w:rsid w:val="001F1E86"/>
    <w:rsid w:val="001F25CA"/>
    <w:rsid w:val="001F304D"/>
    <w:rsid w:val="001F39C4"/>
    <w:rsid w:val="001F59FD"/>
    <w:rsid w:val="001F6377"/>
    <w:rsid w:val="001F6BD9"/>
    <w:rsid w:val="00200422"/>
    <w:rsid w:val="00200C1F"/>
    <w:rsid w:val="00201721"/>
    <w:rsid w:val="00201EB6"/>
    <w:rsid w:val="0020228A"/>
    <w:rsid w:val="00202D83"/>
    <w:rsid w:val="00202E7D"/>
    <w:rsid w:val="002037B1"/>
    <w:rsid w:val="00203C2C"/>
    <w:rsid w:val="00204020"/>
    <w:rsid w:val="002048AD"/>
    <w:rsid w:val="0020496C"/>
    <w:rsid w:val="00204E09"/>
    <w:rsid w:val="00204E55"/>
    <w:rsid w:val="00205177"/>
    <w:rsid w:val="00206CCC"/>
    <w:rsid w:val="0020757C"/>
    <w:rsid w:val="002104CA"/>
    <w:rsid w:val="002106CF"/>
    <w:rsid w:val="0021144F"/>
    <w:rsid w:val="00211702"/>
    <w:rsid w:val="00214201"/>
    <w:rsid w:val="00214566"/>
    <w:rsid w:val="0021521E"/>
    <w:rsid w:val="0021634D"/>
    <w:rsid w:val="00216841"/>
    <w:rsid w:val="002175BC"/>
    <w:rsid w:val="00217690"/>
    <w:rsid w:val="0021787B"/>
    <w:rsid w:val="00220165"/>
    <w:rsid w:val="00224391"/>
    <w:rsid w:val="00224683"/>
    <w:rsid w:val="0022533F"/>
    <w:rsid w:val="002259FA"/>
    <w:rsid w:val="00230941"/>
    <w:rsid w:val="00230FEE"/>
    <w:rsid w:val="00231034"/>
    <w:rsid w:val="0023186C"/>
    <w:rsid w:val="00232DF4"/>
    <w:rsid w:val="00232F99"/>
    <w:rsid w:val="00233BE6"/>
    <w:rsid w:val="00233C69"/>
    <w:rsid w:val="0023409D"/>
    <w:rsid w:val="00234BDA"/>
    <w:rsid w:val="00235D98"/>
    <w:rsid w:val="002365E6"/>
    <w:rsid w:val="00236C8A"/>
    <w:rsid w:val="0023726D"/>
    <w:rsid w:val="00240914"/>
    <w:rsid w:val="00243565"/>
    <w:rsid w:val="00244DAD"/>
    <w:rsid w:val="00244FFD"/>
    <w:rsid w:val="00246FFB"/>
    <w:rsid w:val="0025029B"/>
    <w:rsid w:val="00252568"/>
    <w:rsid w:val="00253BAB"/>
    <w:rsid w:val="00253F6E"/>
    <w:rsid w:val="0025449A"/>
    <w:rsid w:val="00256A85"/>
    <w:rsid w:val="0025703A"/>
    <w:rsid w:val="00257972"/>
    <w:rsid w:val="00257CA9"/>
    <w:rsid w:val="00260952"/>
    <w:rsid w:val="00260A3D"/>
    <w:rsid w:val="00261D76"/>
    <w:rsid w:val="00262474"/>
    <w:rsid w:val="0026519E"/>
    <w:rsid w:val="00265916"/>
    <w:rsid w:val="00265B91"/>
    <w:rsid w:val="0026638C"/>
    <w:rsid w:val="00266F5A"/>
    <w:rsid w:val="00267384"/>
    <w:rsid w:val="00270FB8"/>
    <w:rsid w:val="00272B5F"/>
    <w:rsid w:val="00273ED5"/>
    <w:rsid w:val="00274325"/>
    <w:rsid w:val="002759C4"/>
    <w:rsid w:val="00275FD2"/>
    <w:rsid w:val="002765C2"/>
    <w:rsid w:val="0027693B"/>
    <w:rsid w:val="00277191"/>
    <w:rsid w:val="00280B61"/>
    <w:rsid w:val="00280D1E"/>
    <w:rsid w:val="00280F43"/>
    <w:rsid w:val="00281796"/>
    <w:rsid w:val="00281CB4"/>
    <w:rsid w:val="00282463"/>
    <w:rsid w:val="002825B3"/>
    <w:rsid w:val="00282A21"/>
    <w:rsid w:val="002834B5"/>
    <w:rsid w:val="002846ED"/>
    <w:rsid w:val="00286307"/>
    <w:rsid w:val="00286682"/>
    <w:rsid w:val="00286980"/>
    <w:rsid w:val="00286EB2"/>
    <w:rsid w:val="0028796C"/>
    <w:rsid w:val="00287BF8"/>
    <w:rsid w:val="00287C5B"/>
    <w:rsid w:val="002905B3"/>
    <w:rsid w:val="00292902"/>
    <w:rsid w:val="00292C37"/>
    <w:rsid w:val="00292F48"/>
    <w:rsid w:val="002954AE"/>
    <w:rsid w:val="002954F3"/>
    <w:rsid w:val="0029641D"/>
    <w:rsid w:val="00296626"/>
    <w:rsid w:val="002A0A91"/>
    <w:rsid w:val="002A451B"/>
    <w:rsid w:val="002A4B0B"/>
    <w:rsid w:val="002A50D8"/>
    <w:rsid w:val="002A5A16"/>
    <w:rsid w:val="002A5B80"/>
    <w:rsid w:val="002A5D48"/>
    <w:rsid w:val="002A699C"/>
    <w:rsid w:val="002A69F4"/>
    <w:rsid w:val="002A7051"/>
    <w:rsid w:val="002A707F"/>
    <w:rsid w:val="002A7318"/>
    <w:rsid w:val="002A750D"/>
    <w:rsid w:val="002A7843"/>
    <w:rsid w:val="002B0032"/>
    <w:rsid w:val="002B0264"/>
    <w:rsid w:val="002B0AA4"/>
    <w:rsid w:val="002B0BBC"/>
    <w:rsid w:val="002B1708"/>
    <w:rsid w:val="002B19C3"/>
    <w:rsid w:val="002B225F"/>
    <w:rsid w:val="002B3FF6"/>
    <w:rsid w:val="002B3FFA"/>
    <w:rsid w:val="002B40D1"/>
    <w:rsid w:val="002B4209"/>
    <w:rsid w:val="002B48DF"/>
    <w:rsid w:val="002B4BFF"/>
    <w:rsid w:val="002B5200"/>
    <w:rsid w:val="002B6586"/>
    <w:rsid w:val="002B728E"/>
    <w:rsid w:val="002B76D5"/>
    <w:rsid w:val="002C006D"/>
    <w:rsid w:val="002C0364"/>
    <w:rsid w:val="002C0938"/>
    <w:rsid w:val="002C2E49"/>
    <w:rsid w:val="002C2EBD"/>
    <w:rsid w:val="002C41FE"/>
    <w:rsid w:val="002C5A64"/>
    <w:rsid w:val="002C61C3"/>
    <w:rsid w:val="002C71CF"/>
    <w:rsid w:val="002D057E"/>
    <w:rsid w:val="002D15C6"/>
    <w:rsid w:val="002D198F"/>
    <w:rsid w:val="002D2497"/>
    <w:rsid w:val="002D35B6"/>
    <w:rsid w:val="002D37D5"/>
    <w:rsid w:val="002D4505"/>
    <w:rsid w:val="002D5693"/>
    <w:rsid w:val="002D58E0"/>
    <w:rsid w:val="002D6145"/>
    <w:rsid w:val="002D6B4E"/>
    <w:rsid w:val="002D6E77"/>
    <w:rsid w:val="002D7367"/>
    <w:rsid w:val="002E05B8"/>
    <w:rsid w:val="002E1A76"/>
    <w:rsid w:val="002E1D8A"/>
    <w:rsid w:val="002E2A6B"/>
    <w:rsid w:val="002E416C"/>
    <w:rsid w:val="002E50B6"/>
    <w:rsid w:val="002E50CA"/>
    <w:rsid w:val="002E5A8C"/>
    <w:rsid w:val="002E64B9"/>
    <w:rsid w:val="002E6B13"/>
    <w:rsid w:val="002E6CA1"/>
    <w:rsid w:val="002E7085"/>
    <w:rsid w:val="002E78F4"/>
    <w:rsid w:val="002F00B6"/>
    <w:rsid w:val="002F2AA2"/>
    <w:rsid w:val="002F37D6"/>
    <w:rsid w:val="002F4822"/>
    <w:rsid w:val="002F4B47"/>
    <w:rsid w:val="002F6408"/>
    <w:rsid w:val="002F69FB"/>
    <w:rsid w:val="002F6A42"/>
    <w:rsid w:val="002F6CE0"/>
    <w:rsid w:val="00301BFC"/>
    <w:rsid w:val="00301E82"/>
    <w:rsid w:val="00302D1E"/>
    <w:rsid w:val="0030347E"/>
    <w:rsid w:val="003054FC"/>
    <w:rsid w:val="0030680F"/>
    <w:rsid w:val="0031100B"/>
    <w:rsid w:val="003114C5"/>
    <w:rsid w:val="00311EF8"/>
    <w:rsid w:val="00311F32"/>
    <w:rsid w:val="00312E0B"/>
    <w:rsid w:val="00313A73"/>
    <w:rsid w:val="003146D2"/>
    <w:rsid w:val="00314BFA"/>
    <w:rsid w:val="00316822"/>
    <w:rsid w:val="00316C31"/>
    <w:rsid w:val="003202FE"/>
    <w:rsid w:val="003213EA"/>
    <w:rsid w:val="00321FD3"/>
    <w:rsid w:val="003222A3"/>
    <w:rsid w:val="003224EB"/>
    <w:rsid w:val="00322652"/>
    <w:rsid w:val="00323974"/>
    <w:rsid w:val="00323A54"/>
    <w:rsid w:val="00324322"/>
    <w:rsid w:val="003243CC"/>
    <w:rsid w:val="00324ECE"/>
    <w:rsid w:val="00324F68"/>
    <w:rsid w:val="003259EE"/>
    <w:rsid w:val="00327472"/>
    <w:rsid w:val="00330581"/>
    <w:rsid w:val="003306C9"/>
    <w:rsid w:val="00330D35"/>
    <w:rsid w:val="00332895"/>
    <w:rsid w:val="00334232"/>
    <w:rsid w:val="00334E38"/>
    <w:rsid w:val="00334ED4"/>
    <w:rsid w:val="00334FCC"/>
    <w:rsid w:val="00335352"/>
    <w:rsid w:val="00335889"/>
    <w:rsid w:val="00335DB5"/>
    <w:rsid w:val="00336A86"/>
    <w:rsid w:val="00341FEA"/>
    <w:rsid w:val="00343CAD"/>
    <w:rsid w:val="00345AEE"/>
    <w:rsid w:val="00350F51"/>
    <w:rsid w:val="0035125D"/>
    <w:rsid w:val="00352DE2"/>
    <w:rsid w:val="00353472"/>
    <w:rsid w:val="0035436D"/>
    <w:rsid w:val="00354FF6"/>
    <w:rsid w:val="00355FCD"/>
    <w:rsid w:val="00361C71"/>
    <w:rsid w:val="003630D6"/>
    <w:rsid w:val="0036317F"/>
    <w:rsid w:val="00364842"/>
    <w:rsid w:val="00367D6B"/>
    <w:rsid w:val="00370C77"/>
    <w:rsid w:val="00370F4A"/>
    <w:rsid w:val="00372F4E"/>
    <w:rsid w:val="003734AA"/>
    <w:rsid w:val="003743B9"/>
    <w:rsid w:val="00374794"/>
    <w:rsid w:val="00374A21"/>
    <w:rsid w:val="003766EA"/>
    <w:rsid w:val="0038134C"/>
    <w:rsid w:val="003820BA"/>
    <w:rsid w:val="003823A1"/>
    <w:rsid w:val="00382526"/>
    <w:rsid w:val="00382C83"/>
    <w:rsid w:val="00383C89"/>
    <w:rsid w:val="00383D01"/>
    <w:rsid w:val="00384177"/>
    <w:rsid w:val="003862C2"/>
    <w:rsid w:val="00386C6D"/>
    <w:rsid w:val="003909E2"/>
    <w:rsid w:val="00390CD1"/>
    <w:rsid w:val="00392E0F"/>
    <w:rsid w:val="00392FC0"/>
    <w:rsid w:val="003947CB"/>
    <w:rsid w:val="003949D8"/>
    <w:rsid w:val="00394ED0"/>
    <w:rsid w:val="003952C4"/>
    <w:rsid w:val="0039561C"/>
    <w:rsid w:val="003A0B29"/>
    <w:rsid w:val="003A0E82"/>
    <w:rsid w:val="003A1348"/>
    <w:rsid w:val="003A1858"/>
    <w:rsid w:val="003A47B8"/>
    <w:rsid w:val="003A510C"/>
    <w:rsid w:val="003A7A2A"/>
    <w:rsid w:val="003B049D"/>
    <w:rsid w:val="003B0ACC"/>
    <w:rsid w:val="003B0D74"/>
    <w:rsid w:val="003B1517"/>
    <w:rsid w:val="003B1EC6"/>
    <w:rsid w:val="003B2B76"/>
    <w:rsid w:val="003B3718"/>
    <w:rsid w:val="003B5497"/>
    <w:rsid w:val="003B6186"/>
    <w:rsid w:val="003B632E"/>
    <w:rsid w:val="003B6A83"/>
    <w:rsid w:val="003B6C9F"/>
    <w:rsid w:val="003B73D5"/>
    <w:rsid w:val="003B7B3B"/>
    <w:rsid w:val="003C13B7"/>
    <w:rsid w:val="003C1449"/>
    <w:rsid w:val="003C3151"/>
    <w:rsid w:val="003C3CF6"/>
    <w:rsid w:val="003C54E1"/>
    <w:rsid w:val="003C59B2"/>
    <w:rsid w:val="003C69D0"/>
    <w:rsid w:val="003D07AA"/>
    <w:rsid w:val="003D11F0"/>
    <w:rsid w:val="003D17C5"/>
    <w:rsid w:val="003D1872"/>
    <w:rsid w:val="003D27B6"/>
    <w:rsid w:val="003D302B"/>
    <w:rsid w:val="003D31BB"/>
    <w:rsid w:val="003D39F3"/>
    <w:rsid w:val="003D3D98"/>
    <w:rsid w:val="003D4CD5"/>
    <w:rsid w:val="003D5703"/>
    <w:rsid w:val="003D62F6"/>
    <w:rsid w:val="003D7895"/>
    <w:rsid w:val="003E091B"/>
    <w:rsid w:val="003E146F"/>
    <w:rsid w:val="003E165E"/>
    <w:rsid w:val="003E1EE3"/>
    <w:rsid w:val="003E2AF6"/>
    <w:rsid w:val="003E30EC"/>
    <w:rsid w:val="003E31CD"/>
    <w:rsid w:val="003E367B"/>
    <w:rsid w:val="003E4A98"/>
    <w:rsid w:val="003E53C5"/>
    <w:rsid w:val="003E56D8"/>
    <w:rsid w:val="003E7039"/>
    <w:rsid w:val="003F07E7"/>
    <w:rsid w:val="003F0A4D"/>
    <w:rsid w:val="003F150F"/>
    <w:rsid w:val="003F1C93"/>
    <w:rsid w:val="003F2069"/>
    <w:rsid w:val="003F3106"/>
    <w:rsid w:val="003F3114"/>
    <w:rsid w:val="003F349D"/>
    <w:rsid w:val="003F4615"/>
    <w:rsid w:val="003F49CC"/>
    <w:rsid w:val="003F5D9B"/>
    <w:rsid w:val="003F71CE"/>
    <w:rsid w:val="003F73EB"/>
    <w:rsid w:val="003F79EF"/>
    <w:rsid w:val="004004D6"/>
    <w:rsid w:val="004005E8"/>
    <w:rsid w:val="004005EF"/>
    <w:rsid w:val="004012D9"/>
    <w:rsid w:val="00401A32"/>
    <w:rsid w:val="00401F39"/>
    <w:rsid w:val="00402BD6"/>
    <w:rsid w:val="004033C1"/>
    <w:rsid w:val="00403F4D"/>
    <w:rsid w:val="00405739"/>
    <w:rsid w:val="0040583E"/>
    <w:rsid w:val="00405BFA"/>
    <w:rsid w:val="00405D60"/>
    <w:rsid w:val="00406822"/>
    <w:rsid w:val="00407255"/>
    <w:rsid w:val="004130A6"/>
    <w:rsid w:val="0041356D"/>
    <w:rsid w:val="00413ADB"/>
    <w:rsid w:val="00414AB5"/>
    <w:rsid w:val="0041502E"/>
    <w:rsid w:val="00415075"/>
    <w:rsid w:val="004150FC"/>
    <w:rsid w:val="0041600B"/>
    <w:rsid w:val="004169FB"/>
    <w:rsid w:val="004215B4"/>
    <w:rsid w:val="00421D62"/>
    <w:rsid w:val="00422301"/>
    <w:rsid w:val="00422C8B"/>
    <w:rsid w:val="004233BC"/>
    <w:rsid w:val="004238B9"/>
    <w:rsid w:val="00426013"/>
    <w:rsid w:val="0042676A"/>
    <w:rsid w:val="00426779"/>
    <w:rsid w:val="00427339"/>
    <w:rsid w:val="00430556"/>
    <w:rsid w:val="00431374"/>
    <w:rsid w:val="0043165A"/>
    <w:rsid w:val="00431DFE"/>
    <w:rsid w:val="004320F4"/>
    <w:rsid w:val="00432541"/>
    <w:rsid w:val="00433948"/>
    <w:rsid w:val="00433AE8"/>
    <w:rsid w:val="004343AC"/>
    <w:rsid w:val="00434639"/>
    <w:rsid w:val="00434E4E"/>
    <w:rsid w:val="00435123"/>
    <w:rsid w:val="00435284"/>
    <w:rsid w:val="0043540E"/>
    <w:rsid w:val="004360EB"/>
    <w:rsid w:val="00436328"/>
    <w:rsid w:val="00436E8A"/>
    <w:rsid w:val="004375F6"/>
    <w:rsid w:val="00437C17"/>
    <w:rsid w:val="004418ED"/>
    <w:rsid w:val="00443955"/>
    <w:rsid w:val="00445579"/>
    <w:rsid w:val="00445D12"/>
    <w:rsid w:val="00446752"/>
    <w:rsid w:val="00446BC7"/>
    <w:rsid w:val="0044758F"/>
    <w:rsid w:val="004476F8"/>
    <w:rsid w:val="00447760"/>
    <w:rsid w:val="00450323"/>
    <w:rsid w:val="004515A0"/>
    <w:rsid w:val="00452393"/>
    <w:rsid w:val="00452B1D"/>
    <w:rsid w:val="00452EA9"/>
    <w:rsid w:val="004556F3"/>
    <w:rsid w:val="00457723"/>
    <w:rsid w:val="00457AA1"/>
    <w:rsid w:val="00457DB3"/>
    <w:rsid w:val="00463C85"/>
    <w:rsid w:val="004645F5"/>
    <w:rsid w:val="0046493C"/>
    <w:rsid w:val="00465925"/>
    <w:rsid w:val="00466B47"/>
    <w:rsid w:val="004673C8"/>
    <w:rsid w:val="00470511"/>
    <w:rsid w:val="004717FE"/>
    <w:rsid w:val="004719BB"/>
    <w:rsid w:val="004719DB"/>
    <w:rsid w:val="004731CC"/>
    <w:rsid w:val="00473237"/>
    <w:rsid w:val="00473872"/>
    <w:rsid w:val="004742BC"/>
    <w:rsid w:val="0047504C"/>
    <w:rsid w:val="0047558D"/>
    <w:rsid w:val="00475ADE"/>
    <w:rsid w:val="004772A2"/>
    <w:rsid w:val="004776F1"/>
    <w:rsid w:val="00480B14"/>
    <w:rsid w:val="00480BCC"/>
    <w:rsid w:val="00481D08"/>
    <w:rsid w:val="00482630"/>
    <w:rsid w:val="00482E82"/>
    <w:rsid w:val="004831BB"/>
    <w:rsid w:val="00483AB6"/>
    <w:rsid w:val="00484481"/>
    <w:rsid w:val="0048481F"/>
    <w:rsid w:val="00485744"/>
    <w:rsid w:val="00486ECE"/>
    <w:rsid w:val="00487FB1"/>
    <w:rsid w:val="0049174C"/>
    <w:rsid w:val="00492292"/>
    <w:rsid w:val="0049292E"/>
    <w:rsid w:val="00492C73"/>
    <w:rsid w:val="004931C5"/>
    <w:rsid w:val="0049405D"/>
    <w:rsid w:val="0049444C"/>
    <w:rsid w:val="0049568A"/>
    <w:rsid w:val="00495E53"/>
    <w:rsid w:val="00496096"/>
    <w:rsid w:val="004A00D7"/>
    <w:rsid w:val="004A019B"/>
    <w:rsid w:val="004A0AD4"/>
    <w:rsid w:val="004A106D"/>
    <w:rsid w:val="004A12EB"/>
    <w:rsid w:val="004A1E44"/>
    <w:rsid w:val="004A31C4"/>
    <w:rsid w:val="004A4252"/>
    <w:rsid w:val="004A454D"/>
    <w:rsid w:val="004A5CAF"/>
    <w:rsid w:val="004A63D2"/>
    <w:rsid w:val="004A68FB"/>
    <w:rsid w:val="004A6A6F"/>
    <w:rsid w:val="004A77C5"/>
    <w:rsid w:val="004A78A2"/>
    <w:rsid w:val="004A7FE9"/>
    <w:rsid w:val="004B0525"/>
    <w:rsid w:val="004B0DEA"/>
    <w:rsid w:val="004B151F"/>
    <w:rsid w:val="004B1A1C"/>
    <w:rsid w:val="004B289F"/>
    <w:rsid w:val="004B336A"/>
    <w:rsid w:val="004B37C4"/>
    <w:rsid w:val="004B3949"/>
    <w:rsid w:val="004B5C0A"/>
    <w:rsid w:val="004B6007"/>
    <w:rsid w:val="004B6A3B"/>
    <w:rsid w:val="004B739D"/>
    <w:rsid w:val="004B7D09"/>
    <w:rsid w:val="004C1656"/>
    <w:rsid w:val="004C191A"/>
    <w:rsid w:val="004C1E56"/>
    <w:rsid w:val="004C28BB"/>
    <w:rsid w:val="004C30A8"/>
    <w:rsid w:val="004C38B2"/>
    <w:rsid w:val="004C3A69"/>
    <w:rsid w:val="004C41CC"/>
    <w:rsid w:val="004C4B68"/>
    <w:rsid w:val="004C5467"/>
    <w:rsid w:val="004C5F79"/>
    <w:rsid w:val="004C6E0A"/>
    <w:rsid w:val="004C6EE3"/>
    <w:rsid w:val="004D12C0"/>
    <w:rsid w:val="004D17C2"/>
    <w:rsid w:val="004D46C1"/>
    <w:rsid w:val="004E065A"/>
    <w:rsid w:val="004E0700"/>
    <w:rsid w:val="004E0FE6"/>
    <w:rsid w:val="004E10B6"/>
    <w:rsid w:val="004E3415"/>
    <w:rsid w:val="004E3776"/>
    <w:rsid w:val="004E51AB"/>
    <w:rsid w:val="004E60E3"/>
    <w:rsid w:val="004E71DB"/>
    <w:rsid w:val="004E74B2"/>
    <w:rsid w:val="004F0B9D"/>
    <w:rsid w:val="004F101C"/>
    <w:rsid w:val="004F4B16"/>
    <w:rsid w:val="004F4C23"/>
    <w:rsid w:val="004F5D9D"/>
    <w:rsid w:val="004F68B1"/>
    <w:rsid w:val="004F70EC"/>
    <w:rsid w:val="004F710D"/>
    <w:rsid w:val="00500160"/>
    <w:rsid w:val="005002E2"/>
    <w:rsid w:val="00500EAF"/>
    <w:rsid w:val="005012E3"/>
    <w:rsid w:val="0050139D"/>
    <w:rsid w:val="00501795"/>
    <w:rsid w:val="00501B3F"/>
    <w:rsid w:val="00502105"/>
    <w:rsid w:val="00502FFC"/>
    <w:rsid w:val="00503EF2"/>
    <w:rsid w:val="00504C04"/>
    <w:rsid w:val="005052A2"/>
    <w:rsid w:val="0050583C"/>
    <w:rsid w:val="005069AD"/>
    <w:rsid w:val="00506B9A"/>
    <w:rsid w:val="00506D6A"/>
    <w:rsid w:val="0050737E"/>
    <w:rsid w:val="00507E5C"/>
    <w:rsid w:val="005106CE"/>
    <w:rsid w:val="005137DD"/>
    <w:rsid w:val="00513DA7"/>
    <w:rsid w:val="005153C5"/>
    <w:rsid w:val="00515548"/>
    <w:rsid w:val="00515B3A"/>
    <w:rsid w:val="00517835"/>
    <w:rsid w:val="005209A5"/>
    <w:rsid w:val="00520C74"/>
    <w:rsid w:val="005211A7"/>
    <w:rsid w:val="00522B94"/>
    <w:rsid w:val="00525E76"/>
    <w:rsid w:val="00526112"/>
    <w:rsid w:val="00526F60"/>
    <w:rsid w:val="00530B31"/>
    <w:rsid w:val="0053113E"/>
    <w:rsid w:val="00531DCE"/>
    <w:rsid w:val="00531E2F"/>
    <w:rsid w:val="005326B6"/>
    <w:rsid w:val="00532F6C"/>
    <w:rsid w:val="005334B2"/>
    <w:rsid w:val="00533766"/>
    <w:rsid w:val="0053494E"/>
    <w:rsid w:val="00534954"/>
    <w:rsid w:val="0053642E"/>
    <w:rsid w:val="00537060"/>
    <w:rsid w:val="00540A2B"/>
    <w:rsid w:val="005416D7"/>
    <w:rsid w:val="00542256"/>
    <w:rsid w:val="00543648"/>
    <w:rsid w:val="00543885"/>
    <w:rsid w:val="00544917"/>
    <w:rsid w:val="005474C2"/>
    <w:rsid w:val="005476ED"/>
    <w:rsid w:val="00550BE0"/>
    <w:rsid w:val="00553174"/>
    <w:rsid w:val="00553574"/>
    <w:rsid w:val="00553C17"/>
    <w:rsid w:val="00554A36"/>
    <w:rsid w:val="00554BA8"/>
    <w:rsid w:val="00554FBD"/>
    <w:rsid w:val="00555759"/>
    <w:rsid w:val="005558D4"/>
    <w:rsid w:val="00556259"/>
    <w:rsid w:val="00560934"/>
    <w:rsid w:val="00561A9B"/>
    <w:rsid w:val="00561C8B"/>
    <w:rsid w:val="00561DCD"/>
    <w:rsid w:val="00562601"/>
    <w:rsid w:val="00562EC0"/>
    <w:rsid w:val="00563206"/>
    <w:rsid w:val="00563922"/>
    <w:rsid w:val="00563E31"/>
    <w:rsid w:val="00564C24"/>
    <w:rsid w:val="00564DCC"/>
    <w:rsid w:val="005656C2"/>
    <w:rsid w:val="00567CF5"/>
    <w:rsid w:val="0057119B"/>
    <w:rsid w:val="0057128D"/>
    <w:rsid w:val="005729B2"/>
    <w:rsid w:val="00573EDD"/>
    <w:rsid w:val="0057461A"/>
    <w:rsid w:val="005747FB"/>
    <w:rsid w:val="00574C37"/>
    <w:rsid w:val="00575079"/>
    <w:rsid w:val="00575363"/>
    <w:rsid w:val="00575449"/>
    <w:rsid w:val="005757C4"/>
    <w:rsid w:val="00575A5D"/>
    <w:rsid w:val="005765A4"/>
    <w:rsid w:val="00576A24"/>
    <w:rsid w:val="00576B4D"/>
    <w:rsid w:val="00577DF1"/>
    <w:rsid w:val="00580A75"/>
    <w:rsid w:val="00582727"/>
    <w:rsid w:val="00583441"/>
    <w:rsid w:val="0058410D"/>
    <w:rsid w:val="005842E1"/>
    <w:rsid w:val="00584359"/>
    <w:rsid w:val="005863B1"/>
    <w:rsid w:val="0058686F"/>
    <w:rsid w:val="00587010"/>
    <w:rsid w:val="0059163E"/>
    <w:rsid w:val="005919DE"/>
    <w:rsid w:val="00592638"/>
    <w:rsid w:val="00592C77"/>
    <w:rsid w:val="00594D75"/>
    <w:rsid w:val="00595490"/>
    <w:rsid w:val="00595A34"/>
    <w:rsid w:val="00595CE1"/>
    <w:rsid w:val="005A04FC"/>
    <w:rsid w:val="005A1ADA"/>
    <w:rsid w:val="005A1EEF"/>
    <w:rsid w:val="005A2565"/>
    <w:rsid w:val="005A2EF8"/>
    <w:rsid w:val="005A34B6"/>
    <w:rsid w:val="005A3524"/>
    <w:rsid w:val="005A51F4"/>
    <w:rsid w:val="005A707C"/>
    <w:rsid w:val="005B0013"/>
    <w:rsid w:val="005B04C0"/>
    <w:rsid w:val="005B0A08"/>
    <w:rsid w:val="005B1238"/>
    <w:rsid w:val="005B173D"/>
    <w:rsid w:val="005B30F3"/>
    <w:rsid w:val="005B5B16"/>
    <w:rsid w:val="005B6B2A"/>
    <w:rsid w:val="005C01FF"/>
    <w:rsid w:val="005C1DBC"/>
    <w:rsid w:val="005C1F05"/>
    <w:rsid w:val="005C2FE7"/>
    <w:rsid w:val="005C3C51"/>
    <w:rsid w:val="005C4401"/>
    <w:rsid w:val="005C493E"/>
    <w:rsid w:val="005C4D06"/>
    <w:rsid w:val="005C4DF4"/>
    <w:rsid w:val="005C54D4"/>
    <w:rsid w:val="005C6E9D"/>
    <w:rsid w:val="005C7E19"/>
    <w:rsid w:val="005D0B74"/>
    <w:rsid w:val="005D0E00"/>
    <w:rsid w:val="005D2202"/>
    <w:rsid w:val="005D2627"/>
    <w:rsid w:val="005D294F"/>
    <w:rsid w:val="005D349E"/>
    <w:rsid w:val="005D3EDB"/>
    <w:rsid w:val="005D497D"/>
    <w:rsid w:val="005D4D9F"/>
    <w:rsid w:val="005D535C"/>
    <w:rsid w:val="005D581A"/>
    <w:rsid w:val="005D71E2"/>
    <w:rsid w:val="005D7673"/>
    <w:rsid w:val="005E00C1"/>
    <w:rsid w:val="005E26F5"/>
    <w:rsid w:val="005E387F"/>
    <w:rsid w:val="005E396F"/>
    <w:rsid w:val="005E4BC9"/>
    <w:rsid w:val="005E4C1C"/>
    <w:rsid w:val="005E67DD"/>
    <w:rsid w:val="005E726E"/>
    <w:rsid w:val="005E783E"/>
    <w:rsid w:val="005F0EDC"/>
    <w:rsid w:val="005F216C"/>
    <w:rsid w:val="005F40B5"/>
    <w:rsid w:val="005F45DB"/>
    <w:rsid w:val="005F507B"/>
    <w:rsid w:val="005F5266"/>
    <w:rsid w:val="005F66A0"/>
    <w:rsid w:val="005F69F8"/>
    <w:rsid w:val="005F6A69"/>
    <w:rsid w:val="005F7682"/>
    <w:rsid w:val="006020C0"/>
    <w:rsid w:val="006022F2"/>
    <w:rsid w:val="006029F1"/>
    <w:rsid w:val="006033BB"/>
    <w:rsid w:val="00603A63"/>
    <w:rsid w:val="00603C16"/>
    <w:rsid w:val="0060433B"/>
    <w:rsid w:val="00604CE0"/>
    <w:rsid w:val="00604F97"/>
    <w:rsid w:val="00605CCD"/>
    <w:rsid w:val="006063EA"/>
    <w:rsid w:val="00606817"/>
    <w:rsid w:val="006078EA"/>
    <w:rsid w:val="00607CBD"/>
    <w:rsid w:val="00610997"/>
    <w:rsid w:val="006115FE"/>
    <w:rsid w:val="00611A3B"/>
    <w:rsid w:val="00611DCE"/>
    <w:rsid w:val="00613DE1"/>
    <w:rsid w:val="00615182"/>
    <w:rsid w:val="00615F17"/>
    <w:rsid w:val="00616501"/>
    <w:rsid w:val="00616C3F"/>
    <w:rsid w:val="00617839"/>
    <w:rsid w:val="006203F4"/>
    <w:rsid w:val="00623381"/>
    <w:rsid w:val="006237F7"/>
    <w:rsid w:val="00623A62"/>
    <w:rsid w:val="006248BE"/>
    <w:rsid w:val="0063124C"/>
    <w:rsid w:val="0063325D"/>
    <w:rsid w:val="006337C9"/>
    <w:rsid w:val="00634E94"/>
    <w:rsid w:val="00634F64"/>
    <w:rsid w:val="00635D33"/>
    <w:rsid w:val="006405ED"/>
    <w:rsid w:val="00640EC4"/>
    <w:rsid w:val="0064101C"/>
    <w:rsid w:val="006416FB"/>
    <w:rsid w:val="00641D1A"/>
    <w:rsid w:val="006425D4"/>
    <w:rsid w:val="006425F1"/>
    <w:rsid w:val="006430B7"/>
    <w:rsid w:val="0064386E"/>
    <w:rsid w:val="00643E9C"/>
    <w:rsid w:val="00645B96"/>
    <w:rsid w:val="00645E6B"/>
    <w:rsid w:val="006467C5"/>
    <w:rsid w:val="006469AF"/>
    <w:rsid w:val="00646F34"/>
    <w:rsid w:val="006479DC"/>
    <w:rsid w:val="00647DA6"/>
    <w:rsid w:val="0065028B"/>
    <w:rsid w:val="006507C0"/>
    <w:rsid w:val="006513EB"/>
    <w:rsid w:val="00651518"/>
    <w:rsid w:val="00653A3C"/>
    <w:rsid w:val="00653E16"/>
    <w:rsid w:val="00653EA3"/>
    <w:rsid w:val="00654F3D"/>
    <w:rsid w:val="00655FE1"/>
    <w:rsid w:val="0065655C"/>
    <w:rsid w:val="006568E2"/>
    <w:rsid w:val="0066066A"/>
    <w:rsid w:val="00661356"/>
    <w:rsid w:val="006619F8"/>
    <w:rsid w:val="00661A7D"/>
    <w:rsid w:val="0066245A"/>
    <w:rsid w:val="00664122"/>
    <w:rsid w:val="00664C23"/>
    <w:rsid w:val="00664EDE"/>
    <w:rsid w:val="0066542A"/>
    <w:rsid w:val="00665DC8"/>
    <w:rsid w:val="00666D8F"/>
    <w:rsid w:val="00667067"/>
    <w:rsid w:val="0066714E"/>
    <w:rsid w:val="00670C8A"/>
    <w:rsid w:val="00671808"/>
    <w:rsid w:val="00673DE8"/>
    <w:rsid w:val="006749F3"/>
    <w:rsid w:val="00674FDF"/>
    <w:rsid w:val="00676890"/>
    <w:rsid w:val="00682255"/>
    <w:rsid w:val="00683DAF"/>
    <w:rsid w:val="006843BB"/>
    <w:rsid w:val="00684A7F"/>
    <w:rsid w:val="00684AB5"/>
    <w:rsid w:val="00684DDA"/>
    <w:rsid w:val="00684DEC"/>
    <w:rsid w:val="00684FDD"/>
    <w:rsid w:val="00686CA6"/>
    <w:rsid w:val="006871A0"/>
    <w:rsid w:val="00692C0D"/>
    <w:rsid w:val="0069324B"/>
    <w:rsid w:val="00693F5B"/>
    <w:rsid w:val="00695337"/>
    <w:rsid w:val="00695E6E"/>
    <w:rsid w:val="006966D5"/>
    <w:rsid w:val="00696EFB"/>
    <w:rsid w:val="00697955"/>
    <w:rsid w:val="00697BF0"/>
    <w:rsid w:val="00697D83"/>
    <w:rsid w:val="00697F2A"/>
    <w:rsid w:val="006A01AB"/>
    <w:rsid w:val="006A06D6"/>
    <w:rsid w:val="006A1D97"/>
    <w:rsid w:val="006A2369"/>
    <w:rsid w:val="006A38B2"/>
    <w:rsid w:val="006A5836"/>
    <w:rsid w:val="006A7B5D"/>
    <w:rsid w:val="006B018A"/>
    <w:rsid w:val="006B0E1E"/>
    <w:rsid w:val="006B2564"/>
    <w:rsid w:val="006B25D6"/>
    <w:rsid w:val="006B2DCE"/>
    <w:rsid w:val="006B3017"/>
    <w:rsid w:val="006B43BC"/>
    <w:rsid w:val="006B4D07"/>
    <w:rsid w:val="006B53BB"/>
    <w:rsid w:val="006B56A9"/>
    <w:rsid w:val="006B5BF9"/>
    <w:rsid w:val="006C03D7"/>
    <w:rsid w:val="006C1071"/>
    <w:rsid w:val="006C1389"/>
    <w:rsid w:val="006C1BC1"/>
    <w:rsid w:val="006C37DB"/>
    <w:rsid w:val="006C46E0"/>
    <w:rsid w:val="006C4D3E"/>
    <w:rsid w:val="006C5B3E"/>
    <w:rsid w:val="006C615F"/>
    <w:rsid w:val="006C72EB"/>
    <w:rsid w:val="006C7F46"/>
    <w:rsid w:val="006D02DF"/>
    <w:rsid w:val="006D0B36"/>
    <w:rsid w:val="006D35ED"/>
    <w:rsid w:val="006D3D26"/>
    <w:rsid w:val="006D3DB2"/>
    <w:rsid w:val="006D43E1"/>
    <w:rsid w:val="006D50C1"/>
    <w:rsid w:val="006D5726"/>
    <w:rsid w:val="006D6CC0"/>
    <w:rsid w:val="006D7072"/>
    <w:rsid w:val="006D7B33"/>
    <w:rsid w:val="006E0361"/>
    <w:rsid w:val="006E1195"/>
    <w:rsid w:val="006E142C"/>
    <w:rsid w:val="006E145A"/>
    <w:rsid w:val="006E15E3"/>
    <w:rsid w:val="006E22EC"/>
    <w:rsid w:val="006E2387"/>
    <w:rsid w:val="006E24AD"/>
    <w:rsid w:val="006E26A0"/>
    <w:rsid w:val="006E510D"/>
    <w:rsid w:val="006E5173"/>
    <w:rsid w:val="006E5200"/>
    <w:rsid w:val="006E672C"/>
    <w:rsid w:val="006E773E"/>
    <w:rsid w:val="006E7AC8"/>
    <w:rsid w:val="006E7BC3"/>
    <w:rsid w:val="006E7BFD"/>
    <w:rsid w:val="006F0571"/>
    <w:rsid w:val="006F182E"/>
    <w:rsid w:val="006F3AE3"/>
    <w:rsid w:val="006F5B00"/>
    <w:rsid w:val="006F5D30"/>
    <w:rsid w:val="006F6D8D"/>
    <w:rsid w:val="006F71A9"/>
    <w:rsid w:val="006F7377"/>
    <w:rsid w:val="006F7D59"/>
    <w:rsid w:val="0070000E"/>
    <w:rsid w:val="0070014F"/>
    <w:rsid w:val="00700F57"/>
    <w:rsid w:val="00702E28"/>
    <w:rsid w:val="00703EFC"/>
    <w:rsid w:val="0070415B"/>
    <w:rsid w:val="0070418D"/>
    <w:rsid w:val="007043A6"/>
    <w:rsid w:val="0070444C"/>
    <w:rsid w:val="007051B7"/>
    <w:rsid w:val="00705217"/>
    <w:rsid w:val="007053D4"/>
    <w:rsid w:val="0070567E"/>
    <w:rsid w:val="00705A22"/>
    <w:rsid w:val="00705D3F"/>
    <w:rsid w:val="00706146"/>
    <w:rsid w:val="007066F2"/>
    <w:rsid w:val="00706976"/>
    <w:rsid w:val="00710BD6"/>
    <w:rsid w:val="00710C98"/>
    <w:rsid w:val="007122A8"/>
    <w:rsid w:val="00713508"/>
    <w:rsid w:val="00713608"/>
    <w:rsid w:val="007140B5"/>
    <w:rsid w:val="00716027"/>
    <w:rsid w:val="007162FA"/>
    <w:rsid w:val="00716332"/>
    <w:rsid w:val="00717443"/>
    <w:rsid w:val="00717C33"/>
    <w:rsid w:val="00717EB6"/>
    <w:rsid w:val="007211C8"/>
    <w:rsid w:val="0072273E"/>
    <w:rsid w:val="00724D08"/>
    <w:rsid w:val="00725BD7"/>
    <w:rsid w:val="00727264"/>
    <w:rsid w:val="0073050D"/>
    <w:rsid w:val="0073056F"/>
    <w:rsid w:val="0073167F"/>
    <w:rsid w:val="007321B4"/>
    <w:rsid w:val="00732AF2"/>
    <w:rsid w:val="007332D5"/>
    <w:rsid w:val="00734D98"/>
    <w:rsid w:val="00735795"/>
    <w:rsid w:val="0073628B"/>
    <w:rsid w:val="00736449"/>
    <w:rsid w:val="00737BA7"/>
    <w:rsid w:val="00741BBA"/>
    <w:rsid w:val="00741C21"/>
    <w:rsid w:val="00742623"/>
    <w:rsid w:val="00743211"/>
    <w:rsid w:val="0074579E"/>
    <w:rsid w:val="00746225"/>
    <w:rsid w:val="00746768"/>
    <w:rsid w:val="00750B82"/>
    <w:rsid w:val="007511D9"/>
    <w:rsid w:val="00751CB0"/>
    <w:rsid w:val="00753CD4"/>
    <w:rsid w:val="0075478E"/>
    <w:rsid w:val="0075509A"/>
    <w:rsid w:val="00755E97"/>
    <w:rsid w:val="00756A0B"/>
    <w:rsid w:val="00756D7C"/>
    <w:rsid w:val="00757359"/>
    <w:rsid w:val="00763458"/>
    <w:rsid w:val="007637C1"/>
    <w:rsid w:val="007646E7"/>
    <w:rsid w:val="00766856"/>
    <w:rsid w:val="007669F0"/>
    <w:rsid w:val="00766DEB"/>
    <w:rsid w:val="00770A47"/>
    <w:rsid w:val="00771D2A"/>
    <w:rsid w:val="007722FF"/>
    <w:rsid w:val="007731E5"/>
    <w:rsid w:val="00773A1B"/>
    <w:rsid w:val="0077430C"/>
    <w:rsid w:val="00774D6E"/>
    <w:rsid w:val="00776353"/>
    <w:rsid w:val="007763E4"/>
    <w:rsid w:val="0077732B"/>
    <w:rsid w:val="00777445"/>
    <w:rsid w:val="0077791D"/>
    <w:rsid w:val="007800C1"/>
    <w:rsid w:val="007801FC"/>
    <w:rsid w:val="00780C12"/>
    <w:rsid w:val="007811A2"/>
    <w:rsid w:val="00781286"/>
    <w:rsid w:val="007815E1"/>
    <w:rsid w:val="00783B2F"/>
    <w:rsid w:val="007840F1"/>
    <w:rsid w:val="0078520D"/>
    <w:rsid w:val="007917AC"/>
    <w:rsid w:val="007919AE"/>
    <w:rsid w:val="00792DC4"/>
    <w:rsid w:val="00792E5A"/>
    <w:rsid w:val="00793F51"/>
    <w:rsid w:val="007944D6"/>
    <w:rsid w:val="0079485F"/>
    <w:rsid w:val="00794E8F"/>
    <w:rsid w:val="00794FFA"/>
    <w:rsid w:val="00796077"/>
    <w:rsid w:val="00796ED6"/>
    <w:rsid w:val="0079756F"/>
    <w:rsid w:val="007A009E"/>
    <w:rsid w:val="007A03C6"/>
    <w:rsid w:val="007A095F"/>
    <w:rsid w:val="007A21EA"/>
    <w:rsid w:val="007A25F1"/>
    <w:rsid w:val="007A33FE"/>
    <w:rsid w:val="007A3900"/>
    <w:rsid w:val="007A3A36"/>
    <w:rsid w:val="007A405C"/>
    <w:rsid w:val="007A4626"/>
    <w:rsid w:val="007A59F1"/>
    <w:rsid w:val="007A5AFF"/>
    <w:rsid w:val="007A5FD1"/>
    <w:rsid w:val="007A62ED"/>
    <w:rsid w:val="007A7222"/>
    <w:rsid w:val="007B075C"/>
    <w:rsid w:val="007B35B2"/>
    <w:rsid w:val="007B4B22"/>
    <w:rsid w:val="007B5E02"/>
    <w:rsid w:val="007B654B"/>
    <w:rsid w:val="007B719B"/>
    <w:rsid w:val="007B7637"/>
    <w:rsid w:val="007B7819"/>
    <w:rsid w:val="007C0915"/>
    <w:rsid w:val="007C1C13"/>
    <w:rsid w:val="007C225E"/>
    <w:rsid w:val="007C2E24"/>
    <w:rsid w:val="007C35FD"/>
    <w:rsid w:val="007C3DE5"/>
    <w:rsid w:val="007C4F7F"/>
    <w:rsid w:val="007C541E"/>
    <w:rsid w:val="007C6CBD"/>
    <w:rsid w:val="007C6E1E"/>
    <w:rsid w:val="007C78C4"/>
    <w:rsid w:val="007C7A97"/>
    <w:rsid w:val="007D0604"/>
    <w:rsid w:val="007D152B"/>
    <w:rsid w:val="007D1C11"/>
    <w:rsid w:val="007D310E"/>
    <w:rsid w:val="007D4290"/>
    <w:rsid w:val="007D5905"/>
    <w:rsid w:val="007D5C34"/>
    <w:rsid w:val="007D5E9F"/>
    <w:rsid w:val="007D765E"/>
    <w:rsid w:val="007D7D4C"/>
    <w:rsid w:val="007E0D1C"/>
    <w:rsid w:val="007E195E"/>
    <w:rsid w:val="007E1CC3"/>
    <w:rsid w:val="007E28FE"/>
    <w:rsid w:val="007E3965"/>
    <w:rsid w:val="007E42A0"/>
    <w:rsid w:val="007E4986"/>
    <w:rsid w:val="007E49AF"/>
    <w:rsid w:val="007E58B4"/>
    <w:rsid w:val="007E5FEB"/>
    <w:rsid w:val="007E6383"/>
    <w:rsid w:val="007F0942"/>
    <w:rsid w:val="007F2AAD"/>
    <w:rsid w:val="007F39BA"/>
    <w:rsid w:val="007F4F2F"/>
    <w:rsid w:val="007F5863"/>
    <w:rsid w:val="007F63F2"/>
    <w:rsid w:val="007F6D79"/>
    <w:rsid w:val="007F6FE3"/>
    <w:rsid w:val="00800357"/>
    <w:rsid w:val="00800B28"/>
    <w:rsid w:val="008021A1"/>
    <w:rsid w:val="008027CA"/>
    <w:rsid w:val="008030F9"/>
    <w:rsid w:val="008035E6"/>
    <w:rsid w:val="00805618"/>
    <w:rsid w:val="00807432"/>
    <w:rsid w:val="00810BC5"/>
    <w:rsid w:val="00810D66"/>
    <w:rsid w:val="00813347"/>
    <w:rsid w:val="00813489"/>
    <w:rsid w:val="00814124"/>
    <w:rsid w:val="0081418F"/>
    <w:rsid w:val="008141ED"/>
    <w:rsid w:val="00814700"/>
    <w:rsid w:val="00820347"/>
    <w:rsid w:val="00820F85"/>
    <w:rsid w:val="008229D4"/>
    <w:rsid w:val="008230E8"/>
    <w:rsid w:val="008232CA"/>
    <w:rsid w:val="00823ADA"/>
    <w:rsid w:val="00823B3E"/>
    <w:rsid w:val="00824E01"/>
    <w:rsid w:val="00825103"/>
    <w:rsid w:val="00825C2F"/>
    <w:rsid w:val="00826338"/>
    <w:rsid w:val="00826906"/>
    <w:rsid w:val="00826965"/>
    <w:rsid w:val="00827260"/>
    <w:rsid w:val="00830765"/>
    <w:rsid w:val="00830AA3"/>
    <w:rsid w:val="00831416"/>
    <w:rsid w:val="00833D8C"/>
    <w:rsid w:val="0083425C"/>
    <w:rsid w:val="008351E1"/>
    <w:rsid w:val="008362ED"/>
    <w:rsid w:val="00836903"/>
    <w:rsid w:val="00836E39"/>
    <w:rsid w:val="00836F2A"/>
    <w:rsid w:val="00837798"/>
    <w:rsid w:val="00840E89"/>
    <w:rsid w:val="00842DFB"/>
    <w:rsid w:val="008449F7"/>
    <w:rsid w:val="00845DCD"/>
    <w:rsid w:val="0084665B"/>
    <w:rsid w:val="008474CD"/>
    <w:rsid w:val="00847F55"/>
    <w:rsid w:val="00850AA7"/>
    <w:rsid w:val="00850D44"/>
    <w:rsid w:val="00850E6D"/>
    <w:rsid w:val="00851631"/>
    <w:rsid w:val="0085234F"/>
    <w:rsid w:val="00853282"/>
    <w:rsid w:val="0085401B"/>
    <w:rsid w:val="008549FD"/>
    <w:rsid w:val="00855568"/>
    <w:rsid w:val="00855FFD"/>
    <w:rsid w:val="008560AA"/>
    <w:rsid w:val="00856101"/>
    <w:rsid w:val="0085725D"/>
    <w:rsid w:val="00857CC3"/>
    <w:rsid w:val="008608A3"/>
    <w:rsid w:val="008616E7"/>
    <w:rsid w:val="0086177F"/>
    <w:rsid w:val="00861D7A"/>
    <w:rsid w:val="00862470"/>
    <w:rsid w:val="008651E9"/>
    <w:rsid w:val="0086620F"/>
    <w:rsid w:val="00866AF3"/>
    <w:rsid w:val="00866C82"/>
    <w:rsid w:val="008672E6"/>
    <w:rsid w:val="008677E5"/>
    <w:rsid w:val="00867C57"/>
    <w:rsid w:val="00874311"/>
    <w:rsid w:val="00874A6B"/>
    <w:rsid w:val="00874EC5"/>
    <w:rsid w:val="00875741"/>
    <w:rsid w:val="00875B00"/>
    <w:rsid w:val="00875C31"/>
    <w:rsid w:val="00876E75"/>
    <w:rsid w:val="008775EA"/>
    <w:rsid w:val="008775F8"/>
    <w:rsid w:val="0087780F"/>
    <w:rsid w:val="00877CD3"/>
    <w:rsid w:val="008811E5"/>
    <w:rsid w:val="0088215D"/>
    <w:rsid w:val="008826D8"/>
    <w:rsid w:val="00882832"/>
    <w:rsid w:val="008832C1"/>
    <w:rsid w:val="00883EE7"/>
    <w:rsid w:val="00884F3F"/>
    <w:rsid w:val="00885016"/>
    <w:rsid w:val="00885243"/>
    <w:rsid w:val="00885D64"/>
    <w:rsid w:val="008867D4"/>
    <w:rsid w:val="00886823"/>
    <w:rsid w:val="00886BC0"/>
    <w:rsid w:val="0089075D"/>
    <w:rsid w:val="008913B9"/>
    <w:rsid w:val="008917A2"/>
    <w:rsid w:val="008938BD"/>
    <w:rsid w:val="008938D5"/>
    <w:rsid w:val="00893DCA"/>
    <w:rsid w:val="00894718"/>
    <w:rsid w:val="008964DA"/>
    <w:rsid w:val="0089703E"/>
    <w:rsid w:val="00897ED9"/>
    <w:rsid w:val="008A05B4"/>
    <w:rsid w:val="008A16AF"/>
    <w:rsid w:val="008A1A26"/>
    <w:rsid w:val="008A1D16"/>
    <w:rsid w:val="008A400D"/>
    <w:rsid w:val="008A48EB"/>
    <w:rsid w:val="008A600D"/>
    <w:rsid w:val="008A6118"/>
    <w:rsid w:val="008A7119"/>
    <w:rsid w:val="008A7EBA"/>
    <w:rsid w:val="008B07D3"/>
    <w:rsid w:val="008B131C"/>
    <w:rsid w:val="008B1E0A"/>
    <w:rsid w:val="008B1E53"/>
    <w:rsid w:val="008B22B6"/>
    <w:rsid w:val="008B3178"/>
    <w:rsid w:val="008B42C0"/>
    <w:rsid w:val="008B5CE8"/>
    <w:rsid w:val="008B5DEB"/>
    <w:rsid w:val="008B600B"/>
    <w:rsid w:val="008B6B63"/>
    <w:rsid w:val="008B7B94"/>
    <w:rsid w:val="008C1980"/>
    <w:rsid w:val="008C1A4B"/>
    <w:rsid w:val="008C1D6E"/>
    <w:rsid w:val="008C390E"/>
    <w:rsid w:val="008C3EC2"/>
    <w:rsid w:val="008C4304"/>
    <w:rsid w:val="008C4C74"/>
    <w:rsid w:val="008C4FFF"/>
    <w:rsid w:val="008C6BCA"/>
    <w:rsid w:val="008C6D79"/>
    <w:rsid w:val="008C71C7"/>
    <w:rsid w:val="008C7941"/>
    <w:rsid w:val="008D0AE2"/>
    <w:rsid w:val="008D0C17"/>
    <w:rsid w:val="008D4D27"/>
    <w:rsid w:val="008D4F19"/>
    <w:rsid w:val="008D6C81"/>
    <w:rsid w:val="008D7021"/>
    <w:rsid w:val="008E09E2"/>
    <w:rsid w:val="008E1610"/>
    <w:rsid w:val="008E1E4F"/>
    <w:rsid w:val="008E35C2"/>
    <w:rsid w:val="008E5112"/>
    <w:rsid w:val="008E74FA"/>
    <w:rsid w:val="008E7876"/>
    <w:rsid w:val="008E7C8C"/>
    <w:rsid w:val="008E7F8D"/>
    <w:rsid w:val="008E7FB7"/>
    <w:rsid w:val="008F132E"/>
    <w:rsid w:val="008F13C2"/>
    <w:rsid w:val="008F18DE"/>
    <w:rsid w:val="008F2EF0"/>
    <w:rsid w:val="008F3198"/>
    <w:rsid w:val="008F3F61"/>
    <w:rsid w:val="008F49A9"/>
    <w:rsid w:val="008F4F40"/>
    <w:rsid w:val="008F63CE"/>
    <w:rsid w:val="008F6657"/>
    <w:rsid w:val="008F7B0E"/>
    <w:rsid w:val="00901136"/>
    <w:rsid w:val="0090272A"/>
    <w:rsid w:val="00902823"/>
    <w:rsid w:val="00902F2D"/>
    <w:rsid w:val="009031A1"/>
    <w:rsid w:val="00904EBC"/>
    <w:rsid w:val="00905482"/>
    <w:rsid w:val="009065F0"/>
    <w:rsid w:val="0090713F"/>
    <w:rsid w:val="00910995"/>
    <w:rsid w:val="00910A4F"/>
    <w:rsid w:val="00912803"/>
    <w:rsid w:val="009137DC"/>
    <w:rsid w:val="0091402A"/>
    <w:rsid w:val="0091434B"/>
    <w:rsid w:val="00915AB5"/>
    <w:rsid w:val="00915D7D"/>
    <w:rsid w:val="00916501"/>
    <w:rsid w:val="00917C96"/>
    <w:rsid w:val="00920F9E"/>
    <w:rsid w:val="00921058"/>
    <w:rsid w:val="00921199"/>
    <w:rsid w:val="00923040"/>
    <w:rsid w:val="009233A1"/>
    <w:rsid w:val="0092386C"/>
    <w:rsid w:val="0092388F"/>
    <w:rsid w:val="0092470C"/>
    <w:rsid w:val="00924F1E"/>
    <w:rsid w:val="00924F61"/>
    <w:rsid w:val="00925627"/>
    <w:rsid w:val="009256FC"/>
    <w:rsid w:val="009324AF"/>
    <w:rsid w:val="00932E54"/>
    <w:rsid w:val="00933552"/>
    <w:rsid w:val="00935227"/>
    <w:rsid w:val="00940E00"/>
    <w:rsid w:val="009428F3"/>
    <w:rsid w:val="0094410E"/>
    <w:rsid w:val="009451A4"/>
    <w:rsid w:val="00945744"/>
    <w:rsid w:val="00946812"/>
    <w:rsid w:val="00947B6C"/>
    <w:rsid w:val="00947C7C"/>
    <w:rsid w:val="00950C83"/>
    <w:rsid w:val="00950F37"/>
    <w:rsid w:val="00951AB8"/>
    <w:rsid w:val="009524D4"/>
    <w:rsid w:val="0095253D"/>
    <w:rsid w:val="009532F9"/>
    <w:rsid w:val="0095391A"/>
    <w:rsid w:val="0095569D"/>
    <w:rsid w:val="009575C9"/>
    <w:rsid w:val="00957AF1"/>
    <w:rsid w:val="0096015F"/>
    <w:rsid w:val="0096044E"/>
    <w:rsid w:val="0096076D"/>
    <w:rsid w:val="009607F8"/>
    <w:rsid w:val="009613F6"/>
    <w:rsid w:val="009621AF"/>
    <w:rsid w:val="009629AE"/>
    <w:rsid w:val="009629DB"/>
    <w:rsid w:val="00964A83"/>
    <w:rsid w:val="00964B22"/>
    <w:rsid w:val="009667A2"/>
    <w:rsid w:val="00966B28"/>
    <w:rsid w:val="00966F68"/>
    <w:rsid w:val="009676F5"/>
    <w:rsid w:val="00967F78"/>
    <w:rsid w:val="00970F1D"/>
    <w:rsid w:val="0097115D"/>
    <w:rsid w:val="009713DE"/>
    <w:rsid w:val="00971EEE"/>
    <w:rsid w:val="00972FC0"/>
    <w:rsid w:val="00974CC4"/>
    <w:rsid w:val="0097555C"/>
    <w:rsid w:val="00975D71"/>
    <w:rsid w:val="00976A55"/>
    <w:rsid w:val="00980252"/>
    <w:rsid w:val="00980542"/>
    <w:rsid w:val="00980CD5"/>
    <w:rsid w:val="00981CE7"/>
    <w:rsid w:val="00982D21"/>
    <w:rsid w:val="00984915"/>
    <w:rsid w:val="00986F45"/>
    <w:rsid w:val="009872B2"/>
    <w:rsid w:val="0099046C"/>
    <w:rsid w:val="00990A43"/>
    <w:rsid w:val="00990CD5"/>
    <w:rsid w:val="009919E7"/>
    <w:rsid w:val="0099219C"/>
    <w:rsid w:val="00992989"/>
    <w:rsid w:val="009929C8"/>
    <w:rsid w:val="00993241"/>
    <w:rsid w:val="009936C3"/>
    <w:rsid w:val="0099535D"/>
    <w:rsid w:val="00997281"/>
    <w:rsid w:val="009A08B6"/>
    <w:rsid w:val="009A0F29"/>
    <w:rsid w:val="009A17C8"/>
    <w:rsid w:val="009A1E68"/>
    <w:rsid w:val="009A3692"/>
    <w:rsid w:val="009A499C"/>
    <w:rsid w:val="009A5127"/>
    <w:rsid w:val="009A5547"/>
    <w:rsid w:val="009A6296"/>
    <w:rsid w:val="009A688D"/>
    <w:rsid w:val="009A695F"/>
    <w:rsid w:val="009A7259"/>
    <w:rsid w:val="009A7774"/>
    <w:rsid w:val="009A7CAB"/>
    <w:rsid w:val="009B020F"/>
    <w:rsid w:val="009B0584"/>
    <w:rsid w:val="009B437D"/>
    <w:rsid w:val="009B58BE"/>
    <w:rsid w:val="009B5C2C"/>
    <w:rsid w:val="009C053F"/>
    <w:rsid w:val="009C1A09"/>
    <w:rsid w:val="009C1F8A"/>
    <w:rsid w:val="009C2965"/>
    <w:rsid w:val="009C4C42"/>
    <w:rsid w:val="009C6CBA"/>
    <w:rsid w:val="009C6E7A"/>
    <w:rsid w:val="009C7265"/>
    <w:rsid w:val="009C7A13"/>
    <w:rsid w:val="009C7F03"/>
    <w:rsid w:val="009D2063"/>
    <w:rsid w:val="009D2132"/>
    <w:rsid w:val="009D255F"/>
    <w:rsid w:val="009D2FA2"/>
    <w:rsid w:val="009D3F28"/>
    <w:rsid w:val="009D66B5"/>
    <w:rsid w:val="009D7A04"/>
    <w:rsid w:val="009E048A"/>
    <w:rsid w:val="009E31B8"/>
    <w:rsid w:val="009E4AAC"/>
    <w:rsid w:val="009E526E"/>
    <w:rsid w:val="009E5282"/>
    <w:rsid w:val="009E61B6"/>
    <w:rsid w:val="009E70DC"/>
    <w:rsid w:val="009E7F5C"/>
    <w:rsid w:val="009F0115"/>
    <w:rsid w:val="009F0DD1"/>
    <w:rsid w:val="009F17C4"/>
    <w:rsid w:val="009F1836"/>
    <w:rsid w:val="009F2CA1"/>
    <w:rsid w:val="009F3D33"/>
    <w:rsid w:val="009F47E4"/>
    <w:rsid w:val="009F4883"/>
    <w:rsid w:val="009F48D9"/>
    <w:rsid w:val="009F4BDE"/>
    <w:rsid w:val="009F5173"/>
    <w:rsid w:val="009F5563"/>
    <w:rsid w:val="009F5924"/>
    <w:rsid w:val="009F610B"/>
    <w:rsid w:val="009F6484"/>
    <w:rsid w:val="00A015D1"/>
    <w:rsid w:val="00A02588"/>
    <w:rsid w:val="00A02BB4"/>
    <w:rsid w:val="00A03186"/>
    <w:rsid w:val="00A054DF"/>
    <w:rsid w:val="00A0558C"/>
    <w:rsid w:val="00A05F29"/>
    <w:rsid w:val="00A0773C"/>
    <w:rsid w:val="00A10502"/>
    <w:rsid w:val="00A114E6"/>
    <w:rsid w:val="00A13A5D"/>
    <w:rsid w:val="00A14063"/>
    <w:rsid w:val="00A15217"/>
    <w:rsid w:val="00A16A06"/>
    <w:rsid w:val="00A16A28"/>
    <w:rsid w:val="00A17AAD"/>
    <w:rsid w:val="00A17CA3"/>
    <w:rsid w:val="00A21722"/>
    <w:rsid w:val="00A22329"/>
    <w:rsid w:val="00A224F9"/>
    <w:rsid w:val="00A235D0"/>
    <w:rsid w:val="00A23781"/>
    <w:rsid w:val="00A23D17"/>
    <w:rsid w:val="00A250FE"/>
    <w:rsid w:val="00A253AC"/>
    <w:rsid w:val="00A2572B"/>
    <w:rsid w:val="00A260FA"/>
    <w:rsid w:val="00A26301"/>
    <w:rsid w:val="00A26CA1"/>
    <w:rsid w:val="00A26DAB"/>
    <w:rsid w:val="00A278AC"/>
    <w:rsid w:val="00A30096"/>
    <w:rsid w:val="00A30794"/>
    <w:rsid w:val="00A30AE2"/>
    <w:rsid w:val="00A319A8"/>
    <w:rsid w:val="00A32233"/>
    <w:rsid w:val="00A324D9"/>
    <w:rsid w:val="00A32704"/>
    <w:rsid w:val="00A32BEE"/>
    <w:rsid w:val="00A334DE"/>
    <w:rsid w:val="00A348F6"/>
    <w:rsid w:val="00A34AFC"/>
    <w:rsid w:val="00A35215"/>
    <w:rsid w:val="00A3632C"/>
    <w:rsid w:val="00A367CC"/>
    <w:rsid w:val="00A369A1"/>
    <w:rsid w:val="00A408D1"/>
    <w:rsid w:val="00A41354"/>
    <w:rsid w:val="00A4281D"/>
    <w:rsid w:val="00A43002"/>
    <w:rsid w:val="00A433A3"/>
    <w:rsid w:val="00A44BC8"/>
    <w:rsid w:val="00A44DAA"/>
    <w:rsid w:val="00A4523C"/>
    <w:rsid w:val="00A4551E"/>
    <w:rsid w:val="00A45B45"/>
    <w:rsid w:val="00A52898"/>
    <w:rsid w:val="00A532A2"/>
    <w:rsid w:val="00A5428F"/>
    <w:rsid w:val="00A542A3"/>
    <w:rsid w:val="00A54377"/>
    <w:rsid w:val="00A54E5C"/>
    <w:rsid w:val="00A55B7B"/>
    <w:rsid w:val="00A55F87"/>
    <w:rsid w:val="00A5783E"/>
    <w:rsid w:val="00A605D2"/>
    <w:rsid w:val="00A61182"/>
    <w:rsid w:val="00A6185B"/>
    <w:rsid w:val="00A61CB6"/>
    <w:rsid w:val="00A627B6"/>
    <w:rsid w:val="00A64812"/>
    <w:rsid w:val="00A65618"/>
    <w:rsid w:val="00A65B6E"/>
    <w:rsid w:val="00A65F9C"/>
    <w:rsid w:val="00A6651D"/>
    <w:rsid w:val="00A67704"/>
    <w:rsid w:val="00A67F18"/>
    <w:rsid w:val="00A70297"/>
    <w:rsid w:val="00A704A9"/>
    <w:rsid w:val="00A70557"/>
    <w:rsid w:val="00A7098B"/>
    <w:rsid w:val="00A717F0"/>
    <w:rsid w:val="00A71E8F"/>
    <w:rsid w:val="00A72A3E"/>
    <w:rsid w:val="00A7398C"/>
    <w:rsid w:val="00A739B7"/>
    <w:rsid w:val="00A73A9A"/>
    <w:rsid w:val="00A73AFF"/>
    <w:rsid w:val="00A74508"/>
    <w:rsid w:val="00A76061"/>
    <w:rsid w:val="00A7661C"/>
    <w:rsid w:val="00A7699A"/>
    <w:rsid w:val="00A76A4F"/>
    <w:rsid w:val="00A76F4F"/>
    <w:rsid w:val="00A774BC"/>
    <w:rsid w:val="00A778FF"/>
    <w:rsid w:val="00A81A6E"/>
    <w:rsid w:val="00A823AE"/>
    <w:rsid w:val="00A826FD"/>
    <w:rsid w:val="00A828ED"/>
    <w:rsid w:val="00A83A08"/>
    <w:rsid w:val="00A84E18"/>
    <w:rsid w:val="00A8529D"/>
    <w:rsid w:val="00A868FD"/>
    <w:rsid w:val="00A87FD4"/>
    <w:rsid w:val="00A91244"/>
    <w:rsid w:val="00A917EB"/>
    <w:rsid w:val="00A91AF4"/>
    <w:rsid w:val="00A93D13"/>
    <w:rsid w:val="00A93F46"/>
    <w:rsid w:val="00A943DA"/>
    <w:rsid w:val="00A952F3"/>
    <w:rsid w:val="00A95807"/>
    <w:rsid w:val="00A96395"/>
    <w:rsid w:val="00A96693"/>
    <w:rsid w:val="00AA18A2"/>
    <w:rsid w:val="00AA19BE"/>
    <w:rsid w:val="00AA2245"/>
    <w:rsid w:val="00AA3730"/>
    <w:rsid w:val="00AA3A8A"/>
    <w:rsid w:val="00AA3E62"/>
    <w:rsid w:val="00AA44D2"/>
    <w:rsid w:val="00AA5B6A"/>
    <w:rsid w:val="00AA6057"/>
    <w:rsid w:val="00AA6899"/>
    <w:rsid w:val="00AB1FEE"/>
    <w:rsid w:val="00AB2FF5"/>
    <w:rsid w:val="00AB30EB"/>
    <w:rsid w:val="00AB3924"/>
    <w:rsid w:val="00AB3C6A"/>
    <w:rsid w:val="00AB7282"/>
    <w:rsid w:val="00AB7D44"/>
    <w:rsid w:val="00AC0044"/>
    <w:rsid w:val="00AC0945"/>
    <w:rsid w:val="00AC0B82"/>
    <w:rsid w:val="00AC2159"/>
    <w:rsid w:val="00AC296A"/>
    <w:rsid w:val="00AC4B90"/>
    <w:rsid w:val="00AC651B"/>
    <w:rsid w:val="00AC6658"/>
    <w:rsid w:val="00AD02AE"/>
    <w:rsid w:val="00AD06F8"/>
    <w:rsid w:val="00AD1523"/>
    <w:rsid w:val="00AD1BEF"/>
    <w:rsid w:val="00AD316A"/>
    <w:rsid w:val="00AD3B15"/>
    <w:rsid w:val="00AD3D96"/>
    <w:rsid w:val="00AD402A"/>
    <w:rsid w:val="00AD460E"/>
    <w:rsid w:val="00AD47F3"/>
    <w:rsid w:val="00AD636B"/>
    <w:rsid w:val="00AD6967"/>
    <w:rsid w:val="00AD7BDF"/>
    <w:rsid w:val="00AD7EB2"/>
    <w:rsid w:val="00AD7EEA"/>
    <w:rsid w:val="00AE4CB0"/>
    <w:rsid w:val="00AE631D"/>
    <w:rsid w:val="00AE6DA6"/>
    <w:rsid w:val="00AE7134"/>
    <w:rsid w:val="00AE74CE"/>
    <w:rsid w:val="00AF0C76"/>
    <w:rsid w:val="00AF0D0C"/>
    <w:rsid w:val="00AF2948"/>
    <w:rsid w:val="00AF41A2"/>
    <w:rsid w:val="00AF4EF0"/>
    <w:rsid w:val="00AF6167"/>
    <w:rsid w:val="00AF67BC"/>
    <w:rsid w:val="00AF6CB5"/>
    <w:rsid w:val="00AF71FF"/>
    <w:rsid w:val="00AF7227"/>
    <w:rsid w:val="00B01BA2"/>
    <w:rsid w:val="00B01BD6"/>
    <w:rsid w:val="00B01CD0"/>
    <w:rsid w:val="00B02D8A"/>
    <w:rsid w:val="00B03A5D"/>
    <w:rsid w:val="00B0431D"/>
    <w:rsid w:val="00B04E09"/>
    <w:rsid w:val="00B068E6"/>
    <w:rsid w:val="00B0766E"/>
    <w:rsid w:val="00B0798C"/>
    <w:rsid w:val="00B10AA6"/>
    <w:rsid w:val="00B114BA"/>
    <w:rsid w:val="00B11845"/>
    <w:rsid w:val="00B11C98"/>
    <w:rsid w:val="00B13141"/>
    <w:rsid w:val="00B1389F"/>
    <w:rsid w:val="00B147A6"/>
    <w:rsid w:val="00B15F52"/>
    <w:rsid w:val="00B161A9"/>
    <w:rsid w:val="00B166FD"/>
    <w:rsid w:val="00B16F17"/>
    <w:rsid w:val="00B17B5E"/>
    <w:rsid w:val="00B20491"/>
    <w:rsid w:val="00B220B5"/>
    <w:rsid w:val="00B2223C"/>
    <w:rsid w:val="00B226CF"/>
    <w:rsid w:val="00B241FD"/>
    <w:rsid w:val="00B242A3"/>
    <w:rsid w:val="00B24A68"/>
    <w:rsid w:val="00B273A2"/>
    <w:rsid w:val="00B27D3C"/>
    <w:rsid w:val="00B30923"/>
    <w:rsid w:val="00B338A0"/>
    <w:rsid w:val="00B33DF4"/>
    <w:rsid w:val="00B355DA"/>
    <w:rsid w:val="00B366ED"/>
    <w:rsid w:val="00B3791F"/>
    <w:rsid w:val="00B4029E"/>
    <w:rsid w:val="00B40438"/>
    <w:rsid w:val="00B40C7D"/>
    <w:rsid w:val="00B41E70"/>
    <w:rsid w:val="00B43FC8"/>
    <w:rsid w:val="00B4546D"/>
    <w:rsid w:val="00B456E8"/>
    <w:rsid w:val="00B46C39"/>
    <w:rsid w:val="00B512FC"/>
    <w:rsid w:val="00B51F2E"/>
    <w:rsid w:val="00B52321"/>
    <w:rsid w:val="00B530C2"/>
    <w:rsid w:val="00B53930"/>
    <w:rsid w:val="00B5434B"/>
    <w:rsid w:val="00B54C7D"/>
    <w:rsid w:val="00B552A7"/>
    <w:rsid w:val="00B55ABC"/>
    <w:rsid w:val="00B564E6"/>
    <w:rsid w:val="00B62EFA"/>
    <w:rsid w:val="00B63EED"/>
    <w:rsid w:val="00B659AA"/>
    <w:rsid w:val="00B6710B"/>
    <w:rsid w:val="00B67136"/>
    <w:rsid w:val="00B67968"/>
    <w:rsid w:val="00B70E95"/>
    <w:rsid w:val="00B71106"/>
    <w:rsid w:val="00B72D1A"/>
    <w:rsid w:val="00B732F4"/>
    <w:rsid w:val="00B74506"/>
    <w:rsid w:val="00B77826"/>
    <w:rsid w:val="00B77A9C"/>
    <w:rsid w:val="00B8009C"/>
    <w:rsid w:val="00B80E9D"/>
    <w:rsid w:val="00B81B35"/>
    <w:rsid w:val="00B81E15"/>
    <w:rsid w:val="00B83088"/>
    <w:rsid w:val="00B836A7"/>
    <w:rsid w:val="00B85C47"/>
    <w:rsid w:val="00B86910"/>
    <w:rsid w:val="00B875C0"/>
    <w:rsid w:val="00B877EB"/>
    <w:rsid w:val="00B87E35"/>
    <w:rsid w:val="00B915C7"/>
    <w:rsid w:val="00B916ED"/>
    <w:rsid w:val="00B91E50"/>
    <w:rsid w:val="00B923A7"/>
    <w:rsid w:val="00B93C0D"/>
    <w:rsid w:val="00B93DFE"/>
    <w:rsid w:val="00B9446C"/>
    <w:rsid w:val="00B953FF"/>
    <w:rsid w:val="00B95E59"/>
    <w:rsid w:val="00B96DDE"/>
    <w:rsid w:val="00B9731A"/>
    <w:rsid w:val="00B97FD0"/>
    <w:rsid w:val="00BA03E2"/>
    <w:rsid w:val="00BA0E6F"/>
    <w:rsid w:val="00BA14BA"/>
    <w:rsid w:val="00BA36FC"/>
    <w:rsid w:val="00BA3FAE"/>
    <w:rsid w:val="00BA4F13"/>
    <w:rsid w:val="00BA5D03"/>
    <w:rsid w:val="00BA5E67"/>
    <w:rsid w:val="00BA76A4"/>
    <w:rsid w:val="00BA79FF"/>
    <w:rsid w:val="00BB1883"/>
    <w:rsid w:val="00BB1BDA"/>
    <w:rsid w:val="00BB1F9A"/>
    <w:rsid w:val="00BB20F4"/>
    <w:rsid w:val="00BB2338"/>
    <w:rsid w:val="00BB39EE"/>
    <w:rsid w:val="00BB4F2B"/>
    <w:rsid w:val="00BB5469"/>
    <w:rsid w:val="00BB5C4F"/>
    <w:rsid w:val="00BB7744"/>
    <w:rsid w:val="00BB78F6"/>
    <w:rsid w:val="00BC0CFC"/>
    <w:rsid w:val="00BC0E8B"/>
    <w:rsid w:val="00BC1F44"/>
    <w:rsid w:val="00BC2907"/>
    <w:rsid w:val="00BC2AA2"/>
    <w:rsid w:val="00BC2ABD"/>
    <w:rsid w:val="00BC39BA"/>
    <w:rsid w:val="00BC698D"/>
    <w:rsid w:val="00BC72C6"/>
    <w:rsid w:val="00BC793E"/>
    <w:rsid w:val="00BC7B26"/>
    <w:rsid w:val="00BD0CEA"/>
    <w:rsid w:val="00BD0DBF"/>
    <w:rsid w:val="00BD22B7"/>
    <w:rsid w:val="00BD3AB6"/>
    <w:rsid w:val="00BD5176"/>
    <w:rsid w:val="00BD60FF"/>
    <w:rsid w:val="00BD75B3"/>
    <w:rsid w:val="00BE1894"/>
    <w:rsid w:val="00BE1A5B"/>
    <w:rsid w:val="00BE1CDE"/>
    <w:rsid w:val="00BE2F01"/>
    <w:rsid w:val="00BE37EC"/>
    <w:rsid w:val="00BE5DD4"/>
    <w:rsid w:val="00BE6491"/>
    <w:rsid w:val="00BE7A0F"/>
    <w:rsid w:val="00BF0523"/>
    <w:rsid w:val="00BF273A"/>
    <w:rsid w:val="00BF3424"/>
    <w:rsid w:val="00BF44A8"/>
    <w:rsid w:val="00BF59E7"/>
    <w:rsid w:val="00BF5EC6"/>
    <w:rsid w:val="00BF6BDE"/>
    <w:rsid w:val="00BF74B7"/>
    <w:rsid w:val="00BF7D0E"/>
    <w:rsid w:val="00BF7E78"/>
    <w:rsid w:val="00C00500"/>
    <w:rsid w:val="00C02B98"/>
    <w:rsid w:val="00C05376"/>
    <w:rsid w:val="00C05E57"/>
    <w:rsid w:val="00C065DD"/>
    <w:rsid w:val="00C06932"/>
    <w:rsid w:val="00C06FA5"/>
    <w:rsid w:val="00C07BAD"/>
    <w:rsid w:val="00C07CCA"/>
    <w:rsid w:val="00C1036A"/>
    <w:rsid w:val="00C10663"/>
    <w:rsid w:val="00C11396"/>
    <w:rsid w:val="00C11866"/>
    <w:rsid w:val="00C13E72"/>
    <w:rsid w:val="00C15A13"/>
    <w:rsid w:val="00C16370"/>
    <w:rsid w:val="00C16A03"/>
    <w:rsid w:val="00C16B6D"/>
    <w:rsid w:val="00C16C19"/>
    <w:rsid w:val="00C16D18"/>
    <w:rsid w:val="00C17059"/>
    <w:rsid w:val="00C17262"/>
    <w:rsid w:val="00C17ABB"/>
    <w:rsid w:val="00C200AA"/>
    <w:rsid w:val="00C200CA"/>
    <w:rsid w:val="00C20C09"/>
    <w:rsid w:val="00C2360C"/>
    <w:rsid w:val="00C23F69"/>
    <w:rsid w:val="00C24095"/>
    <w:rsid w:val="00C24C03"/>
    <w:rsid w:val="00C2569A"/>
    <w:rsid w:val="00C25D09"/>
    <w:rsid w:val="00C30902"/>
    <w:rsid w:val="00C31116"/>
    <w:rsid w:val="00C34305"/>
    <w:rsid w:val="00C35649"/>
    <w:rsid w:val="00C35A16"/>
    <w:rsid w:val="00C35D86"/>
    <w:rsid w:val="00C402DE"/>
    <w:rsid w:val="00C40451"/>
    <w:rsid w:val="00C4088D"/>
    <w:rsid w:val="00C40936"/>
    <w:rsid w:val="00C41375"/>
    <w:rsid w:val="00C41A2B"/>
    <w:rsid w:val="00C41B5D"/>
    <w:rsid w:val="00C41B73"/>
    <w:rsid w:val="00C423D7"/>
    <w:rsid w:val="00C424D3"/>
    <w:rsid w:val="00C424DE"/>
    <w:rsid w:val="00C4362E"/>
    <w:rsid w:val="00C44248"/>
    <w:rsid w:val="00C44D23"/>
    <w:rsid w:val="00C44EAB"/>
    <w:rsid w:val="00C459CE"/>
    <w:rsid w:val="00C46DE0"/>
    <w:rsid w:val="00C46E79"/>
    <w:rsid w:val="00C47091"/>
    <w:rsid w:val="00C51706"/>
    <w:rsid w:val="00C51C28"/>
    <w:rsid w:val="00C53C75"/>
    <w:rsid w:val="00C5454F"/>
    <w:rsid w:val="00C55CB5"/>
    <w:rsid w:val="00C56D48"/>
    <w:rsid w:val="00C60339"/>
    <w:rsid w:val="00C60938"/>
    <w:rsid w:val="00C6094B"/>
    <w:rsid w:val="00C609CE"/>
    <w:rsid w:val="00C61D05"/>
    <w:rsid w:val="00C61F48"/>
    <w:rsid w:val="00C62CD8"/>
    <w:rsid w:val="00C64AD4"/>
    <w:rsid w:val="00C656DC"/>
    <w:rsid w:val="00C667C2"/>
    <w:rsid w:val="00C66DAC"/>
    <w:rsid w:val="00C70734"/>
    <w:rsid w:val="00C70FFC"/>
    <w:rsid w:val="00C71BD8"/>
    <w:rsid w:val="00C748FD"/>
    <w:rsid w:val="00C80349"/>
    <w:rsid w:val="00C8049A"/>
    <w:rsid w:val="00C814C7"/>
    <w:rsid w:val="00C82054"/>
    <w:rsid w:val="00C83394"/>
    <w:rsid w:val="00C8455F"/>
    <w:rsid w:val="00C8507B"/>
    <w:rsid w:val="00C861D7"/>
    <w:rsid w:val="00C866A8"/>
    <w:rsid w:val="00C86785"/>
    <w:rsid w:val="00C879D6"/>
    <w:rsid w:val="00C87B02"/>
    <w:rsid w:val="00C91B28"/>
    <w:rsid w:val="00C925D1"/>
    <w:rsid w:val="00C92606"/>
    <w:rsid w:val="00C92B75"/>
    <w:rsid w:val="00C9339A"/>
    <w:rsid w:val="00C93955"/>
    <w:rsid w:val="00C9450C"/>
    <w:rsid w:val="00C949CA"/>
    <w:rsid w:val="00C9538D"/>
    <w:rsid w:val="00C954C7"/>
    <w:rsid w:val="00C95757"/>
    <w:rsid w:val="00C95BD6"/>
    <w:rsid w:val="00C96290"/>
    <w:rsid w:val="00C96292"/>
    <w:rsid w:val="00C96BB8"/>
    <w:rsid w:val="00CA1B9E"/>
    <w:rsid w:val="00CA1DF3"/>
    <w:rsid w:val="00CA2B15"/>
    <w:rsid w:val="00CA3624"/>
    <w:rsid w:val="00CA3EDC"/>
    <w:rsid w:val="00CA487E"/>
    <w:rsid w:val="00CA601A"/>
    <w:rsid w:val="00CA67BF"/>
    <w:rsid w:val="00CA6E26"/>
    <w:rsid w:val="00CB0A29"/>
    <w:rsid w:val="00CB0CEE"/>
    <w:rsid w:val="00CB3CE5"/>
    <w:rsid w:val="00CB3FEA"/>
    <w:rsid w:val="00CB46A6"/>
    <w:rsid w:val="00CB47CC"/>
    <w:rsid w:val="00CB5EA1"/>
    <w:rsid w:val="00CB6869"/>
    <w:rsid w:val="00CB70F2"/>
    <w:rsid w:val="00CB7354"/>
    <w:rsid w:val="00CC0922"/>
    <w:rsid w:val="00CC0E59"/>
    <w:rsid w:val="00CC17B5"/>
    <w:rsid w:val="00CC1901"/>
    <w:rsid w:val="00CC2450"/>
    <w:rsid w:val="00CC55CC"/>
    <w:rsid w:val="00CC5754"/>
    <w:rsid w:val="00CC5B7D"/>
    <w:rsid w:val="00CC6A38"/>
    <w:rsid w:val="00CC7814"/>
    <w:rsid w:val="00CD0380"/>
    <w:rsid w:val="00CD063B"/>
    <w:rsid w:val="00CD0F10"/>
    <w:rsid w:val="00CD15A0"/>
    <w:rsid w:val="00CD1675"/>
    <w:rsid w:val="00CD2285"/>
    <w:rsid w:val="00CD256C"/>
    <w:rsid w:val="00CD3C33"/>
    <w:rsid w:val="00CD3E89"/>
    <w:rsid w:val="00CD44D9"/>
    <w:rsid w:val="00CD556D"/>
    <w:rsid w:val="00CD7B80"/>
    <w:rsid w:val="00CD7D63"/>
    <w:rsid w:val="00CE04FD"/>
    <w:rsid w:val="00CE1073"/>
    <w:rsid w:val="00CE13E8"/>
    <w:rsid w:val="00CE1B3B"/>
    <w:rsid w:val="00CE246A"/>
    <w:rsid w:val="00CE2617"/>
    <w:rsid w:val="00CE2C57"/>
    <w:rsid w:val="00CE3D39"/>
    <w:rsid w:val="00CE45A5"/>
    <w:rsid w:val="00CE49EA"/>
    <w:rsid w:val="00CE5997"/>
    <w:rsid w:val="00CE673C"/>
    <w:rsid w:val="00CE6752"/>
    <w:rsid w:val="00CE68F0"/>
    <w:rsid w:val="00CE70C8"/>
    <w:rsid w:val="00CE7243"/>
    <w:rsid w:val="00CE7FE8"/>
    <w:rsid w:val="00CF1547"/>
    <w:rsid w:val="00CF1599"/>
    <w:rsid w:val="00CF168B"/>
    <w:rsid w:val="00CF1EA8"/>
    <w:rsid w:val="00CF29CF"/>
    <w:rsid w:val="00CF3602"/>
    <w:rsid w:val="00CF37F3"/>
    <w:rsid w:val="00CF562A"/>
    <w:rsid w:val="00CF5D17"/>
    <w:rsid w:val="00D0188B"/>
    <w:rsid w:val="00D02BCE"/>
    <w:rsid w:val="00D02C19"/>
    <w:rsid w:val="00D039CD"/>
    <w:rsid w:val="00D03F91"/>
    <w:rsid w:val="00D05AF3"/>
    <w:rsid w:val="00D0618A"/>
    <w:rsid w:val="00D06350"/>
    <w:rsid w:val="00D0682E"/>
    <w:rsid w:val="00D07798"/>
    <w:rsid w:val="00D102D6"/>
    <w:rsid w:val="00D13501"/>
    <w:rsid w:val="00D13BBD"/>
    <w:rsid w:val="00D13FA4"/>
    <w:rsid w:val="00D14615"/>
    <w:rsid w:val="00D1492D"/>
    <w:rsid w:val="00D161CE"/>
    <w:rsid w:val="00D167B2"/>
    <w:rsid w:val="00D16801"/>
    <w:rsid w:val="00D17753"/>
    <w:rsid w:val="00D17D50"/>
    <w:rsid w:val="00D20F23"/>
    <w:rsid w:val="00D21B83"/>
    <w:rsid w:val="00D22583"/>
    <w:rsid w:val="00D256BD"/>
    <w:rsid w:val="00D25FCA"/>
    <w:rsid w:val="00D261B1"/>
    <w:rsid w:val="00D26D23"/>
    <w:rsid w:val="00D27180"/>
    <w:rsid w:val="00D31267"/>
    <w:rsid w:val="00D31975"/>
    <w:rsid w:val="00D31BCF"/>
    <w:rsid w:val="00D31E7C"/>
    <w:rsid w:val="00D324E9"/>
    <w:rsid w:val="00D34B67"/>
    <w:rsid w:val="00D4012C"/>
    <w:rsid w:val="00D40203"/>
    <w:rsid w:val="00D40D7C"/>
    <w:rsid w:val="00D41833"/>
    <w:rsid w:val="00D42C77"/>
    <w:rsid w:val="00D437F1"/>
    <w:rsid w:val="00D439AE"/>
    <w:rsid w:val="00D44B92"/>
    <w:rsid w:val="00D47493"/>
    <w:rsid w:val="00D479D1"/>
    <w:rsid w:val="00D479F0"/>
    <w:rsid w:val="00D50BB5"/>
    <w:rsid w:val="00D50C65"/>
    <w:rsid w:val="00D50DED"/>
    <w:rsid w:val="00D52743"/>
    <w:rsid w:val="00D535A8"/>
    <w:rsid w:val="00D53ADD"/>
    <w:rsid w:val="00D53C30"/>
    <w:rsid w:val="00D547DA"/>
    <w:rsid w:val="00D54F2D"/>
    <w:rsid w:val="00D551BC"/>
    <w:rsid w:val="00D5766C"/>
    <w:rsid w:val="00D577AD"/>
    <w:rsid w:val="00D5795A"/>
    <w:rsid w:val="00D60379"/>
    <w:rsid w:val="00D60812"/>
    <w:rsid w:val="00D610E6"/>
    <w:rsid w:val="00D6187C"/>
    <w:rsid w:val="00D61CD7"/>
    <w:rsid w:val="00D62110"/>
    <w:rsid w:val="00D630EF"/>
    <w:rsid w:val="00D643F6"/>
    <w:rsid w:val="00D66C33"/>
    <w:rsid w:val="00D66F0E"/>
    <w:rsid w:val="00D67D96"/>
    <w:rsid w:val="00D7119E"/>
    <w:rsid w:val="00D72256"/>
    <w:rsid w:val="00D73C27"/>
    <w:rsid w:val="00D75BB1"/>
    <w:rsid w:val="00D76560"/>
    <w:rsid w:val="00D76FC9"/>
    <w:rsid w:val="00D773BD"/>
    <w:rsid w:val="00D774E2"/>
    <w:rsid w:val="00D779FC"/>
    <w:rsid w:val="00D80247"/>
    <w:rsid w:val="00D81C64"/>
    <w:rsid w:val="00D81EBF"/>
    <w:rsid w:val="00D82D93"/>
    <w:rsid w:val="00D8514E"/>
    <w:rsid w:val="00D85A42"/>
    <w:rsid w:val="00D85F3D"/>
    <w:rsid w:val="00D8652F"/>
    <w:rsid w:val="00D8680A"/>
    <w:rsid w:val="00D86FDF"/>
    <w:rsid w:val="00D918B7"/>
    <w:rsid w:val="00D93958"/>
    <w:rsid w:val="00D94957"/>
    <w:rsid w:val="00D958BA"/>
    <w:rsid w:val="00D95C18"/>
    <w:rsid w:val="00D97177"/>
    <w:rsid w:val="00D971B8"/>
    <w:rsid w:val="00D97ECD"/>
    <w:rsid w:val="00DA06EB"/>
    <w:rsid w:val="00DA391F"/>
    <w:rsid w:val="00DA59DE"/>
    <w:rsid w:val="00DA6A61"/>
    <w:rsid w:val="00DA78BF"/>
    <w:rsid w:val="00DB23FD"/>
    <w:rsid w:val="00DB3669"/>
    <w:rsid w:val="00DB4519"/>
    <w:rsid w:val="00DB6DCE"/>
    <w:rsid w:val="00DC135E"/>
    <w:rsid w:val="00DC25AE"/>
    <w:rsid w:val="00DC26A2"/>
    <w:rsid w:val="00DC307F"/>
    <w:rsid w:val="00DC393B"/>
    <w:rsid w:val="00DC3DA7"/>
    <w:rsid w:val="00DC4BD3"/>
    <w:rsid w:val="00DC6411"/>
    <w:rsid w:val="00DC69A6"/>
    <w:rsid w:val="00DC7211"/>
    <w:rsid w:val="00DC72E0"/>
    <w:rsid w:val="00DC7ECE"/>
    <w:rsid w:val="00DD1D74"/>
    <w:rsid w:val="00DD2444"/>
    <w:rsid w:val="00DD3051"/>
    <w:rsid w:val="00DD3216"/>
    <w:rsid w:val="00DD322B"/>
    <w:rsid w:val="00DD3FD8"/>
    <w:rsid w:val="00DD5278"/>
    <w:rsid w:val="00DD5B09"/>
    <w:rsid w:val="00DD61AB"/>
    <w:rsid w:val="00DD6B4A"/>
    <w:rsid w:val="00DD7BC2"/>
    <w:rsid w:val="00DE0530"/>
    <w:rsid w:val="00DE128E"/>
    <w:rsid w:val="00DE236C"/>
    <w:rsid w:val="00DE29AA"/>
    <w:rsid w:val="00DE2E3E"/>
    <w:rsid w:val="00DE3C1D"/>
    <w:rsid w:val="00DE541B"/>
    <w:rsid w:val="00DE5439"/>
    <w:rsid w:val="00DE5EA2"/>
    <w:rsid w:val="00DE65B2"/>
    <w:rsid w:val="00DE6948"/>
    <w:rsid w:val="00DE6BAA"/>
    <w:rsid w:val="00DE7351"/>
    <w:rsid w:val="00DF00BD"/>
    <w:rsid w:val="00DF01C2"/>
    <w:rsid w:val="00DF0C4E"/>
    <w:rsid w:val="00DF1D05"/>
    <w:rsid w:val="00DF2151"/>
    <w:rsid w:val="00DF300B"/>
    <w:rsid w:val="00DF3023"/>
    <w:rsid w:val="00DF5EA3"/>
    <w:rsid w:val="00DF6078"/>
    <w:rsid w:val="00DF6300"/>
    <w:rsid w:val="00E003CF"/>
    <w:rsid w:val="00E00B0B"/>
    <w:rsid w:val="00E040DC"/>
    <w:rsid w:val="00E041D9"/>
    <w:rsid w:val="00E04FAF"/>
    <w:rsid w:val="00E050CD"/>
    <w:rsid w:val="00E062DE"/>
    <w:rsid w:val="00E128DD"/>
    <w:rsid w:val="00E13F1A"/>
    <w:rsid w:val="00E207EB"/>
    <w:rsid w:val="00E214A2"/>
    <w:rsid w:val="00E214C6"/>
    <w:rsid w:val="00E21D9C"/>
    <w:rsid w:val="00E22DAA"/>
    <w:rsid w:val="00E2435E"/>
    <w:rsid w:val="00E24955"/>
    <w:rsid w:val="00E25659"/>
    <w:rsid w:val="00E26546"/>
    <w:rsid w:val="00E269D2"/>
    <w:rsid w:val="00E27B8C"/>
    <w:rsid w:val="00E304BD"/>
    <w:rsid w:val="00E30B81"/>
    <w:rsid w:val="00E314F8"/>
    <w:rsid w:val="00E316DA"/>
    <w:rsid w:val="00E34A2F"/>
    <w:rsid w:val="00E34CA2"/>
    <w:rsid w:val="00E35739"/>
    <w:rsid w:val="00E35872"/>
    <w:rsid w:val="00E40143"/>
    <w:rsid w:val="00E40910"/>
    <w:rsid w:val="00E41D96"/>
    <w:rsid w:val="00E4250F"/>
    <w:rsid w:val="00E4284B"/>
    <w:rsid w:val="00E439F2"/>
    <w:rsid w:val="00E43C09"/>
    <w:rsid w:val="00E449B9"/>
    <w:rsid w:val="00E456A0"/>
    <w:rsid w:val="00E45A1C"/>
    <w:rsid w:val="00E4771A"/>
    <w:rsid w:val="00E50020"/>
    <w:rsid w:val="00E51113"/>
    <w:rsid w:val="00E51357"/>
    <w:rsid w:val="00E51427"/>
    <w:rsid w:val="00E51827"/>
    <w:rsid w:val="00E52223"/>
    <w:rsid w:val="00E54628"/>
    <w:rsid w:val="00E555B7"/>
    <w:rsid w:val="00E555E2"/>
    <w:rsid w:val="00E5560C"/>
    <w:rsid w:val="00E56368"/>
    <w:rsid w:val="00E60068"/>
    <w:rsid w:val="00E6011C"/>
    <w:rsid w:val="00E61834"/>
    <w:rsid w:val="00E61AD0"/>
    <w:rsid w:val="00E634D7"/>
    <w:rsid w:val="00E647E3"/>
    <w:rsid w:val="00E647F8"/>
    <w:rsid w:val="00E6549E"/>
    <w:rsid w:val="00E65628"/>
    <w:rsid w:val="00E658AF"/>
    <w:rsid w:val="00E66230"/>
    <w:rsid w:val="00E66711"/>
    <w:rsid w:val="00E67187"/>
    <w:rsid w:val="00E70A91"/>
    <w:rsid w:val="00E72607"/>
    <w:rsid w:val="00E73C29"/>
    <w:rsid w:val="00E745DD"/>
    <w:rsid w:val="00E74D87"/>
    <w:rsid w:val="00E76F7E"/>
    <w:rsid w:val="00E81687"/>
    <w:rsid w:val="00E81DAA"/>
    <w:rsid w:val="00E82655"/>
    <w:rsid w:val="00E8349A"/>
    <w:rsid w:val="00E834D5"/>
    <w:rsid w:val="00E85942"/>
    <w:rsid w:val="00E85EF8"/>
    <w:rsid w:val="00E8721F"/>
    <w:rsid w:val="00E902CC"/>
    <w:rsid w:val="00E90587"/>
    <w:rsid w:val="00E905A1"/>
    <w:rsid w:val="00E9073B"/>
    <w:rsid w:val="00E90D7F"/>
    <w:rsid w:val="00E919C9"/>
    <w:rsid w:val="00E92125"/>
    <w:rsid w:val="00E93284"/>
    <w:rsid w:val="00E94854"/>
    <w:rsid w:val="00E95F2A"/>
    <w:rsid w:val="00E96154"/>
    <w:rsid w:val="00E96794"/>
    <w:rsid w:val="00E97DE6"/>
    <w:rsid w:val="00EA291F"/>
    <w:rsid w:val="00EA414E"/>
    <w:rsid w:val="00EA46E1"/>
    <w:rsid w:val="00EA4A1D"/>
    <w:rsid w:val="00EA4EC6"/>
    <w:rsid w:val="00EA4F37"/>
    <w:rsid w:val="00EA56F1"/>
    <w:rsid w:val="00EA594D"/>
    <w:rsid w:val="00EA59B1"/>
    <w:rsid w:val="00EA5D55"/>
    <w:rsid w:val="00EA655C"/>
    <w:rsid w:val="00EA7386"/>
    <w:rsid w:val="00EA7896"/>
    <w:rsid w:val="00EA7D2D"/>
    <w:rsid w:val="00EB0B3E"/>
    <w:rsid w:val="00EB15DA"/>
    <w:rsid w:val="00EB27E9"/>
    <w:rsid w:val="00EB2DEE"/>
    <w:rsid w:val="00EB5922"/>
    <w:rsid w:val="00EB5C51"/>
    <w:rsid w:val="00EB65FD"/>
    <w:rsid w:val="00EB6796"/>
    <w:rsid w:val="00EB6E5F"/>
    <w:rsid w:val="00EC0CBF"/>
    <w:rsid w:val="00EC14DF"/>
    <w:rsid w:val="00EC21B0"/>
    <w:rsid w:val="00EC2923"/>
    <w:rsid w:val="00EC29F7"/>
    <w:rsid w:val="00EC4744"/>
    <w:rsid w:val="00EC66ED"/>
    <w:rsid w:val="00EC6A17"/>
    <w:rsid w:val="00EC6B62"/>
    <w:rsid w:val="00EC6E73"/>
    <w:rsid w:val="00EC74E4"/>
    <w:rsid w:val="00ED05D8"/>
    <w:rsid w:val="00ED0926"/>
    <w:rsid w:val="00ED10DD"/>
    <w:rsid w:val="00ED15FC"/>
    <w:rsid w:val="00ED25C3"/>
    <w:rsid w:val="00ED48FF"/>
    <w:rsid w:val="00ED4F1D"/>
    <w:rsid w:val="00ED50BF"/>
    <w:rsid w:val="00ED65E0"/>
    <w:rsid w:val="00ED6B8E"/>
    <w:rsid w:val="00ED6D95"/>
    <w:rsid w:val="00ED6F02"/>
    <w:rsid w:val="00ED72C1"/>
    <w:rsid w:val="00EE1C1D"/>
    <w:rsid w:val="00EE3DC2"/>
    <w:rsid w:val="00EE3E01"/>
    <w:rsid w:val="00EE4DCA"/>
    <w:rsid w:val="00EE5189"/>
    <w:rsid w:val="00EE545E"/>
    <w:rsid w:val="00EE59E7"/>
    <w:rsid w:val="00EE5CB3"/>
    <w:rsid w:val="00EE6D33"/>
    <w:rsid w:val="00EE7350"/>
    <w:rsid w:val="00EE766B"/>
    <w:rsid w:val="00EE77CD"/>
    <w:rsid w:val="00EE7C36"/>
    <w:rsid w:val="00EF02C4"/>
    <w:rsid w:val="00EF193B"/>
    <w:rsid w:val="00EF1ECE"/>
    <w:rsid w:val="00EF201E"/>
    <w:rsid w:val="00EF610A"/>
    <w:rsid w:val="00EF68EE"/>
    <w:rsid w:val="00EF77AD"/>
    <w:rsid w:val="00F01400"/>
    <w:rsid w:val="00F0192F"/>
    <w:rsid w:val="00F027B2"/>
    <w:rsid w:val="00F04080"/>
    <w:rsid w:val="00F05AA4"/>
    <w:rsid w:val="00F05DE3"/>
    <w:rsid w:val="00F06512"/>
    <w:rsid w:val="00F07935"/>
    <w:rsid w:val="00F10108"/>
    <w:rsid w:val="00F13231"/>
    <w:rsid w:val="00F14B47"/>
    <w:rsid w:val="00F154E9"/>
    <w:rsid w:val="00F165C5"/>
    <w:rsid w:val="00F175F1"/>
    <w:rsid w:val="00F17D24"/>
    <w:rsid w:val="00F23814"/>
    <w:rsid w:val="00F23AC8"/>
    <w:rsid w:val="00F2598E"/>
    <w:rsid w:val="00F26372"/>
    <w:rsid w:val="00F26462"/>
    <w:rsid w:val="00F27298"/>
    <w:rsid w:val="00F27530"/>
    <w:rsid w:val="00F3061D"/>
    <w:rsid w:val="00F32065"/>
    <w:rsid w:val="00F35186"/>
    <w:rsid w:val="00F36F25"/>
    <w:rsid w:val="00F37217"/>
    <w:rsid w:val="00F3742E"/>
    <w:rsid w:val="00F40CD7"/>
    <w:rsid w:val="00F40D52"/>
    <w:rsid w:val="00F40D6D"/>
    <w:rsid w:val="00F41BB6"/>
    <w:rsid w:val="00F420A4"/>
    <w:rsid w:val="00F42173"/>
    <w:rsid w:val="00F43948"/>
    <w:rsid w:val="00F43B2E"/>
    <w:rsid w:val="00F44458"/>
    <w:rsid w:val="00F44BDA"/>
    <w:rsid w:val="00F46B51"/>
    <w:rsid w:val="00F46E5F"/>
    <w:rsid w:val="00F47E44"/>
    <w:rsid w:val="00F506C7"/>
    <w:rsid w:val="00F50BB2"/>
    <w:rsid w:val="00F50ECD"/>
    <w:rsid w:val="00F52E21"/>
    <w:rsid w:val="00F537A6"/>
    <w:rsid w:val="00F544E4"/>
    <w:rsid w:val="00F548BB"/>
    <w:rsid w:val="00F54FCD"/>
    <w:rsid w:val="00F559EF"/>
    <w:rsid w:val="00F561B7"/>
    <w:rsid w:val="00F565E1"/>
    <w:rsid w:val="00F56AE7"/>
    <w:rsid w:val="00F60A3C"/>
    <w:rsid w:val="00F60C61"/>
    <w:rsid w:val="00F6237C"/>
    <w:rsid w:val="00F62D4C"/>
    <w:rsid w:val="00F62E24"/>
    <w:rsid w:val="00F652DB"/>
    <w:rsid w:val="00F65A0C"/>
    <w:rsid w:val="00F6622B"/>
    <w:rsid w:val="00F66E4D"/>
    <w:rsid w:val="00F7114A"/>
    <w:rsid w:val="00F7116F"/>
    <w:rsid w:val="00F7120A"/>
    <w:rsid w:val="00F71ABF"/>
    <w:rsid w:val="00F71B38"/>
    <w:rsid w:val="00F722B4"/>
    <w:rsid w:val="00F72364"/>
    <w:rsid w:val="00F734AA"/>
    <w:rsid w:val="00F7391E"/>
    <w:rsid w:val="00F73C63"/>
    <w:rsid w:val="00F75541"/>
    <w:rsid w:val="00F75E56"/>
    <w:rsid w:val="00F772CE"/>
    <w:rsid w:val="00F772D4"/>
    <w:rsid w:val="00F80D22"/>
    <w:rsid w:val="00F81771"/>
    <w:rsid w:val="00F81E67"/>
    <w:rsid w:val="00F82959"/>
    <w:rsid w:val="00F8331E"/>
    <w:rsid w:val="00F839CD"/>
    <w:rsid w:val="00F83CCF"/>
    <w:rsid w:val="00F8449A"/>
    <w:rsid w:val="00F84581"/>
    <w:rsid w:val="00F85552"/>
    <w:rsid w:val="00F856F0"/>
    <w:rsid w:val="00F86BE9"/>
    <w:rsid w:val="00F8728D"/>
    <w:rsid w:val="00F87CF3"/>
    <w:rsid w:val="00F917BF"/>
    <w:rsid w:val="00F91B79"/>
    <w:rsid w:val="00F92FF8"/>
    <w:rsid w:val="00F93242"/>
    <w:rsid w:val="00F93D21"/>
    <w:rsid w:val="00F95783"/>
    <w:rsid w:val="00F96DFD"/>
    <w:rsid w:val="00F97AC4"/>
    <w:rsid w:val="00F97EC8"/>
    <w:rsid w:val="00FA32B7"/>
    <w:rsid w:val="00FA40A1"/>
    <w:rsid w:val="00FA5348"/>
    <w:rsid w:val="00FA7038"/>
    <w:rsid w:val="00FB0D2E"/>
    <w:rsid w:val="00FB1206"/>
    <w:rsid w:val="00FB150C"/>
    <w:rsid w:val="00FB1AF0"/>
    <w:rsid w:val="00FB2168"/>
    <w:rsid w:val="00FB2399"/>
    <w:rsid w:val="00FB281B"/>
    <w:rsid w:val="00FB3B79"/>
    <w:rsid w:val="00FB685E"/>
    <w:rsid w:val="00FB6AD2"/>
    <w:rsid w:val="00FB75E4"/>
    <w:rsid w:val="00FB7616"/>
    <w:rsid w:val="00FB79C0"/>
    <w:rsid w:val="00FC1388"/>
    <w:rsid w:val="00FC28CD"/>
    <w:rsid w:val="00FC2E48"/>
    <w:rsid w:val="00FC30BF"/>
    <w:rsid w:val="00FC3144"/>
    <w:rsid w:val="00FC3EE0"/>
    <w:rsid w:val="00FC4003"/>
    <w:rsid w:val="00FC4006"/>
    <w:rsid w:val="00FC4F13"/>
    <w:rsid w:val="00FC57BC"/>
    <w:rsid w:val="00FC5A03"/>
    <w:rsid w:val="00FC6B73"/>
    <w:rsid w:val="00FD346C"/>
    <w:rsid w:val="00FD3B47"/>
    <w:rsid w:val="00FD3FF5"/>
    <w:rsid w:val="00FD50AD"/>
    <w:rsid w:val="00FD57B4"/>
    <w:rsid w:val="00FD5A2F"/>
    <w:rsid w:val="00FE0482"/>
    <w:rsid w:val="00FE0E4B"/>
    <w:rsid w:val="00FE1325"/>
    <w:rsid w:val="00FE1986"/>
    <w:rsid w:val="00FE20A0"/>
    <w:rsid w:val="00FE25A3"/>
    <w:rsid w:val="00FE278F"/>
    <w:rsid w:val="00FE2879"/>
    <w:rsid w:val="00FE378D"/>
    <w:rsid w:val="00FE37FA"/>
    <w:rsid w:val="00FE68EE"/>
    <w:rsid w:val="00FF079F"/>
    <w:rsid w:val="00FF1039"/>
    <w:rsid w:val="00FF17BE"/>
    <w:rsid w:val="00FF1B7C"/>
    <w:rsid w:val="00FF1DF3"/>
    <w:rsid w:val="00FF2437"/>
    <w:rsid w:val="00FF2BC6"/>
    <w:rsid w:val="00FF37BE"/>
    <w:rsid w:val="00FF466B"/>
    <w:rsid w:val="00FF5D96"/>
    <w:rsid w:val="00FF66AB"/>
    <w:rsid w:val="00FF6E73"/>
    <w:rsid w:val="00FF79B4"/>
    <w:rsid w:val="00FF7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99950-5A6B-4FC5-8D51-440D928F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569A"/>
    <w:rPr>
      <w:sz w:val="24"/>
      <w:szCs w:val="24"/>
    </w:rPr>
  </w:style>
  <w:style w:type="paragraph" w:styleId="Ttulo1">
    <w:name w:val="heading 1"/>
    <w:basedOn w:val="Normal"/>
    <w:next w:val="Normal"/>
    <w:link w:val="Ttulo1Char"/>
    <w:uiPriority w:val="99"/>
    <w:qFormat/>
    <w:rsid w:val="00C2569A"/>
    <w:pPr>
      <w:keepNext/>
      <w:outlineLvl w:val="0"/>
    </w:pPr>
    <w:rPr>
      <w:b/>
      <w:bCs/>
    </w:rPr>
  </w:style>
  <w:style w:type="paragraph" w:styleId="Ttulo2">
    <w:name w:val="heading 2"/>
    <w:basedOn w:val="Normal"/>
    <w:next w:val="Normal"/>
    <w:link w:val="Ttulo2Char"/>
    <w:uiPriority w:val="99"/>
    <w:qFormat/>
    <w:rsid w:val="00C2569A"/>
    <w:pPr>
      <w:keepNext/>
      <w:jc w:val="both"/>
      <w:outlineLvl w:val="1"/>
    </w:pPr>
    <w:rPr>
      <w:szCs w:val="20"/>
    </w:rPr>
  </w:style>
  <w:style w:type="paragraph" w:styleId="Ttulo3">
    <w:name w:val="heading 3"/>
    <w:basedOn w:val="Normal"/>
    <w:next w:val="Normal"/>
    <w:link w:val="Ttulo3Char"/>
    <w:uiPriority w:val="99"/>
    <w:qFormat/>
    <w:rsid w:val="00C2569A"/>
    <w:pPr>
      <w:keepNext/>
      <w:ind w:firstLine="136"/>
      <w:outlineLvl w:val="2"/>
    </w:pPr>
    <w:rPr>
      <w:rFonts w:ascii="Arial" w:hAnsi="Arial" w:cs="Arial"/>
      <w:i/>
      <w:iCs/>
      <w:sz w:val="16"/>
      <w:szCs w:val="14"/>
    </w:rPr>
  </w:style>
  <w:style w:type="paragraph" w:styleId="Ttulo4">
    <w:name w:val="heading 4"/>
    <w:basedOn w:val="Normal"/>
    <w:next w:val="Normal"/>
    <w:link w:val="Ttulo4Char"/>
    <w:uiPriority w:val="99"/>
    <w:qFormat/>
    <w:rsid w:val="00C2569A"/>
    <w:pPr>
      <w:keepNext/>
      <w:ind w:firstLine="136"/>
      <w:jc w:val="center"/>
      <w:outlineLvl w:val="3"/>
    </w:pPr>
    <w:rPr>
      <w:rFonts w:ascii="Arial" w:hAnsi="Arial" w:cs="Arial"/>
      <w:b/>
      <w:bCs/>
      <w:i/>
      <w:iCs/>
      <w:sz w:val="16"/>
      <w:szCs w:val="14"/>
      <w:lang w:val="en-US"/>
    </w:rPr>
  </w:style>
  <w:style w:type="paragraph" w:styleId="Ttulo5">
    <w:name w:val="heading 5"/>
    <w:basedOn w:val="Normal"/>
    <w:next w:val="Normal"/>
    <w:link w:val="Ttulo5Char"/>
    <w:uiPriority w:val="99"/>
    <w:qFormat/>
    <w:rsid w:val="00C2569A"/>
    <w:pPr>
      <w:keepNext/>
      <w:autoSpaceDE w:val="0"/>
      <w:autoSpaceDN w:val="0"/>
      <w:adjustRightInd w:val="0"/>
      <w:jc w:val="both"/>
      <w:outlineLvl w:val="4"/>
    </w:pPr>
    <w:rPr>
      <w:b/>
    </w:rPr>
  </w:style>
  <w:style w:type="paragraph" w:styleId="Ttulo6">
    <w:name w:val="heading 6"/>
    <w:basedOn w:val="Normal"/>
    <w:next w:val="Normal"/>
    <w:link w:val="Ttulo6Char"/>
    <w:uiPriority w:val="99"/>
    <w:qFormat/>
    <w:rsid w:val="00C2569A"/>
    <w:pPr>
      <w:keepNext/>
      <w:outlineLvl w:val="5"/>
    </w:pPr>
    <w:rPr>
      <w:rFonts w:ascii="Arial" w:hAnsi="Arial" w:cs="Arial"/>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1214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1214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1214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1214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1214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1214F0"/>
    <w:rPr>
      <w:rFonts w:ascii="Calibri" w:hAnsi="Calibri" w:cs="Times New Roman"/>
      <w:b/>
      <w:bCs/>
    </w:rPr>
  </w:style>
  <w:style w:type="paragraph" w:styleId="Recuodecorpodetexto3">
    <w:name w:val="Body Text Indent 3"/>
    <w:basedOn w:val="Normal"/>
    <w:link w:val="Recuodecorpodetexto3Char"/>
    <w:uiPriority w:val="99"/>
    <w:rsid w:val="00C2569A"/>
    <w:pPr>
      <w:ind w:left="3060"/>
    </w:pPr>
    <w:rPr>
      <w:b/>
      <w:bCs/>
      <w:i/>
      <w:iCs/>
    </w:rPr>
  </w:style>
  <w:style w:type="character" w:customStyle="1" w:styleId="Recuodecorpodetexto3Char">
    <w:name w:val="Recuo de corpo de texto 3 Char"/>
    <w:basedOn w:val="Fontepargpadro"/>
    <w:link w:val="Recuodecorpodetexto3"/>
    <w:uiPriority w:val="99"/>
    <w:semiHidden/>
    <w:locked/>
    <w:rsid w:val="001214F0"/>
    <w:rPr>
      <w:rFonts w:cs="Times New Roman"/>
      <w:sz w:val="16"/>
      <w:szCs w:val="16"/>
    </w:rPr>
  </w:style>
  <w:style w:type="paragraph" w:styleId="Cabealho">
    <w:name w:val="header"/>
    <w:basedOn w:val="Normal"/>
    <w:link w:val="CabealhoChar"/>
    <w:uiPriority w:val="99"/>
    <w:rsid w:val="00C2569A"/>
    <w:pPr>
      <w:widowControl w:val="0"/>
      <w:tabs>
        <w:tab w:val="center" w:pos="4419"/>
        <w:tab w:val="right" w:pos="8838"/>
      </w:tabs>
    </w:pPr>
    <w:rPr>
      <w:sz w:val="20"/>
      <w:szCs w:val="20"/>
      <w:lang w:eastAsia="en-US"/>
    </w:rPr>
  </w:style>
  <w:style w:type="character" w:customStyle="1" w:styleId="CabealhoChar">
    <w:name w:val="Cabeçalho Char"/>
    <w:basedOn w:val="Fontepargpadro"/>
    <w:link w:val="Cabealho"/>
    <w:uiPriority w:val="99"/>
    <w:semiHidden/>
    <w:locked/>
    <w:rsid w:val="001214F0"/>
    <w:rPr>
      <w:rFonts w:cs="Times New Roman"/>
      <w:sz w:val="24"/>
      <w:szCs w:val="24"/>
    </w:rPr>
  </w:style>
  <w:style w:type="paragraph" w:styleId="Recuodecorpodetexto">
    <w:name w:val="Body Text Indent"/>
    <w:basedOn w:val="Normal"/>
    <w:link w:val="RecuodecorpodetextoChar"/>
    <w:rsid w:val="00C2569A"/>
    <w:pPr>
      <w:ind w:firstLine="708"/>
      <w:jc w:val="both"/>
    </w:pPr>
  </w:style>
  <w:style w:type="character" w:customStyle="1" w:styleId="RecuodecorpodetextoChar">
    <w:name w:val="Recuo de corpo de texto Char"/>
    <w:basedOn w:val="Fontepargpadro"/>
    <w:link w:val="Recuodecorpodetexto"/>
    <w:locked/>
    <w:rsid w:val="00563922"/>
    <w:rPr>
      <w:rFonts w:cs="Times New Roman"/>
      <w:sz w:val="24"/>
      <w:szCs w:val="24"/>
    </w:rPr>
  </w:style>
  <w:style w:type="paragraph" w:styleId="Recuodecorpodetexto2">
    <w:name w:val="Body Text Indent 2"/>
    <w:basedOn w:val="Normal"/>
    <w:link w:val="Recuodecorpodetexto2Char"/>
    <w:uiPriority w:val="99"/>
    <w:rsid w:val="00C2569A"/>
    <w:pPr>
      <w:spacing w:after="120"/>
      <w:ind w:firstLine="709"/>
      <w:jc w:val="both"/>
    </w:pPr>
    <w:rPr>
      <w:szCs w:val="20"/>
    </w:rPr>
  </w:style>
  <w:style w:type="character" w:customStyle="1" w:styleId="Recuodecorpodetexto2Char">
    <w:name w:val="Recuo de corpo de texto 2 Char"/>
    <w:basedOn w:val="Fontepargpadro"/>
    <w:link w:val="Recuodecorpodetexto2"/>
    <w:uiPriority w:val="99"/>
    <w:locked/>
    <w:rsid w:val="00332895"/>
    <w:rPr>
      <w:rFonts w:cs="Times New Roman"/>
      <w:sz w:val="24"/>
    </w:rPr>
  </w:style>
  <w:style w:type="paragraph" w:customStyle="1" w:styleId="xl29">
    <w:name w:val="xl29"/>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0">
    <w:name w:val="xl30"/>
    <w:basedOn w:val="Normal"/>
    <w:uiPriority w:val="99"/>
    <w:rsid w:val="00C2569A"/>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1">
    <w:name w:val="xl31"/>
    <w:basedOn w:val="Normal"/>
    <w:uiPriority w:val="99"/>
    <w:rsid w:val="00C2569A"/>
    <w:pPr>
      <w:pBdr>
        <w:top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2">
    <w:name w:val="xl32"/>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3">
    <w:name w:val="xl33"/>
    <w:basedOn w:val="Normal"/>
    <w:uiPriority w:val="99"/>
    <w:rsid w:val="00C2569A"/>
    <w:pPr>
      <w:pBdr>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4">
    <w:name w:val="xl34"/>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5">
    <w:name w:val="xl35"/>
    <w:basedOn w:val="Normal"/>
    <w:uiPriority w:val="99"/>
    <w:rsid w:val="00C2569A"/>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6">
    <w:name w:val="xl36"/>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7">
    <w:name w:val="xl37"/>
    <w:basedOn w:val="Normal"/>
    <w:uiPriority w:val="99"/>
    <w:rsid w:val="00C2569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8">
    <w:name w:val="xl38"/>
    <w:basedOn w:val="Normal"/>
    <w:uiPriority w:val="99"/>
    <w:rsid w:val="00C2569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i/>
      <w:iCs/>
      <w:sz w:val="14"/>
      <w:szCs w:val="14"/>
    </w:rPr>
  </w:style>
  <w:style w:type="paragraph" w:customStyle="1" w:styleId="xl39">
    <w:name w:val="xl39"/>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0">
    <w:name w:val="xl40"/>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1">
    <w:name w:val="xl41"/>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42">
    <w:name w:val="xl42"/>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3">
    <w:name w:val="xl43"/>
    <w:basedOn w:val="Normal"/>
    <w:uiPriority w:val="99"/>
    <w:rsid w:val="00C2569A"/>
    <w:pPr>
      <w:pBdr>
        <w:top w:val="single" w:sz="4" w:space="0" w:color="auto"/>
        <w:bottom w:val="single" w:sz="4" w:space="0" w:color="auto"/>
      </w:pBdr>
      <w:spacing w:before="100" w:beforeAutospacing="1" w:after="100" w:afterAutospacing="1"/>
      <w:textAlignment w:val="center"/>
    </w:pPr>
    <w:rPr>
      <w:rFonts w:ascii="Arial" w:eastAsia="Arial Unicode MS" w:hAnsi="Arial" w:cs="Arial"/>
      <w:b/>
      <w:bCs/>
      <w:sz w:val="14"/>
      <w:szCs w:val="14"/>
    </w:rPr>
  </w:style>
  <w:style w:type="paragraph" w:customStyle="1" w:styleId="xl44">
    <w:name w:val="xl44"/>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14"/>
      <w:szCs w:val="14"/>
    </w:rPr>
  </w:style>
  <w:style w:type="paragraph" w:customStyle="1" w:styleId="xl27">
    <w:name w:val="xl27"/>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customStyle="1" w:styleId="xl28">
    <w:name w:val="xl28"/>
    <w:basedOn w:val="Normal"/>
    <w:uiPriority w:val="99"/>
    <w:rsid w:val="00C2569A"/>
    <w:pPr>
      <w:spacing w:before="100" w:beforeAutospacing="1" w:after="100" w:afterAutospacing="1"/>
      <w:textAlignment w:val="center"/>
    </w:pPr>
    <w:rPr>
      <w:rFonts w:ascii="Arial" w:eastAsia="Arial Unicode MS" w:hAnsi="Arial" w:cs="Arial"/>
      <w:sz w:val="14"/>
      <w:szCs w:val="14"/>
    </w:rPr>
  </w:style>
  <w:style w:type="paragraph" w:styleId="Rodap">
    <w:name w:val="footer"/>
    <w:basedOn w:val="Normal"/>
    <w:link w:val="RodapChar"/>
    <w:uiPriority w:val="99"/>
    <w:rsid w:val="00C2569A"/>
    <w:pPr>
      <w:tabs>
        <w:tab w:val="center" w:pos="4419"/>
        <w:tab w:val="right" w:pos="8838"/>
      </w:tabs>
    </w:pPr>
  </w:style>
  <w:style w:type="character" w:customStyle="1" w:styleId="RodapChar">
    <w:name w:val="Rodapé Char"/>
    <w:basedOn w:val="Fontepargpadro"/>
    <w:link w:val="Rodap"/>
    <w:uiPriority w:val="99"/>
    <w:semiHidden/>
    <w:locked/>
    <w:rsid w:val="001214F0"/>
    <w:rPr>
      <w:rFonts w:cs="Times New Roman"/>
      <w:sz w:val="24"/>
      <w:szCs w:val="24"/>
    </w:rPr>
  </w:style>
  <w:style w:type="character" w:styleId="Nmerodepgina">
    <w:name w:val="page number"/>
    <w:basedOn w:val="Fontepargpadro"/>
    <w:uiPriority w:val="99"/>
    <w:rsid w:val="00C2569A"/>
    <w:rPr>
      <w:rFonts w:cs="Times New Roman"/>
    </w:rPr>
  </w:style>
  <w:style w:type="paragraph" w:styleId="Corpodetexto">
    <w:name w:val="Body Text"/>
    <w:basedOn w:val="Normal"/>
    <w:link w:val="CorpodetextoChar"/>
    <w:uiPriority w:val="99"/>
    <w:rsid w:val="00C2569A"/>
    <w:pPr>
      <w:jc w:val="both"/>
    </w:pPr>
    <w:rPr>
      <w:szCs w:val="20"/>
    </w:rPr>
  </w:style>
  <w:style w:type="character" w:customStyle="1" w:styleId="CorpodetextoChar">
    <w:name w:val="Corpo de texto Char"/>
    <w:basedOn w:val="Fontepargpadro"/>
    <w:link w:val="Corpodetexto"/>
    <w:uiPriority w:val="99"/>
    <w:semiHidden/>
    <w:locked/>
    <w:rsid w:val="001214F0"/>
    <w:rPr>
      <w:rFonts w:cs="Times New Roman"/>
      <w:sz w:val="24"/>
      <w:szCs w:val="24"/>
    </w:rPr>
  </w:style>
  <w:style w:type="paragraph" w:styleId="Textodenotaderodap">
    <w:name w:val="footnote text"/>
    <w:basedOn w:val="Normal"/>
    <w:link w:val="TextodenotaderodapChar"/>
    <w:uiPriority w:val="99"/>
    <w:semiHidden/>
    <w:rsid w:val="00C2569A"/>
    <w:rPr>
      <w:sz w:val="20"/>
      <w:szCs w:val="20"/>
    </w:rPr>
  </w:style>
  <w:style w:type="character" w:customStyle="1" w:styleId="TextodenotaderodapChar">
    <w:name w:val="Texto de nota de rodapé Char"/>
    <w:basedOn w:val="Fontepargpadro"/>
    <w:link w:val="Textodenotaderodap"/>
    <w:uiPriority w:val="99"/>
    <w:semiHidden/>
    <w:locked/>
    <w:rsid w:val="001214F0"/>
    <w:rPr>
      <w:rFonts w:cs="Times New Roman"/>
      <w:sz w:val="20"/>
      <w:szCs w:val="20"/>
    </w:rPr>
  </w:style>
  <w:style w:type="paragraph" w:customStyle="1" w:styleId="xl24">
    <w:name w:val="xl24"/>
    <w:basedOn w:val="Normal"/>
    <w:uiPriority w:val="99"/>
    <w:rsid w:val="00C2569A"/>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i/>
      <w:iCs/>
      <w:color w:val="000000"/>
      <w:sz w:val="14"/>
      <w:szCs w:val="14"/>
    </w:rPr>
  </w:style>
  <w:style w:type="paragraph" w:customStyle="1" w:styleId="xl25">
    <w:name w:val="xl25"/>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26">
    <w:name w:val="xl26"/>
    <w:basedOn w:val="Normal"/>
    <w:uiPriority w:val="99"/>
    <w:rsid w:val="00C2569A"/>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i/>
      <w:iCs/>
      <w:color w:val="000000"/>
      <w:sz w:val="18"/>
      <w:szCs w:val="18"/>
    </w:rPr>
  </w:style>
  <w:style w:type="paragraph" w:customStyle="1" w:styleId="xl45">
    <w:name w:val="xl45"/>
    <w:basedOn w:val="Normal"/>
    <w:uiPriority w:val="99"/>
    <w:rsid w:val="00C2569A"/>
    <w:pPr>
      <w:pBdr>
        <w:bottom w:val="single" w:sz="4" w:space="0" w:color="auto"/>
      </w:pBdr>
      <w:spacing w:before="100" w:beforeAutospacing="1" w:after="100" w:afterAutospacing="1"/>
    </w:pPr>
    <w:rPr>
      <w:rFonts w:ascii="Arial" w:eastAsia="Arial Unicode MS" w:hAnsi="Arial" w:cs="Arial"/>
      <w:color w:val="000000"/>
      <w:sz w:val="16"/>
      <w:szCs w:val="16"/>
    </w:rPr>
  </w:style>
  <w:style w:type="paragraph" w:customStyle="1" w:styleId="xl46">
    <w:name w:val="xl46"/>
    <w:basedOn w:val="Normal"/>
    <w:uiPriority w:val="99"/>
    <w:rsid w:val="00C2569A"/>
    <w:pPr>
      <w:pBdr>
        <w:bottom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47">
    <w:name w:val="xl47"/>
    <w:basedOn w:val="Normal"/>
    <w:uiPriority w:val="99"/>
    <w:rsid w:val="00C2569A"/>
    <w:pPr>
      <w:pBdr>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8">
    <w:name w:val="xl48"/>
    <w:basedOn w:val="Normal"/>
    <w:uiPriority w:val="99"/>
    <w:rsid w:val="00C2569A"/>
    <w:pPr>
      <w:pBdr>
        <w:bottom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9">
    <w:name w:val="xl49"/>
    <w:basedOn w:val="Normal"/>
    <w:uiPriority w:val="99"/>
    <w:rsid w:val="00C2569A"/>
    <w:pPr>
      <w:pBdr>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0">
    <w:name w:val="xl50"/>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1">
    <w:name w:val="xl51"/>
    <w:basedOn w:val="Normal"/>
    <w:uiPriority w:val="99"/>
    <w:rsid w:val="00C2569A"/>
    <w:pPr>
      <w:pBdr>
        <w:top w:val="single" w:sz="4" w:space="0" w:color="auto"/>
        <w:bottom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52">
    <w:name w:val="xl52"/>
    <w:basedOn w:val="Normal"/>
    <w:uiPriority w:val="99"/>
    <w:rsid w:val="00C2569A"/>
    <w:pPr>
      <w:pBdr>
        <w:top w:val="single" w:sz="4" w:space="0" w:color="auto"/>
        <w:bottom w:val="single" w:sz="4" w:space="0" w:color="auto"/>
      </w:pBdr>
      <w:spacing w:before="100" w:beforeAutospacing="1" w:after="100" w:afterAutospacing="1"/>
      <w:jc w:val="right"/>
      <w:textAlignment w:val="center"/>
    </w:pPr>
    <w:rPr>
      <w:rFonts w:ascii="Arial" w:eastAsia="Arial Unicode MS" w:hAnsi="Arial" w:cs="Arial"/>
      <w:sz w:val="16"/>
      <w:szCs w:val="16"/>
    </w:rPr>
  </w:style>
  <w:style w:type="paragraph" w:customStyle="1" w:styleId="xl53">
    <w:name w:val="xl53"/>
    <w:basedOn w:val="Normal"/>
    <w:uiPriority w:val="99"/>
    <w:rsid w:val="00C2569A"/>
    <w:pPr>
      <w:pBdr>
        <w:top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54">
    <w:name w:val="xl54"/>
    <w:basedOn w:val="Normal"/>
    <w:uiPriority w:val="99"/>
    <w:rsid w:val="00C2569A"/>
    <w:pPr>
      <w:spacing w:before="100" w:beforeAutospacing="1" w:after="100" w:afterAutospacing="1"/>
      <w:jc w:val="center"/>
    </w:pPr>
    <w:rPr>
      <w:rFonts w:ascii="Arial" w:eastAsia="Arial Unicode MS" w:hAnsi="Arial" w:cs="Arial"/>
      <w:sz w:val="16"/>
      <w:szCs w:val="16"/>
    </w:rPr>
  </w:style>
  <w:style w:type="paragraph" w:customStyle="1" w:styleId="xl55">
    <w:name w:val="xl55"/>
    <w:basedOn w:val="Normal"/>
    <w:uiPriority w:val="99"/>
    <w:rsid w:val="00C2569A"/>
    <w:pPr>
      <w:spacing w:before="100" w:beforeAutospacing="1" w:after="100" w:afterAutospacing="1"/>
    </w:pPr>
    <w:rPr>
      <w:rFonts w:eastAsia="Arial Unicode MS"/>
    </w:rPr>
  </w:style>
  <w:style w:type="paragraph" w:styleId="Textodebalo">
    <w:name w:val="Balloon Text"/>
    <w:basedOn w:val="Normal"/>
    <w:link w:val="TextodebaloChar"/>
    <w:uiPriority w:val="99"/>
    <w:semiHidden/>
    <w:rsid w:val="00C2569A"/>
    <w:rPr>
      <w:rFonts w:ascii="Tahoma" w:hAnsi="Tahoma" w:cs="Tahoma"/>
      <w:sz w:val="16"/>
      <w:szCs w:val="16"/>
    </w:rPr>
  </w:style>
  <w:style w:type="character" w:customStyle="1" w:styleId="TextodebaloChar">
    <w:name w:val="Texto de balão Char"/>
    <w:basedOn w:val="Fontepargpadro"/>
    <w:link w:val="Textodebalo"/>
    <w:uiPriority w:val="99"/>
    <w:semiHidden/>
    <w:locked/>
    <w:rsid w:val="001214F0"/>
    <w:rPr>
      <w:rFonts w:cs="Times New Roman"/>
      <w:sz w:val="2"/>
    </w:rPr>
  </w:style>
  <w:style w:type="character" w:styleId="Hyperlink">
    <w:name w:val="Hyperlink"/>
    <w:basedOn w:val="Fontepargpadro"/>
    <w:uiPriority w:val="99"/>
    <w:rsid w:val="00C2569A"/>
    <w:rPr>
      <w:rFonts w:cs="Times New Roman"/>
      <w:color w:val="0000FF"/>
      <w:u w:val="single"/>
    </w:rPr>
  </w:style>
  <w:style w:type="character" w:styleId="HiperlinkVisitado">
    <w:name w:val="FollowedHyperlink"/>
    <w:basedOn w:val="Fontepargpadro"/>
    <w:uiPriority w:val="99"/>
    <w:rsid w:val="00C2569A"/>
    <w:rPr>
      <w:rFonts w:cs="Times New Roman"/>
      <w:color w:val="606420"/>
      <w:u w:val="single"/>
    </w:rPr>
  </w:style>
  <w:style w:type="character" w:styleId="Refdenotaderodap">
    <w:name w:val="footnote reference"/>
    <w:basedOn w:val="Fontepargpadro"/>
    <w:uiPriority w:val="99"/>
    <w:semiHidden/>
    <w:unhideWhenUsed/>
    <w:rsid w:val="003B63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1365">
      <w:bodyDiv w:val="1"/>
      <w:marLeft w:val="0"/>
      <w:marRight w:val="0"/>
      <w:marTop w:val="0"/>
      <w:marBottom w:val="0"/>
      <w:divBdr>
        <w:top w:val="none" w:sz="0" w:space="0" w:color="auto"/>
        <w:left w:val="none" w:sz="0" w:space="0" w:color="auto"/>
        <w:bottom w:val="none" w:sz="0" w:space="0" w:color="auto"/>
        <w:right w:val="none" w:sz="0" w:space="0" w:color="auto"/>
      </w:divBdr>
    </w:div>
    <w:div w:id="303974828">
      <w:bodyDiv w:val="1"/>
      <w:marLeft w:val="0"/>
      <w:marRight w:val="0"/>
      <w:marTop w:val="0"/>
      <w:marBottom w:val="0"/>
      <w:divBdr>
        <w:top w:val="none" w:sz="0" w:space="0" w:color="auto"/>
        <w:left w:val="none" w:sz="0" w:space="0" w:color="auto"/>
        <w:bottom w:val="none" w:sz="0" w:space="0" w:color="auto"/>
        <w:right w:val="none" w:sz="0" w:space="0" w:color="auto"/>
      </w:divBdr>
    </w:div>
    <w:div w:id="531378346">
      <w:bodyDiv w:val="1"/>
      <w:marLeft w:val="0"/>
      <w:marRight w:val="0"/>
      <w:marTop w:val="0"/>
      <w:marBottom w:val="0"/>
      <w:divBdr>
        <w:top w:val="none" w:sz="0" w:space="0" w:color="auto"/>
        <w:left w:val="none" w:sz="0" w:space="0" w:color="auto"/>
        <w:bottom w:val="none" w:sz="0" w:space="0" w:color="auto"/>
        <w:right w:val="none" w:sz="0" w:space="0" w:color="auto"/>
      </w:divBdr>
    </w:div>
    <w:div w:id="901676486">
      <w:marLeft w:val="0"/>
      <w:marRight w:val="0"/>
      <w:marTop w:val="0"/>
      <w:marBottom w:val="0"/>
      <w:divBdr>
        <w:top w:val="none" w:sz="0" w:space="0" w:color="auto"/>
        <w:left w:val="none" w:sz="0" w:space="0" w:color="auto"/>
        <w:bottom w:val="none" w:sz="0" w:space="0" w:color="auto"/>
        <w:right w:val="none" w:sz="0" w:space="0" w:color="auto"/>
      </w:divBdr>
    </w:div>
    <w:div w:id="901676487">
      <w:marLeft w:val="0"/>
      <w:marRight w:val="0"/>
      <w:marTop w:val="0"/>
      <w:marBottom w:val="0"/>
      <w:divBdr>
        <w:top w:val="none" w:sz="0" w:space="0" w:color="auto"/>
        <w:left w:val="none" w:sz="0" w:space="0" w:color="auto"/>
        <w:bottom w:val="none" w:sz="0" w:space="0" w:color="auto"/>
        <w:right w:val="none" w:sz="0" w:space="0" w:color="auto"/>
      </w:divBdr>
    </w:div>
    <w:div w:id="901676488">
      <w:marLeft w:val="0"/>
      <w:marRight w:val="0"/>
      <w:marTop w:val="0"/>
      <w:marBottom w:val="0"/>
      <w:divBdr>
        <w:top w:val="none" w:sz="0" w:space="0" w:color="auto"/>
        <w:left w:val="none" w:sz="0" w:space="0" w:color="auto"/>
        <w:bottom w:val="none" w:sz="0" w:space="0" w:color="auto"/>
        <w:right w:val="none" w:sz="0" w:space="0" w:color="auto"/>
      </w:divBdr>
    </w:div>
    <w:div w:id="901676489">
      <w:marLeft w:val="0"/>
      <w:marRight w:val="0"/>
      <w:marTop w:val="0"/>
      <w:marBottom w:val="0"/>
      <w:divBdr>
        <w:top w:val="none" w:sz="0" w:space="0" w:color="auto"/>
        <w:left w:val="none" w:sz="0" w:space="0" w:color="auto"/>
        <w:bottom w:val="none" w:sz="0" w:space="0" w:color="auto"/>
        <w:right w:val="none" w:sz="0" w:space="0" w:color="auto"/>
      </w:divBdr>
    </w:div>
    <w:div w:id="901676490">
      <w:marLeft w:val="0"/>
      <w:marRight w:val="0"/>
      <w:marTop w:val="0"/>
      <w:marBottom w:val="0"/>
      <w:divBdr>
        <w:top w:val="none" w:sz="0" w:space="0" w:color="auto"/>
        <w:left w:val="none" w:sz="0" w:space="0" w:color="auto"/>
        <w:bottom w:val="none" w:sz="0" w:space="0" w:color="auto"/>
        <w:right w:val="none" w:sz="0" w:space="0" w:color="auto"/>
      </w:divBdr>
    </w:div>
    <w:div w:id="901676491">
      <w:marLeft w:val="0"/>
      <w:marRight w:val="0"/>
      <w:marTop w:val="0"/>
      <w:marBottom w:val="0"/>
      <w:divBdr>
        <w:top w:val="none" w:sz="0" w:space="0" w:color="auto"/>
        <w:left w:val="none" w:sz="0" w:space="0" w:color="auto"/>
        <w:bottom w:val="none" w:sz="0" w:space="0" w:color="auto"/>
        <w:right w:val="none" w:sz="0" w:space="0" w:color="auto"/>
      </w:divBdr>
    </w:div>
    <w:div w:id="901676492">
      <w:marLeft w:val="0"/>
      <w:marRight w:val="0"/>
      <w:marTop w:val="0"/>
      <w:marBottom w:val="0"/>
      <w:divBdr>
        <w:top w:val="none" w:sz="0" w:space="0" w:color="auto"/>
        <w:left w:val="none" w:sz="0" w:space="0" w:color="auto"/>
        <w:bottom w:val="none" w:sz="0" w:space="0" w:color="auto"/>
        <w:right w:val="none" w:sz="0" w:space="0" w:color="auto"/>
      </w:divBdr>
    </w:div>
    <w:div w:id="901676493">
      <w:marLeft w:val="0"/>
      <w:marRight w:val="0"/>
      <w:marTop w:val="0"/>
      <w:marBottom w:val="0"/>
      <w:divBdr>
        <w:top w:val="none" w:sz="0" w:space="0" w:color="auto"/>
        <w:left w:val="none" w:sz="0" w:space="0" w:color="auto"/>
        <w:bottom w:val="none" w:sz="0" w:space="0" w:color="auto"/>
        <w:right w:val="none" w:sz="0" w:space="0" w:color="auto"/>
      </w:divBdr>
    </w:div>
    <w:div w:id="901676494">
      <w:marLeft w:val="0"/>
      <w:marRight w:val="0"/>
      <w:marTop w:val="0"/>
      <w:marBottom w:val="0"/>
      <w:divBdr>
        <w:top w:val="none" w:sz="0" w:space="0" w:color="auto"/>
        <w:left w:val="none" w:sz="0" w:space="0" w:color="auto"/>
        <w:bottom w:val="none" w:sz="0" w:space="0" w:color="auto"/>
        <w:right w:val="none" w:sz="0" w:space="0" w:color="auto"/>
      </w:divBdr>
    </w:div>
    <w:div w:id="901676495">
      <w:marLeft w:val="0"/>
      <w:marRight w:val="0"/>
      <w:marTop w:val="0"/>
      <w:marBottom w:val="0"/>
      <w:divBdr>
        <w:top w:val="none" w:sz="0" w:space="0" w:color="auto"/>
        <w:left w:val="none" w:sz="0" w:space="0" w:color="auto"/>
        <w:bottom w:val="none" w:sz="0" w:space="0" w:color="auto"/>
        <w:right w:val="none" w:sz="0" w:space="0" w:color="auto"/>
      </w:divBdr>
    </w:div>
    <w:div w:id="901676496">
      <w:marLeft w:val="0"/>
      <w:marRight w:val="0"/>
      <w:marTop w:val="0"/>
      <w:marBottom w:val="0"/>
      <w:divBdr>
        <w:top w:val="none" w:sz="0" w:space="0" w:color="auto"/>
        <w:left w:val="none" w:sz="0" w:space="0" w:color="auto"/>
        <w:bottom w:val="none" w:sz="0" w:space="0" w:color="auto"/>
        <w:right w:val="none" w:sz="0" w:space="0" w:color="auto"/>
      </w:divBdr>
    </w:div>
    <w:div w:id="901676497">
      <w:marLeft w:val="0"/>
      <w:marRight w:val="0"/>
      <w:marTop w:val="0"/>
      <w:marBottom w:val="0"/>
      <w:divBdr>
        <w:top w:val="none" w:sz="0" w:space="0" w:color="auto"/>
        <w:left w:val="none" w:sz="0" w:space="0" w:color="auto"/>
        <w:bottom w:val="none" w:sz="0" w:space="0" w:color="auto"/>
        <w:right w:val="none" w:sz="0" w:space="0" w:color="auto"/>
      </w:divBdr>
    </w:div>
    <w:div w:id="901676498">
      <w:marLeft w:val="0"/>
      <w:marRight w:val="0"/>
      <w:marTop w:val="0"/>
      <w:marBottom w:val="0"/>
      <w:divBdr>
        <w:top w:val="none" w:sz="0" w:space="0" w:color="auto"/>
        <w:left w:val="none" w:sz="0" w:space="0" w:color="auto"/>
        <w:bottom w:val="none" w:sz="0" w:space="0" w:color="auto"/>
        <w:right w:val="none" w:sz="0" w:space="0" w:color="auto"/>
      </w:divBdr>
    </w:div>
    <w:div w:id="901676499">
      <w:marLeft w:val="0"/>
      <w:marRight w:val="0"/>
      <w:marTop w:val="0"/>
      <w:marBottom w:val="0"/>
      <w:divBdr>
        <w:top w:val="none" w:sz="0" w:space="0" w:color="auto"/>
        <w:left w:val="none" w:sz="0" w:space="0" w:color="auto"/>
        <w:bottom w:val="none" w:sz="0" w:space="0" w:color="auto"/>
        <w:right w:val="none" w:sz="0" w:space="0" w:color="auto"/>
      </w:divBdr>
    </w:div>
    <w:div w:id="901676500">
      <w:marLeft w:val="0"/>
      <w:marRight w:val="0"/>
      <w:marTop w:val="0"/>
      <w:marBottom w:val="0"/>
      <w:divBdr>
        <w:top w:val="none" w:sz="0" w:space="0" w:color="auto"/>
        <w:left w:val="none" w:sz="0" w:space="0" w:color="auto"/>
        <w:bottom w:val="none" w:sz="0" w:space="0" w:color="auto"/>
        <w:right w:val="none" w:sz="0" w:space="0" w:color="auto"/>
      </w:divBdr>
    </w:div>
    <w:div w:id="901676501">
      <w:marLeft w:val="0"/>
      <w:marRight w:val="0"/>
      <w:marTop w:val="0"/>
      <w:marBottom w:val="0"/>
      <w:divBdr>
        <w:top w:val="none" w:sz="0" w:space="0" w:color="auto"/>
        <w:left w:val="none" w:sz="0" w:space="0" w:color="auto"/>
        <w:bottom w:val="none" w:sz="0" w:space="0" w:color="auto"/>
        <w:right w:val="none" w:sz="0" w:space="0" w:color="auto"/>
      </w:divBdr>
    </w:div>
    <w:div w:id="901676502">
      <w:marLeft w:val="0"/>
      <w:marRight w:val="0"/>
      <w:marTop w:val="0"/>
      <w:marBottom w:val="0"/>
      <w:divBdr>
        <w:top w:val="none" w:sz="0" w:space="0" w:color="auto"/>
        <w:left w:val="none" w:sz="0" w:space="0" w:color="auto"/>
        <w:bottom w:val="none" w:sz="0" w:space="0" w:color="auto"/>
        <w:right w:val="none" w:sz="0" w:space="0" w:color="auto"/>
      </w:divBdr>
    </w:div>
    <w:div w:id="901676503">
      <w:marLeft w:val="0"/>
      <w:marRight w:val="0"/>
      <w:marTop w:val="0"/>
      <w:marBottom w:val="0"/>
      <w:divBdr>
        <w:top w:val="none" w:sz="0" w:space="0" w:color="auto"/>
        <w:left w:val="none" w:sz="0" w:space="0" w:color="auto"/>
        <w:bottom w:val="none" w:sz="0" w:space="0" w:color="auto"/>
        <w:right w:val="none" w:sz="0" w:space="0" w:color="auto"/>
      </w:divBdr>
    </w:div>
    <w:div w:id="901676504">
      <w:marLeft w:val="0"/>
      <w:marRight w:val="0"/>
      <w:marTop w:val="0"/>
      <w:marBottom w:val="0"/>
      <w:divBdr>
        <w:top w:val="none" w:sz="0" w:space="0" w:color="auto"/>
        <w:left w:val="none" w:sz="0" w:space="0" w:color="auto"/>
        <w:bottom w:val="none" w:sz="0" w:space="0" w:color="auto"/>
        <w:right w:val="none" w:sz="0" w:space="0" w:color="auto"/>
      </w:divBdr>
    </w:div>
    <w:div w:id="901676505">
      <w:marLeft w:val="0"/>
      <w:marRight w:val="0"/>
      <w:marTop w:val="0"/>
      <w:marBottom w:val="0"/>
      <w:divBdr>
        <w:top w:val="none" w:sz="0" w:space="0" w:color="auto"/>
        <w:left w:val="none" w:sz="0" w:space="0" w:color="auto"/>
        <w:bottom w:val="none" w:sz="0" w:space="0" w:color="auto"/>
        <w:right w:val="none" w:sz="0" w:space="0" w:color="auto"/>
      </w:divBdr>
    </w:div>
    <w:div w:id="901676506">
      <w:marLeft w:val="0"/>
      <w:marRight w:val="0"/>
      <w:marTop w:val="0"/>
      <w:marBottom w:val="0"/>
      <w:divBdr>
        <w:top w:val="none" w:sz="0" w:space="0" w:color="auto"/>
        <w:left w:val="none" w:sz="0" w:space="0" w:color="auto"/>
        <w:bottom w:val="none" w:sz="0" w:space="0" w:color="auto"/>
        <w:right w:val="none" w:sz="0" w:space="0" w:color="auto"/>
      </w:divBdr>
    </w:div>
    <w:div w:id="901676507">
      <w:marLeft w:val="0"/>
      <w:marRight w:val="0"/>
      <w:marTop w:val="0"/>
      <w:marBottom w:val="0"/>
      <w:divBdr>
        <w:top w:val="none" w:sz="0" w:space="0" w:color="auto"/>
        <w:left w:val="none" w:sz="0" w:space="0" w:color="auto"/>
        <w:bottom w:val="none" w:sz="0" w:space="0" w:color="auto"/>
        <w:right w:val="none" w:sz="0" w:space="0" w:color="auto"/>
      </w:divBdr>
    </w:div>
    <w:div w:id="901676508">
      <w:marLeft w:val="0"/>
      <w:marRight w:val="0"/>
      <w:marTop w:val="0"/>
      <w:marBottom w:val="0"/>
      <w:divBdr>
        <w:top w:val="none" w:sz="0" w:space="0" w:color="auto"/>
        <w:left w:val="none" w:sz="0" w:space="0" w:color="auto"/>
        <w:bottom w:val="none" w:sz="0" w:space="0" w:color="auto"/>
        <w:right w:val="none" w:sz="0" w:space="0" w:color="auto"/>
      </w:divBdr>
    </w:div>
    <w:div w:id="901676509">
      <w:marLeft w:val="0"/>
      <w:marRight w:val="0"/>
      <w:marTop w:val="0"/>
      <w:marBottom w:val="0"/>
      <w:divBdr>
        <w:top w:val="none" w:sz="0" w:space="0" w:color="auto"/>
        <w:left w:val="none" w:sz="0" w:space="0" w:color="auto"/>
        <w:bottom w:val="none" w:sz="0" w:space="0" w:color="auto"/>
        <w:right w:val="none" w:sz="0" w:space="0" w:color="auto"/>
      </w:divBdr>
    </w:div>
    <w:div w:id="901676510">
      <w:marLeft w:val="0"/>
      <w:marRight w:val="0"/>
      <w:marTop w:val="0"/>
      <w:marBottom w:val="0"/>
      <w:divBdr>
        <w:top w:val="none" w:sz="0" w:space="0" w:color="auto"/>
        <w:left w:val="none" w:sz="0" w:space="0" w:color="auto"/>
        <w:bottom w:val="none" w:sz="0" w:space="0" w:color="auto"/>
        <w:right w:val="none" w:sz="0" w:space="0" w:color="auto"/>
      </w:divBdr>
    </w:div>
    <w:div w:id="901676511">
      <w:marLeft w:val="0"/>
      <w:marRight w:val="0"/>
      <w:marTop w:val="0"/>
      <w:marBottom w:val="0"/>
      <w:divBdr>
        <w:top w:val="none" w:sz="0" w:space="0" w:color="auto"/>
        <w:left w:val="none" w:sz="0" w:space="0" w:color="auto"/>
        <w:bottom w:val="none" w:sz="0" w:space="0" w:color="auto"/>
        <w:right w:val="none" w:sz="0" w:space="0" w:color="auto"/>
      </w:divBdr>
    </w:div>
    <w:div w:id="901676512">
      <w:marLeft w:val="0"/>
      <w:marRight w:val="0"/>
      <w:marTop w:val="0"/>
      <w:marBottom w:val="0"/>
      <w:divBdr>
        <w:top w:val="none" w:sz="0" w:space="0" w:color="auto"/>
        <w:left w:val="none" w:sz="0" w:space="0" w:color="auto"/>
        <w:bottom w:val="none" w:sz="0" w:space="0" w:color="auto"/>
        <w:right w:val="none" w:sz="0" w:space="0" w:color="auto"/>
      </w:divBdr>
    </w:div>
    <w:div w:id="901676513">
      <w:marLeft w:val="0"/>
      <w:marRight w:val="0"/>
      <w:marTop w:val="0"/>
      <w:marBottom w:val="0"/>
      <w:divBdr>
        <w:top w:val="none" w:sz="0" w:space="0" w:color="auto"/>
        <w:left w:val="none" w:sz="0" w:space="0" w:color="auto"/>
        <w:bottom w:val="none" w:sz="0" w:space="0" w:color="auto"/>
        <w:right w:val="none" w:sz="0" w:space="0" w:color="auto"/>
      </w:divBdr>
    </w:div>
    <w:div w:id="901676514">
      <w:marLeft w:val="0"/>
      <w:marRight w:val="0"/>
      <w:marTop w:val="0"/>
      <w:marBottom w:val="0"/>
      <w:divBdr>
        <w:top w:val="none" w:sz="0" w:space="0" w:color="auto"/>
        <w:left w:val="none" w:sz="0" w:space="0" w:color="auto"/>
        <w:bottom w:val="none" w:sz="0" w:space="0" w:color="auto"/>
        <w:right w:val="none" w:sz="0" w:space="0" w:color="auto"/>
      </w:divBdr>
    </w:div>
    <w:div w:id="901676515">
      <w:marLeft w:val="0"/>
      <w:marRight w:val="0"/>
      <w:marTop w:val="0"/>
      <w:marBottom w:val="0"/>
      <w:divBdr>
        <w:top w:val="none" w:sz="0" w:space="0" w:color="auto"/>
        <w:left w:val="none" w:sz="0" w:space="0" w:color="auto"/>
        <w:bottom w:val="none" w:sz="0" w:space="0" w:color="auto"/>
        <w:right w:val="none" w:sz="0" w:space="0" w:color="auto"/>
      </w:divBdr>
    </w:div>
    <w:div w:id="901676516">
      <w:marLeft w:val="0"/>
      <w:marRight w:val="0"/>
      <w:marTop w:val="0"/>
      <w:marBottom w:val="0"/>
      <w:divBdr>
        <w:top w:val="none" w:sz="0" w:space="0" w:color="auto"/>
        <w:left w:val="none" w:sz="0" w:space="0" w:color="auto"/>
        <w:bottom w:val="none" w:sz="0" w:space="0" w:color="auto"/>
        <w:right w:val="none" w:sz="0" w:space="0" w:color="auto"/>
      </w:divBdr>
    </w:div>
    <w:div w:id="901676517">
      <w:marLeft w:val="0"/>
      <w:marRight w:val="0"/>
      <w:marTop w:val="0"/>
      <w:marBottom w:val="0"/>
      <w:divBdr>
        <w:top w:val="none" w:sz="0" w:space="0" w:color="auto"/>
        <w:left w:val="none" w:sz="0" w:space="0" w:color="auto"/>
        <w:bottom w:val="none" w:sz="0" w:space="0" w:color="auto"/>
        <w:right w:val="none" w:sz="0" w:space="0" w:color="auto"/>
      </w:divBdr>
    </w:div>
    <w:div w:id="194526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agrostat.agricultura.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227BAC-93FC-4B54-9C70-FE9335A9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8</Pages>
  <Words>3453</Words>
  <Characters>18545</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Resultados do mês</vt:lpstr>
    </vt:vector>
  </TitlesOfParts>
  <Company>.</Company>
  <LinksUpToDate>false</LinksUpToDate>
  <CharactersWithSpaces>21955</CharactersWithSpaces>
  <SharedDoc>false</SharedDoc>
  <HLinks>
    <vt:vector size="6" baseType="variant">
      <vt:variant>
        <vt:i4>6553635</vt:i4>
      </vt:variant>
      <vt:variant>
        <vt:i4>0</vt:i4>
      </vt:variant>
      <vt:variant>
        <vt:i4>0</vt:i4>
      </vt:variant>
      <vt:variant>
        <vt:i4>5</vt:i4>
      </vt:variant>
      <vt:variant>
        <vt:lpwstr>http://www.agrostat.agricultura.gov.br/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do mês</dc:title>
  <dc:subject/>
  <dc:creator>.</dc:creator>
  <cp:keywords/>
  <cp:lastModifiedBy>Gastao Giometti</cp:lastModifiedBy>
  <cp:revision>7</cp:revision>
  <cp:lastPrinted>2015-01-09T11:18:00Z</cp:lastPrinted>
  <dcterms:created xsi:type="dcterms:W3CDTF">2019-02-11T12:43:00Z</dcterms:created>
  <dcterms:modified xsi:type="dcterms:W3CDTF">2019-02-11T15:51:00Z</dcterms:modified>
</cp:coreProperties>
</file>