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B02" w:rsidRPr="003C54E1" w:rsidRDefault="00C87B02">
      <w:pPr>
        <w:pStyle w:val="Cabealho"/>
        <w:tabs>
          <w:tab w:val="clear" w:pos="4419"/>
          <w:tab w:val="clear" w:pos="8838"/>
        </w:tabs>
        <w:rPr>
          <w:rFonts w:ascii="Arial" w:hAnsi="Arial" w:cs="Arial"/>
          <w:b/>
        </w:rPr>
      </w:pPr>
      <w:r w:rsidRPr="003C54E1">
        <w:rPr>
          <w:rFonts w:ascii="Arial" w:hAnsi="Arial" w:cs="Arial"/>
          <w:b/>
        </w:rPr>
        <w:t>MINISTÉRIO DA AGRICULTURA, PECUÁRIA E ABASTECIMENTO</w:t>
      </w:r>
    </w:p>
    <w:p w:rsidR="00C87B02" w:rsidRPr="003C54E1" w:rsidRDefault="00C87B02">
      <w:pPr>
        <w:pStyle w:val="Cabealho"/>
        <w:tabs>
          <w:tab w:val="clear" w:pos="4419"/>
          <w:tab w:val="clear" w:pos="8838"/>
        </w:tabs>
        <w:rPr>
          <w:rFonts w:ascii="Arial" w:hAnsi="Arial" w:cs="Arial"/>
          <w:b/>
        </w:rPr>
      </w:pPr>
      <w:r w:rsidRPr="003C54E1">
        <w:rPr>
          <w:rFonts w:ascii="Arial" w:hAnsi="Arial" w:cs="Arial"/>
          <w:b/>
        </w:rPr>
        <w:t>Secretaria de Relações Internacionais do Agronegócio</w:t>
      </w:r>
    </w:p>
    <w:p w:rsidR="00C87B02" w:rsidRPr="003C54E1" w:rsidRDefault="00C87B02">
      <w:pPr>
        <w:pStyle w:val="Ttulo1"/>
        <w:rPr>
          <w:rFonts w:ascii="Arial" w:hAnsi="Arial" w:cs="Arial"/>
          <w:sz w:val="20"/>
          <w:szCs w:val="20"/>
        </w:rPr>
      </w:pPr>
    </w:p>
    <w:p w:rsidR="00C87B02" w:rsidRDefault="00C87B02">
      <w:pPr>
        <w:pStyle w:val="Ttulo1"/>
        <w:rPr>
          <w:rFonts w:ascii="Arial" w:hAnsi="Arial" w:cs="Arial"/>
          <w:sz w:val="20"/>
          <w:szCs w:val="20"/>
        </w:rPr>
      </w:pPr>
      <w:r w:rsidRPr="003C54E1">
        <w:rPr>
          <w:rFonts w:ascii="Arial" w:hAnsi="Arial" w:cs="Arial"/>
          <w:sz w:val="20"/>
          <w:szCs w:val="20"/>
        </w:rPr>
        <w:t>Bal</w:t>
      </w:r>
      <w:r>
        <w:rPr>
          <w:rFonts w:ascii="Arial" w:hAnsi="Arial" w:cs="Arial"/>
          <w:sz w:val="20"/>
          <w:szCs w:val="20"/>
        </w:rPr>
        <w:t xml:space="preserve">ança Comercial do Agronegócio – </w:t>
      </w:r>
      <w:r w:rsidR="00850D44">
        <w:rPr>
          <w:rFonts w:ascii="Arial" w:hAnsi="Arial" w:cs="Arial"/>
          <w:sz w:val="20"/>
          <w:szCs w:val="20"/>
        </w:rPr>
        <w:t>Jul</w:t>
      </w:r>
      <w:r w:rsidR="00FB6AD2">
        <w:rPr>
          <w:rFonts w:ascii="Arial" w:hAnsi="Arial" w:cs="Arial"/>
          <w:sz w:val="20"/>
          <w:szCs w:val="20"/>
        </w:rPr>
        <w:t>ho</w:t>
      </w:r>
      <w:r w:rsidR="004215B4">
        <w:rPr>
          <w:rFonts w:ascii="Arial" w:hAnsi="Arial" w:cs="Arial"/>
          <w:sz w:val="20"/>
          <w:szCs w:val="20"/>
        </w:rPr>
        <w:t>/2017</w:t>
      </w:r>
    </w:p>
    <w:p w:rsidR="008035E6" w:rsidRDefault="008035E6" w:rsidP="008035E6"/>
    <w:p w:rsidR="008035E6" w:rsidRDefault="00850D44" w:rsidP="008035E6">
      <w:r w:rsidRPr="00850D44">
        <w:rPr>
          <w:noProof/>
        </w:rPr>
        <w:drawing>
          <wp:inline distT="0" distB="0" distL="0" distR="0" wp14:anchorId="74714519" wp14:editId="5C3BE5FA">
            <wp:extent cx="6480175" cy="30518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80175" cy="3051810"/>
                    </a:xfrm>
                    <a:prstGeom prst="rect">
                      <a:avLst/>
                    </a:prstGeom>
                  </pic:spPr>
                </pic:pic>
              </a:graphicData>
            </a:graphic>
          </wp:inline>
        </w:drawing>
      </w:r>
    </w:p>
    <w:p w:rsidR="00C87B02" w:rsidRPr="003C54E1" w:rsidRDefault="00C87B02">
      <w:pPr>
        <w:pStyle w:val="Ttulo5"/>
        <w:autoSpaceDE/>
        <w:autoSpaceDN/>
        <w:adjustRightInd/>
        <w:rPr>
          <w:rFonts w:ascii="Arial" w:hAnsi="Arial" w:cs="Arial"/>
          <w:sz w:val="20"/>
          <w:szCs w:val="20"/>
        </w:rPr>
      </w:pPr>
    </w:p>
    <w:p w:rsidR="00E04FAF" w:rsidRDefault="00E04FAF">
      <w:pPr>
        <w:pStyle w:val="Ttulo5"/>
        <w:autoSpaceDE/>
        <w:autoSpaceDN/>
        <w:adjustRightInd/>
        <w:rPr>
          <w:rFonts w:ascii="Arial" w:hAnsi="Arial" w:cs="Arial"/>
          <w:sz w:val="20"/>
          <w:szCs w:val="20"/>
        </w:rPr>
      </w:pPr>
    </w:p>
    <w:p w:rsidR="00C87B02" w:rsidRDefault="00C87B02">
      <w:pPr>
        <w:pStyle w:val="Ttulo5"/>
        <w:autoSpaceDE/>
        <w:autoSpaceDN/>
        <w:adjustRightInd/>
        <w:rPr>
          <w:rFonts w:ascii="Arial" w:hAnsi="Arial" w:cs="Arial"/>
          <w:sz w:val="20"/>
          <w:szCs w:val="20"/>
        </w:rPr>
      </w:pPr>
      <w:r w:rsidRPr="003C54E1">
        <w:rPr>
          <w:rFonts w:ascii="Arial" w:hAnsi="Arial" w:cs="Arial"/>
          <w:sz w:val="20"/>
          <w:szCs w:val="20"/>
        </w:rPr>
        <w:t xml:space="preserve">I </w:t>
      </w:r>
      <w:r w:rsidR="001D51EE">
        <w:rPr>
          <w:rFonts w:ascii="Arial" w:hAnsi="Arial" w:cs="Arial"/>
          <w:sz w:val="20"/>
          <w:szCs w:val="20"/>
        </w:rPr>
        <w:t>–</w:t>
      </w:r>
      <w:r w:rsidRPr="003C54E1">
        <w:rPr>
          <w:rFonts w:ascii="Arial" w:hAnsi="Arial" w:cs="Arial"/>
          <w:sz w:val="20"/>
          <w:szCs w:val="20"/>
        </w:rPr>
        <w:t xml:space="preserve"> Resultados do mês</w:t>
      </w:r>
      <w:r w:rsidR="004215B4">
        <w:rPr>
          <w:rFonts w:ascii="Arial" w:hAnsi="Arial" w:cs="Arial"/>
          <w:sz w:val="20"/>
          <w:szCs w:val="20"/>
        </w:rPr>
        <w:t xml:space="preserve"> (comparativo </w:t>
      </w:r>
      <w:r w:rsidR="00850D44">
        <w:rPr>
          <w:rFonts w:ascii="Arial" w:hAnsi="Arial" w:cs="Arial"/>
          <w:sz w:val="20"/>
          <w:szCs w:val="20"/>
        </w:rPr>
        <w:t>Jul</w:t>
      </w:r>
      <w:r w:rsidR="00FB6AD2">
        <w:rPr>
          <w:rFonts w:ascii="Arial" w:hAnsi="Arial" w:cs="Arial"/>
          <w:sz w:val="20"/>
          <w:szCs w:val="20"/>
        </w:rPr>
        <w:t>ho</w:t>
      </w:r>
      <w:r w:rsidR="004215B4">
        <w:rPr>
          <w:rFonts w:ascii="Arial" w:hAnsi="Arial" w:cs="Arial"/>
          <w:sz w:val="20"/>
          <w:szCs w:val="20"/>
        </w:rPr>
        <w:t>/2017</w:t>
      </w:r>
      <w:r w:rsidR="00D50BB5">
        <w:rPr>
          <w:rFonts w:ascii="Arial" w:hAnsi="Arial" w:cs="Arial"/>
          <w:sz w:val="20"/>
          <w:szCs w:val="20"/>
        </w:rPr>
        <w:t xml:space="preserve"> – </w:t>
      </w:r>
      <w:r w:rsidR="00850D44">
        <w:rPr>
          <w:rFonts w:ascii="Arial" w:hAnsi="Arial" w:cs="Arial"/>
          <w:sz w:val="20"/>
          <w:szCs w:val="20"/>
        </w:rPr>
        <w:t>Jul</w:t>
      </w:r>
      <w:r w:rsidR="00FB6AD2">
        <w:rPr>
          <w:rFonts w:ascii="Arial" w:hAnsi="Arial" w:cs="Arial"/>
          <w:sz w:val="20"/>
          <w:szCs w:val="20"/>
        </w:rPr>
        <w:t>ho</w:t>
      </w:r>
      <w:r w:rsidR="004215B4">
        <w:rPr>
          <w:rFonts w:ascii="Arial" w:hAnsi="Arial" w:cs="Arial"/>
          <w:sz w:val="20"/>
          <w:szCs w:val="20"/>
        </w:rPr>
        <w:t>2016</w:t>
      </w:r>
      <w:r w:rsidR="001D51EE">
        <w:rPr>
          <w:rFonts w:ascii="Arial" w:hAnsi="Arial" w:cs="Arial"/>
          <w:sz w:val="20"/>
          <w:szCs w:val="20"/>
        </w:rPr>
        <w:t>)</w:t>
      </w:r>
    </w:p>
    <w:p w:rsidR="00A16A28" w:rsidRDefault="00A16A28" w:rsidP="00A16A28"/>
    <w:p w:rsidR="00AA50D3" w:rsidRPr="00AA50D3" w:rsidRDefault="00AA50D3" w:rsidP="00AA50D3">
      <w:pPr>
        <w:jc w:val="both"/>
        <w:rPr>
          <w:rFonts w:ascii="Arial" w:hAnsi="Arial" w:cs="Arial"/>
          <w:sz w:val="20"/>
          <w:szCs w:val="20"/>
        </w:rPr>
      </w:pPr>
      <w:r w:rsidRPr="00AA50D3">
        <w:rPr>
          <w:rFonts w:ascii="Arial" w:hAnsi="Arial" w:cs="Arial"/>
          <w:sz w:val="20"/>
          <w:szCs w:val="20"/>
        </w:rPr>
        <w:t>A exportação brasileira do agronegócio atingiu US$ 8,26 bilhões em julho de 2017, cifra 5,8% superior à registrada em igual mês de 2016, de US$ 7,81 bilhões. Do lado da importação, sob o mesmo período comparativo, registrou-se recuo de 8,3%, caindo de US$ 1,14 bilhão para US$ 1,05 bilhão. Esses resultados propiciaram aumento do superávit comercial do agronegócio, elevando-se de US$ 6,67 bilhões em julho de 2016 para US$ 7,22 bilhões em julho de 2017.</w:t>
      </w:r>
    </w:p>
    <w:p w:rsidR="005F69F8" w:rsidRPr="00A16A28" w:rsidRDefault="005F69F8" w:rsidP="005F69F8"/>
    <w:p w:rsidR="005F69F8" w:rsidRDefault="005F69F8" w:rsidP="005F69F8"/>
    <w:p w:rsidR="005F69F8" w:rsidRDefault="005F69F8" w:rsidP="005F69F8">
      <w:pPr>
        <w:pStyle w:val="Ttulo5"/>
        <w:autoSpaceDE/>
        <w:autoSpaceDN/>
        <w:adjustRightInd/>
        <w:rPr>
          <w:rFonts w:ascii="Arial" w:hAnsi="Arial" w:cs="Arial"/>
          <w:sz w:val="20"/>
          <w:szCs w:val="20"/>
        </w:rPr>
      </w:pPr>
      <w:proofErr w:type="spellStart"/>
      <w:r w:rsidRPr="001D51EE">
        <w:rPr>
          <w:rFonts w:ascii="Arial" w:hAnsi="Arial" w:cs="Arial"/>
          <w:sz w:val="20"/>
          <w:szCs w:val="20"/>
        </w:rPr>
        <w:t>I.</w:t>
      </w:r>
      <w:r>
        <w:rPr>
          <w:rFonts w:ascii="Arial" w:hAnsi="Arial" w:cs="Arial"/>
          <w:sz w:val="20"/>
          <w:szCs w:val="20"/>
        </w:rPr>
        <w:t>a</w:t>
      </w:r>
      <w:proofErr w:type="spellEnd"/>
      <w:r>
        <w:rPr>
          <w:rFonts w:ascii="Arial" w:hAnsi="Arial" w:cs="Arial"/>
          <w:sz w:val="20"/>
          <w:szCs w:val="20"/>
        </w:rPr>
        <w:t xml:space="preserve"> – Setores do Agronegócio</w:t>
      </w:r>
    </w:p>
    <w:p w:rsidR="005F69F8" w:rsidRDefault="005F69F8" w:rsidP="005F69F8"/>
    <w:p w:rsidR="00AA50D3" w:rsidRPr="00AA50D3" w:rsidRDefault="00AA50D3" w:rsidP="00AA50D3">
      <w:pPr>
        <w:jc w:val="both"/>
        <w:rPr>
          <w:rFonts w:ascii="Arial" w:hAnsi="Arial" w:cs="Arial"/>
          <w:sz w:val="20"/>
          <w:szCs w:val="20"/>
        </w:rPr>
      </w:pPr>
      <w:r w:rsidRPr="00AA50D3">
        <w:rPr>
          <w:rFonts w:ascii="Arial" w:hAnsi="Arial" w:cs="Arial"/>
          <w:sz w:val="20"/>
          <w:szCs w:val="20"/>
        </w:rPr>
        <w:t>A pauta exportadora do agronegócio foi liderada por produtos do complexo soja, com vendas de US$ 3,05 bilhões, representando 36,9% do total exportado em julho de 2017. Destacam-se as vendas de soja em grão, que em julho deste ano tiveram expansão de 20,2% no volume exportado, atingindo 7,0 milhões de toneladas. Contudo, dado a queda de 13,0% no preço médio, o aumento da receita foi de somente 4,5%. Já o valor das vendas de farelo de soja apontou declínio de 27,8% (quedas de 16,6% em quantidade e de 13,4% em preço), caindo para US$ 402,70 milhões. A exportação de óleo de soja subiu de US$ 61,08 milhões para US$ 114,82 milhões, implicando acréscimo de 88,0% na receita.</w:t>
      </w:r>
    </w:p>
    <w:p w:rsidR="00AA50D3" w:rsidRPr="00AA50D3" w:rsidRDefault="00AA50D3" w:rsidP="00AA50D3">
      <w:pPr>
        <w:jc w:val="both"/>
        <w:rPr>
          <w:rFonts w:ascii="Arial" w:hAnsi="Arial" w:cs="Arial"/>
          <w:sz w:val="20"/>
          <w:szCs w:val="20"/>
        </w:rPr>
      </w:pPr>
    </w:p>
    <w:p w:rsidR="00AA50D3" w:rsidRPr="00AA50D3" w:rsidRDefault="00AA50D3" w:rsidP="00AA50D3">
      <w:pPr>
        <w:jc w:val="both"/>
        <w:rPr>
          <w:rFonts w:ascii="Arial" w:hAnsi="Arial" w:cs="Arial"/>
          <w:sz w:val="20"/>
          <w:szCs w:val="20"/>
        </w:rPr>
      </w:pPr>
      <w:r w:rsidRPr="00AA50D3">
        <w:rPr>
          <w:rFonts w:ascii="Arial" w:hAnsi="Arial" w:cs="Arial"/>
          <w:sz w:val="20"/>
          <w:szCs w:val="20"/>
        </w:rPr>
        <w:t xml:space="preserve">As vendas de carnes apareceram em seguida, totalizando US$ 1,33 bilhão e superando em 13,2% o montante assinalado em julho de 2016. Esse grupo de produtos representou 16,1% sobre a exportação total do agronegócio em julho de 2017. As exportações de carne de frango </w:t>
      </w:r>
      <w:r w:rsidRPr="00AA50D3">
        <w:rPr>
          <w:rFonts w:ascii="Arial" w:hAnsi="Arial" w:cs="Arial"/>
          <w:i/>
          <w:sz w:val="20"/>
          <w:szCs w:val="20"/>
        </w:rPr>
        <w:t>in natura</w:t>
      </w:r>
      <w:r w:rsidRPr="00AA50D3">
        <w:rPr>
          <w:rFonts w:ascii="Arial" w:hAnsi="Arial" w:cs="Arial"/>
          <w:sz w:val="20"/>
          <w:szCs w:val="20"/>
        </w:rPr>
        <w:t xml:space="preserve"> foram o segmento mais representativo, com vendas de US$ 552,36 milhões, valor 8,1% acima de igual mês do ano anterior, atribuído ao aumento de 10,3% no volume exportado, tendo em vista que o preço médio recuou 2,0%. Com valor pouco abaixo, as exportações de carne bovina </w:t>
      </w:r>
      <w:r w:rsidRPr="00AA50D3">
        <w:rPr>
          <w:rFonts w:ascii="Arial" w:hAnsi="Arial" w:cs="Arial"/>
          <w:i/>
          <w:sz w:val="20"/>
          <w:szCs w:val="20"/>
        </w:rPr>
        <w:t>in natura</w:t>
      </w:r>
      <w:r w:rsidRPr="00AA50D3">
        <w:rPr>
          <w:rFonts w:ascii="Arial" w:hAnsi="Arial" w:cs="Arial"/>
          <w:sz w:val="20"/>
          <w:szCs w:val="20"/>
        </w:rPr>
        <w:t xml:space="preserve"> registraram crescimento de 38,5% no mês (+29,5% em quantidade e +7,0% no preço médio), alcançando US$ 450,67 milhões. Citam-se ainda as exportações de carne suína </w:t>
      </w:r>
      <w:r w:rsidRPr="00AA50D3">
        <w:rPr>
          <w:rFonts w:ascii="Arial" w:hAnsi="Arial" w:cs="Arial"/>
          <w:i/>
          <w:sz w:val="20"/>
          <w:szCs w:val="20"/>
        </w:rPr>
        <w:t>in natura</w:t>
      </w:r>
      <w:r w:rsidRPr="00AA50D3">
        <w:rPr>
          <w:rFonts w:ascii="Arial" w:hAnsi="Arial" w:cs="Arial"/>
          <w:sz w:val="20"/>
          <w:szCs w:val="20"/>
        </w:rPr>
        <w:t>, atingindo US$ 134,79 milhões, resultado de uma expansão de 12,1% sobre o valor de julho de 2016, embalada pelo avanço de 17,1% no preço médio, o que compensou a queda de 4,3% na quantidade embarcada.</w:t>
      </w:r>
    </w:p>
    <w:p w:rsidR="00AA50D3" w:rsidRPr="00AA50D3" w:rsidRDefault="00AA50D3" w:rsidP="00AA50D3">
      <w:pPr>
        <w:jc w:val="both"/>
        <w:rPr>
          <w:rFonts w:ascii="Arial" w:hAnsi="Arial" w:cs="Arial"/>
          <w:sz w:val="20"/>
          <w:szCs w:val="20"/>
        </w:rPr>
      </w:pPr>
    </w:p>
    <w:p w:rsidR="00AA50D3" w:rsidRPr="00AA50D3" w:rsidRDefault="00AA50D3" w:rsidP="00AA50D3">
      <w:pPr>
        <w:jc w:val="both"/>
        <w:rPr>
          <w:rFonts w:ascii="Arial" w:hAnsi="Arial" w:cs="Arial"/>
          <w:sz w:val="20"/>
          <w:szCs w:val="20"/>
        </w:rPr>
      </w:pPr>
      <w:r w:rsidRPr="00AA50D3">
        <w:rPr>
          <w:rFonts w:ascii="Arial" w:hAnsi="Arial" w:cs="Arial"/>
          <w:sz w:val="20"/>
          <w:szCs w:val="20"/>
        </w:rPr>
        <w:t>Quanto ao complexo sucroalcooleiro, anotou-se desempenho negativo no mês, com decréscimo de 3,8%, caindo de US$ 1,17 bilhão em julho de 2016 para US$ 1,12 bilhão em julho de 2017. Houve queda de 2,1% na exportação de açúcar (-8,5% em quantidade e +7,1% no preço médio), passando de US$ 1,06 bilhão para US$ 1,04 bilhão. As vendas de álcool declinaram ainda mais (-23,4%), de US$ 105,20 milhões para US$ 80,60 milhões, explicado pelo recuo de 28,7% na quantidade exportada (o preço médio aumentou 7,5%).</w:t>
      </w:r>
    </w:p>
    <w:p w:rsidR="00AA50D3" w:rsidRPr="00AA50D3" w:rsidRDefault="00AA50D3" w:rsidP="00AA50D3">
      <w:pPr>
        <w:jc w:val="both"/>
        <w:rPr>
          <w:rFonts w:ascii="Arial" w:hAnsi="Arial" w:cs="Arial"/>
          <w:sz w:val="20"/>
          <w:szCs w:val="20"/>
        </w:rPr>
      </w:pPr>
    </w:p>
    <w:p w:rsidR="00AA50D3" w:rsidRPr="00AA50D3" w:rsidRDefault="00AA50D3" w:rsidP="00AA50D3">
      <w:pPr>
        <w:jc w:val="both"/>
        <w:rPr>
          <w:rFonts w:ascii="Arial" w:hAnsi="Arial" w:cs="Arial"/>
          <w:sz w:val="20"/>
          <w:szCs w:val="20"/>
        </w:rPr>
      </w:pPr>
      <w:r w:rsidRPr="00AA50D3">
        <w:rPr>
          <w:rFonts w:ascii="Arial" w:hAnsi="Arial" w:cs="Arial"/>
          <w:sz w:val="20"/>
          <w:szCs w:val="20"/>
        </w:rPr>
        <w:t>Já as exportações de produtos florestais registraram crescimento de 11,2% em julho de 2017, chegando a US$ 930,50 milhões. Nesse conjunto de produtos, a venda de celulose apresentou-se como o principal item, somando US$ 497,30 milhões, cifra 10,0% do valor contabilizado em julho/2016. Convém salientar que os embarques de celulose recuaram 8,9% no período, contudo, o preço médio elevou-se 20,8%, o que explicou o aumento de receita. Situação semelhante ocorreu nas vendas de madeiras e suas obras, com acréscimo de 15,5% no valor exportado (queda de 10,8% em volume e aumento de 29,5% no preço médio), passando para US$ 273,52 milhões. As exportações de papel atingiram US$ 159,57 milhões, revelando expansão de 7,9% (+4,4% em quantidade e +3,3% no preço médio).</w:t>
      </w:r>
    </w:p>
    <w:p w:rsidR="00AA50D3" w:rsidRPr="00AA50D3" w:rsidRDefault="00AA50D3" w:rsidP="00AA50D3">
      <w:pPr>
        <w:jc w:val="both"/>
        <w:rPr>
          <w:rFonts w:ascii="Arial" w:hAnsi="Arial" w:cs="Arial"/>
          <w:sz w:val="20"/>
          <w:szCs w:val="20"/>
        </w:rPr>
      </w:pPr>
    </w:p>
    <w:p w:rsidR="00AA50D3" w:rsidRPr="00AA50D3" w:rsidRDefault="00AA50D3" w:rsidP="00AA50D3">
      <w:pPr>
        <w:jc w:val="both"/>
        <w:rPr>
          <w:rFonts w:ascii="Arial" w:hAnsi="Arial" w:cs="Arial"/>
          <w:sz w:val="20"/>
          <w:szCs w:val="20"/>
        </w:rPr>
      </w:pPr>
      <w:r w:rsidRPr="00AA50D3">
        <w:rPr>
          <w:rFonts w:ascii="Arial" w:hAnsi="Arial" w:cs="Arial"/>
          <w:sz w:val="20"/>
          <w:szCs w:val="20"/>
        </w:rPr>
        <w:t>Como quinto setor da pauta, as exportações de cereais, farinhas e preparações totalizaram US$ 415,89 milhões, registrando expressivo aumento de 85,7% frente ao valor contabilizado em julho/2016, de US$ 224,01 milhões. O acréscimo de 93,7% nas vendas de milho (+122,2% em quantidade e -12,8% no preço médio) impulsionou o desempenho do setor, alcançando US$ 356,97 milhões. Foram embarcadas 2,45 milhões de toneladas em julho/2017, número recorde para meses de julho.</w:t>
      </w:r>
    </w:p>
    <w:p w:rsidR="00AA50D3" w:rsidRPr="00AA50D3" w:rsidRDefault="00AA50D3" w:rsidP="00AA50D3">
      <w:pPr>
        <w:jc w:val="both"/>
        <w:rPr>
          <w:rFonts w:ascii="Arial" w:hAnsi="Arial" w:cs="Arial"/>
          <w:sz w:val="20"/>
          <w:szCs w:val="20"/>
        </w:rPr>
      </w:pPr>
    </w:p>
    <w:p w:rsidR="00AA50D3" w:rsidRPr="00AA50D3" w:rsidRDefault="00AA50D3" w:rsidP="00AA50D3">
      <w:pPr>
        <w:jc w:val="both"/>
        <w:rPr>
          <w:rFonts w:ascii="Arial" w:hAnsi="Arial" w:cs="Arial"/>
          <w:sz w:val="20"/>
          <w:szCs w:val="20"/>
        </w:rPr>
      </w:pPr>
      <w:r w:rsidRPr="00AA50D3">
        <w:rPr>
          <w:rFonts w:ascii="Arial" w:hAnsi="Arial" w:cs="Arial"/>
          <w:sz w:val="20"/>
          <w:szCs w:val="20"/>
        </w:rPr>
        <w:t xml:space="preserve">Os cinco principais setores, em conjunto, representaram 82,9% sobre o total da exportação brasileira do agronegócio em julho de 2017. Em igual mês do ano anterior, esse percentual foi 82,6%, exibindo, portanto, um ligeiro aumento da concentração da pauta. </w:t>
      </w:r>
    </w:p>
    <w:p w:rsidR="00AA50D3" w:rsidRPr="00AA50D3" w:rsidRDefault="00AA50D3" w:rsidP="00AA50D3">
      <w:pPr>
        <w:jc w:val="both"/>
        <w:rPr>
          <w:rFonts w:ascii="Arial" w:hAnsi="Arial" w:cs="Arial"/>
          <w:sz w:val="20"/>
          <w:szCs w:val="20"/>
        </w:rPr>
      </w:pPr>
    </w:p>
    <w:p w:rsidR="00AA50D3" w:rsidRPr="00AA50D3" w:rsidRDefault="00AA50D3" w:rsidP="00AA50D3">
      <w:pPr>
        <w:jc w:val="both"/>
        <w:rPr>
          <w:rFonts w:ascii="Arial" w:hAnsi="Arial" w:cs="Arial"/>
          <w:sz w:val="20"/>
          <w:szCs w:val="20"/>
        </w:rPr>
      </w:pPr>
      <w:r w:rsidRPr="00AA50D3">
        <w:rPr>
          <w:rFonts w:ascii="Arial" w:hAnsi="Arial" w:cs="Arial"/>
          <w:sz w:val="20"/>
          <w:szCs w:val="20"/>
        </w:rPr>
        <w:t>Do lado da importação, a pauta foi encabeçada pelas aquisições de cereais, farinhas e preparações, que atingiram US$ 174,65 milhões em julho de 2017. Contudo, comparativamente a igual mês do ano anterior, essas compras tiveram decréscimo de 44,2%. A maior queda relativa no setor ocorreu nas compras de malte (-74,8%), caindo de US$ 70,28 milhões para US$ 17,71 milhões. As compras de trigo, principal item do setor, declinaram 17,2%, passando para US$ 98,29 milhões. Arroz e farinha de trigo também acompanharam o desempenho negativo, com decréscimos de 4,5% e 18,6%, respectivamente.</w:t>
      </w:r>
    </w:p>
    <w:p w:rsidR="00AA50D3" w:rsidRPr="00AA50D3" w:rsidRDefault="00AA50D3" w:rsidP="00AA50D3">
      <w:pPr>
        <w:jc w:val="both"/>
        <w:rPr>
          <w:rFonts w:ascii="Arial" w:hAnsi="Arial" w:cs="Arial"/>
          <w:sz w:val="20"/>
          <w:szCs w:val="20"/>
        </w:rPr>
      </w:pPr>
    </w:p>
    <w:p w:rsidR="00AA50D3" w:rsidRPr="00AA50D3" w:rsidRDefault="00AA50D3" w:rsidP="00AA50D3">
      <w:pPr>
        <w:jc w:val="both"/>
        <w:rPr>
          <w:rFonts w:ascii="Arial" w:hAnsi="Arial" w:cs="Arial"/>
          <w:sz w:val="20"/>
          <w:szCs w:val="20"/>
        </w:rPr>
      </w:pPr>
      <w:r w:rsidRPr="00AA50D3">
        <w:rPr>
          <w:rFonts w:ascii="Arial" w:hAnsi="Arial" w:cs="Arial"/>
          <w:sz w:val="20"/>
          <w:szCs w:val="20"/>
        </w:rPr>
        <w:t>Produtos florestais foram o segundo setor da pauta de importação, cujas compras atingiram US$ 126,80 milhões em julho de 2017, superando em 9,6% o valor de julho de 2016. As aquisições de papel (+9,7%) e borracha natural (+50,8%) sustentaram o desempenho positivo do setor, uma vez que as importações de celulose retrocederam 36,0%.</w:t>
      </w:r>
    </w:p>
    <w:p w:rsidR="00AA50D3" w:rsidRPr="00AA50D3" w:rsidRDefault="00AA50D3" w:rsidP="00AA50D3">
      <w:pPr>
        <w:jc w:val="both"/>
        <w:rPr>
          <w:rFonts w:ascii="Arial" w:hAnsi="Arial" w:cs="Arial"/>
          <w:sz w:val="20"/>
          <w:szCs w:val="20"/>
        </w:rPr>
      </w:pPr>
    </w:p>
    <w:p w:rsidR="00AA50D3" w:rsidRPr="00AA50D3" w:rsidRDefault="00AA50D3" w:rsidP="00AA50D3">
      <w:pPr>
        <w:jc w:val="both"/>
        <w:rPr>
          <w:rFonts w:ascii="Arial" w:hAnsi="Arial" w:cs="Arial"/>
          <w:sz w:val="20"/>
          <w:szCs w:val="20"/>
        </w:rPr>
      </w:pPr>
      <w:r w:rsidRPr="00AA50D3">
        <w:rPr>
          <w:rFonts w:ascii="Arial" w:hAnsi="Arial" w:cs="Arial"/>
          <w:sz w:val="20"/>
          <w:szCs w:val="20"/>
        </w:rPr>
        <w:t>Além desses dois principais setores, citam-se as importações de pescados (aumento de 27,5%, para US$ 91,07 milhões), produtos oleaginosos, excluindo-se soja (+1,8%, para US$ 72,43 milhões) e lácteos (-13,5%, para US$ 53,73 milhões).</w:t>
      </w:r>
    </w:p>
    <w:p w:rsidR="00AA50D3" w:rsidRDefault="00AA50D3" w:rsidP="005F69F8"/>
    <w:p w:rsidR="00850D44" w:rsidRDefault="00850D44" w:rsidP="005F69F8">
      <w:r w:rsidRPr="00850D44">
        <w:rPr>
          <w:noProof/>
        </w:rPr>
        <w:drawing>
          <wp:inline distT="0" distB="0" distL="0" distR="0" wp14:anchorId="0FF91CA7" wp14:editId="0773F87A">
            <wp:extent cx="6480175" cy="385508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80175" cy="3855085"/>
                    </a:xfrm>
                    <a:prstGeom prst="rect">
                      <a:avLst/>
                    </a:prstGeom>
                  </pic:spPr>
                </pic:pic>
              </a:graphicData>
            </a:graphic>
          </wp:inline>
        </w:drawing>
      </w:r>
    </w:p>
    <w:p w:rsidR="005F69F8" w:rsidRPr="00AF59CE" w:rsidRDefault="005F69F8" w:rsidP="005F69F8">
      <w:pPr>
        <w:jc w:val="both"/>
        <w:rPr>
          <w:rFonts w:ascii="Arial" w:hAnsi="Arial" w:cs="Arial"/>
          <w:sz w:val="20"/>
          <w:szCs w:val="20"/>
        </w:rPr>
      </w:pPr>
      <w:r w:rsidRPr="00AF59CE">
        <w:rPr>
          <w:rFonts w:ascii="Arial" w:hAnsi="Arial" w:cs="Arial"/>
          <w:sz w:val="20"/>
          <w:szCs w:val="20"/>
        </w:rPr>
        <w:t xml:space="preserve"> </w:t>
      </w:r>
    </w:p>
    <w:p w:rsidR="00A16A28" w:rsidRPr="00A16A28" w:rsidRDefault="00A16A28" w:rsidP="00A16A28"/>
    <w:p w:rsidR="001D51EE" w:rsidRDefault="001D51EE" w:rsidP="001D51EE">
      <w:pPr>
        <w:pStyle w:val="Ttulo5"/>
        <w:autoSpaceDE/>
        <w:autoSpaceDN/>
        <w:adjustRightInd/>
        <w:rPr>
          <w:rFonts w:ascii="Arial" w:hAnsi="Arial" w:cs="Arial"/>
          <w:sz w:val="20"/>
          <w:szCs w:val="20"/>
        </w:rPr>
      </w:pPr>
      <w:proofErr w:type="spellStart"/>
      <w:r w:rsidRPr="001D51EE">
        <w:rPr>
          <w:rFonts w:ascii="Arial" w:hAnsi="Arial" w:cs="Arial"/>
          <w:sz w:val="20"/>
          <w:szCs w:val="20"/>
        </w:rPr>
        <w:t>I.</w:t>
      </w:r>
      <w:r>
        <w:rPr>
          <w:rFonts w:ascii="Arial" w:hAnsi="Arial" w:cs="Arial"/>
          <w:sz w:val="20"/>
          <w:szCs w:val="20"/>
        </w:rPr>
        <w:t>b</w:t>
      </w:r>
      <w:proofErr w:type="spellEnd"/>
      <w:r>
        <w:rPr>
          <w:rFonts w:ascii="Arial" w:hAnsi="Arial" w:cs="Arial"/>
          <w:sz w:val="20"/>
          <w:szCs w:val="20"/>
        </w:rPr>
        <w:t xml:space="preserve"> – Blocos Econômicos e Regiões Geográficas</w:t>
      </w:r>
    </w:p>
    <w:p w:rsidR="00AA50D3" w:rsidRDefault="00AA50D3" w:rsidP="00AA50D3"/>
    <w:p w:rsidR="00AA50D3" w:rsidRPr="00AA50D3" w:rsidRDefault="00AA50D3" w:rsidP="00AA50D3">
      <w:pPr>
        <w:jc w:val="both"/>
        <w:rPr>
          <w:rFonts w:ascii="Arial" w:hAnsi="Arial" w:cs="Arial"/>
          <w:sz w:val="20"/>
          <w:szCs w:val="20"/>
        </w:rPr>
      </w:pPr>
      <w:r w:rsidRPr="00AA50D3">
        <w:rPr>
          <w:rFonts w:ascii="Arial" w:hAnsi="Arial" w:cs="Arial"/>
          <w:sz w:val="20"/>
          <w:szCs w:val="20"/>
        </w:rPr>
        <w:t>A Ásia manteve-se na liderança entre os mercados da exportação brasileira do agronegócio em julho de 2017, com vendas à região de US$ 3,75 bilhões, correspondendo a aumento de 2,0% sobre a cifra de julho de 2016. Não obstante esse crescimento, a participação do bloco em relação à exportação total do mês reduziu de 47,1% para 45,4%.</w:t>
      </w:r>
    </w:p>
    <w:p w:rsidR="00AA50D3" w:rsidRPr="00AA50D3" w:rsidRDefault="00AA50D3" w:rsidP="00AA50D3">
      <w:pPr>
        <w:jc w:val="both"/>
        <w:rPr>
          <w:rFonts w:ascii="Arial" w:hAnsi="Arial" w:cs="Arial"/>
          <w:sz w:val="20"/>
          <w:szCs w:val="20"/>
        </w:rPr>
      </w:pPr>
    </w:p>
    <w:p w:rsidR="00AA50D3" w:rsidRPr="00AA50D3" w:rsidRDefault="00AA50D3" w:rsidP="00AA50D3">
      <w:pPr>
        <w:jc w:val="both"/>
        <w:rPr>
          <w:rFonts w:ascii="Arial" w:hAnsi="Arial" w:cs="Arial"/>
          <w:sz w:val="20"/>
          <w:szCs w:val="20"/>
        </w:rPr>
      </w:pPr>
      <w:r w:rsidRPr="00AA50D3">
        <w:rPr>
          <w:rFonts w:ascii="Arial" w:hAnsi="Arial" w:cs="Arial"/>
          <w:sz w:val="20"/>
          <w:szCs w:val="20"/>
        </w:rPr>
        <w:t>Na segunda colocação, a União Europeia contabilizou queda de 7,3% nas suas compras de produtos do agronegócio brasileiro, caindo de US$ 1,42 bilhão para US$ 1,32 bilhão. Assim, sua participação retrocedeu de 18,2% para 16,0% sobre o total das exportações.</w:t>
      </w:r>
    </w:p>
    <w:p w:rsidR="00AA50D3" w:rsidRPr="00AA50D3" w:rsidRDefault="00AA50D3" w:rsidP="00AA50D3">
      <w:pPr>
        <w:jc w:val="both"/>
        <w:rPr>
          <w:rFonts w:ascii="Arial" w:hAnsi="Arial" w:cs="Arial"/>
          <w:sz w:val="20"/>
          <w:szCs w:val="20"/>
        </w:rPr>
      </w:pPr>
    </w:p>
    <w:p w:rsidR="00AA50D3" w:rsidRPr="00AA50D3" w:rsidRDefault="00AA50D3" w:rsidP="00AA50D3">
      <w:pPr>
        <w:jc w:val="both"/>
        <w:rPr>
          <w:rFonts w:ascii="Arial" w:hAnsi="Arial" w:cs="Arial"/>
          <w:sz w:val="20"/>
          <w:szCs w:val="20"/>
        </w:rPr>
      </w:pPr>
      <w:r w:rsidRPr="00AA50D3">
        <w:rPr>
          <w:rFonts w:ascii="Arial" w:hAnsi="Arial" w:cs="Arial"/>
          <w:sz w:val="20"/>
          <w:szCs w:val="20"/>
        </w:rPr>
        <w:t>Ao Oriente Médio, as exportações somaram US$ 807,06 milhões em julho de 2017, representando aumento de 10,2% sobre julho/2016, o que fez elevar a participação da região de 9,4% para 9,8%.</w:t>
      </w:r>
    </w:p>
    <w:p w:rsidR="00AA50D3" w:rsidRPr="00AA50D3" w:rsidRDefault="00AA50D3" w:rsidP="00AA50D3">
      <w:pPr>
        <w:jc w:val="both"/>
        <w:rPr>
          <w:rFonts w:ascii="Arial" w:hAnsi="Arial" w:cs="Arial"/>
          <w:sz w:val="20"/>
          <w:szCs w:val="20"/>
        </w:rPr>
      </w:pPr>
    </w:p>
    <w:p w:rsidR="00AA50D3" w:rsidRPr="00AA50D3" w:rsidRDefault="00AA50D3" w:rsidP="00AA50D3">
      <w:pPr>
        <w:jc w:val="both"/>
        <w:rPr>
          <w:rFonts w:ascii="Arial" w:hAnsi="Arial" w:cs="Arial"/>
          <w:sz w:val="20"/>
          <w:szCs w:val="20"/>
        </w:rPr>
      </w:pPr>
      <w:r w:rsidRPr="00AA50D3">
        <w:rPr>
          <w:rFonts w:ascii="Arial" w:hAnsi="Arial" w:cs="Arial"/>
          <w:sz w:val="20"/>
          <w:szCs w:val="20"/>
        </w:rPr>
        <w:t>Relativamente ao Nafta, apontou-se crescimento de 4,8% nas exportações, subindo para US$ 728,86 milhões. Entretanto, a participação do bloco caiu de 8,9% para 8,8%.</w:t>
      </w:r>
    </w:p>
    <w:p w:rsidR="00AA50D3" w:rsidRPr="00AA50D3" w:rsidRDefault="00AA50D3" w:rsidP="00AA50D3">
      <w:pPr>
        <w:jc w:val="both"/>
        <w:rPr>
          <w:rFonts w:ascii="Arial" w:hAnsi="Arial" w:cs="Arial"/>
          <w:sz w:val="20"/>
          <w:szCs w:val="20"/>
        </w:rPr>
      </w:pPr>
    </w:p>
    <w:p w:rsidR="00AA50D3" w:rsidRPr="00AA50D3" w:rsidRDefault="00AA50D3" w:rsidP="00AA50D3">
      <w:pPr>
        <w:jc w:val="both"/>
        <w:rPr>
          <w:rFonts w:ascii="Arial" w:hAnsi="Arial" w:cs="Arial"/>
          <w:sz w:val="20"/>
          <w:szCs w:val="20"/>
        </w:rPr>
      </w:pPr>
      <w:r w:rsidRPr="00AA50D3">
        <w:rPr>
          <w:rFonts w:ascii="Arial" w:hAnsi="Arial" w:cs="Arial"/>
          <w:sz w:val="20"/>
          <w:szCs w:val="20"/>
        </w:rPr>
        <w:t>Já os três mercados seguintes destacaram-se por registrar crescimentos mais expressivos. As vendas à África aumentaram 40,1%, passando para US$ 707,76 milhões e elevando a participação de 6,5% para 8,6%. O acréscimo das vendas à Europa Oriental foi o maior dentre os mercados (+41,6%), atingindo US$ 315,41 milhões. Para a Aladi, exclusive Mercosul, as exportações ampliaram-se 24,7%, atingindo US$ 312,41 milhões.</w:t>
      </w:r>
    </w:p>
    <w:p w:rsidR="00AA50D3" w:rsidRPr="00AA50D3" w:rsidRDefault="00AA50D3" w:rsidP="00AA50D3">
      <w:pPr>
        <w:jc w:val="both"/>
        <w:rPr>
          <w:rFonts w:ascii="Arial" w:hAnsi="Arial" w:cs="Arial"/>
          <w:sz w:val="20"/>
          <w:szCs w:val="20"/>
        </w:rPr>
      </w:pPr>
    </w:p>
    <w:p w:rsidR="00AA50D3" w:rsidRPr="00AA50D3" w:rsidRDefault="00AA50D3" w:rsidP="00AA50D3">
      <w:pPr>
        <w:jc w:val="both"/>
        <w:rPr>
          <w:rFonts w:ascii="Arial" w:hAnsi="Arial" w:cs="Arial"/>
          <w:sz w:val="20"/>
          <w:szCs w:val="20"/>
        </w:rPr>
      </w:pPr>
      <w:r w:rsidRPr="00AA50D3">
        <w:rPr>
          <w:rFonts w:ascii="Arial" w:hAnsi="Arial" w:cs="Arial"/>
          <w:sz w:val="20"/>
          <w:szCs w:val="20"/>
        </w:rPr>
        <w:t>As exportações ao Mercosul recuaram 3,2%, passando para US$ 240,91 milhões, queda atribuída principalmente aos decréscimos nas vendas de carnes (-100%) e açúcar (-47,5%) à Venezuela, que, em conjunto, representaram redução de US$ 45,41 milhões.</w:t>
      </w:r>
    </w:p>
    <w:p w:rsidR="00AA50D3" w:rsidRPr="00AA50D3" w:rsidRDefault="00AA50D3" w:rsidP="00AA50D3"/>
    <w:p w:rsidR="00C46E79" w:rsidRDefault="00C46E79" w:rsidP="00515548">
      <w:pPr>
        <w:ind w:firstLine="709"/>
        <w:jc w:val="both"/>
        <w:rPr>
          <w:rFonts w:ascii="Arial" w:hAnsi="Arial" w:cs="Arial"/>
          <w:sz w:val="20"/>
          <w:szCs w:val="20"/>
        </w:rPr>
      </w:pPr>
    </w:p>
    <w:p w:rsidR="005F69F8" w:rsidRDefault="005F69F8" w:rsidP="005F69F8">
      <w:pPr>
        <w:jc w:val="both"/>
      </w:pPr>
    </w:p>
    <w:p w:rsidR="00AB2FF5" w:rsidRPr="00515548" w:rsidRDefault="00AB2FF5" w:rsidP="00515548">
      <w:pPr>
        <w:ind w:firstLine="709"/>
        <w:jc w:val="both"/>
        <w:rPr>
          <w:rFonts w:ascii="Arial" w:hAnsi="Arial" w:cs="Arial"/>
          <w:sz w:val="20"/>
          <w:szCs w:val="20"/>
        </w:rPr>
      </w:pPr>
    </w:p>
    <w:p w:rsidR="001D51EE" w:rsidRDefault="00850D44" w:rsidP="00E207EB">
      <w:pPr>
        <w:jc w:val="both"/>
        <w:rPr>
          <w:rFonts w:ascii="Arial" w:hAnsi="Arial" w:cs="Arial"/>
          <w:sz w:val="20"/>
          <w:szCs w:val="20"/>
        </w:rPr>
      </w:pPr>
      <w:r w:rsidRPr="00850D44">
        <w:rPr>
          <w:noProof/>
        </w:rPr>
        <w:drawing>
          <wp:inline distT="0" distB="0" distL="0" distR="0" wp14:anchorId="530DA359" wp14:editId="06A5FEC5">
            <wp:extent cx="6480175" cy="234823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0175" cy="2348230"/>
                    </a:xfrm>
                    <a:prstGeom prst="rect">
                      <a:avLst/>
                    </a:prstGeom>
                  </pic:spPr>
                </pic:pic>
              </a:graphicData>
            </a:graphic>
          </wp:inline>
        </w:drawing>
      </w:r>
    </w:p>
    <w:p w:rsidR="00E207EB" w:rsidRDefault="00E207EB" w:rsidP="00515548">
      <w:pPr>
        <w:ind w:firstLine="709"/>
        <w:jc w:val="both"/>
        <w:rPr>
          <w:rFonts w:ascii="Arial" w:hAnsi="Arial" w:cs="Arial"/>
          <w:sz w:val="20"/>
          <w:szCs w:val="20"/>
        </w:rPr>
      </w:pPr>
    </w:p>
    <w:p w:rsidR="001D51EE" w:rsidRDefault="001D51EE" w:rsidP="001D51EE">
      <w:pPr>
        <w:pStyle w:val="Ttulo5"/>
        <w:autoSpaceDE/>
        <w:autoSpaceDN/>
        <w:adjustRightInd/>
        <w:rPr>
          <w:rFonts w:ascii="Arial" w:hAnsi="Arial" w:cs="Arial"/>
          <w:sz w:val="20"/>
          <w:szCs w:val="20"/>
        </w:rPr>
      </w:pPr>
      <w:proofErr w:type="spellStart"/>
      <w:r w:rsidRPr="001D51EE">
        <w:rPr>
          <w:rFonts w:ascii="Arial" w:hAnsi="Arial" w:cs="Arial"/>
          <w:sz w:val="20"/>
          <w:szCs w:val="20"/>
        </w:rPr>
        <w:t>I.</w:t>
      </w:r>
      <w:r>
        <w:rPr>
          <w:rFonts w:ascii="Arial" w:hAnsi="Arial" w:cs="Arial"/>
          <w:sz w:val="20"/>
          <w:szCs w:val="20"/>
        </w:rPr>
        <w:t>c</w:t>
      </w:r>
      <w:proofErr w:type="spellEnd"/>
      <w:r>
        <w:rPr>
          <w:rFonts w:ascii="Arial" w:hAnsi="Arial" w:cs="Arial"/>
          <w:sz w:val="20"/>
          <w:szCs w:val="20"/>
        </w:rPr>
        <w:t xml:space="preserve"> – Países</w:t>
      </w:r>
    </w:p>
    <w:p w:rsidR="00AB2FF5" w:rsidRDefault="00AB2FF5" w:rsidP="00AB2FF5"/>
    <w:p w:rsidR="00AA50D3" w:rsidRPr="00AA50D3" w:rsidRDefault="00AA50D3" w:rsidP="00AA50D3">
      <w:pPr>
        <w:jc w:val="both"/>
        <w:rPr>
          <w:rFonts w:ascii="Arial" w:hAnsi="Arial" w:cs="Arial"/>
          <w:sz w:val="20"/>
          <w:szCs w:val="20"/>
        </w:rPr>
      </w:pPr>
      <w:r w:rsidRPr="00AA50D3">
        <w:rPr>
          <w:rFonts w:ascii="Arial" w:hAnsi="Arial" w:cs="Arial"/>
          <w:sz w:val="20"/>
          <w:szCs w:val="20"/>
        </w:rPr>
        <w:t>As exportações brasileiras do agronegócio à China, grande protagonista dentre os mercados compradores, somaram US$ 2,36 bilhões em julho de 2017, significando acréscimo de 1,0% sobre o resultado de julho de 2016, percentual inferior ao anotado em relação ao desempenho das exportações totais, o que implicou queda da participação do país, de 29,9% para 28,5%.</w:t>
      </w:r>
    </w:p>
    <w:p w:rsidR="00AA50D3" w:rsidRPr="00AA50D3" w:rsidRDefault="00AA50D3" w:rsidP="00AA50D3">
      <w:pPr>
        <w:jc w:val="both"/>
        <w:rPr>
          <w:rFonts w:ascii="Arial" w:hAnsi="Arial" w:cs="Arial"/>
          <w:sz w:val="20"/>
          <w:szCs w:val="20"/>
        </w:rPr>
      </w:pPr>
    </w:p>
    <w:p w:rsidR="00AA50D3" w:rsidRPr="00AA50D3" w:rsidRDefault="00AA50D3" w:rsidP="00AA50D3">
      <w:pPr>
        <w:jc w:val="both"/>
        <w:rPr>
          <w:rFonts w:ascii="Arial" w:hAnsi="Arial" w:cs="Arial"/>
          <w:sz w:val="20"/>
          <w:szCs w:val="20"/>
        </w:rPr>
      </w:pPr>
      <w:r w:rsidRPr="00AA50D3">
        <w:rPr>
          <w:rFonts w:ascii="Arial" w:hAnsi="Arial" w:cs="Arial"/>
          <w:sz w:val="20"/>
          <w:szCs w:val="20"/>
        </w:rPr>
        <w:t>Os Estados Unidos posicionaram-se como o segundo mercado, cujas vendas ao país atingiram US$ 576,49 milhões, em decorrência do aumento de 3,6% sobre igual mês do ano anterior. Houve leve perda de participação no período, de 7,1% para 7,0%.</w:t>
      </w:r>
    </w:p>
    <w:p w:rsidR="00AA50D3" w:rsidRPr="00AA50D3" w:rsidRDefault="00AA50D3" w:rsidP="00AA50D3">
      <w:pPr>
        <w:jc w:val="both"/>
        <w:rPr>
          <w:rFonts w:ascii="Arial" w:hAnsi="Arial" w:cs="Arial"/>
          <w:sz w:val="20"/>
          <w:szCs w:val="20"/>
        </w:rPr>
      </w:pPr>
    </w:p>
    <w:p w:rsidR="00AA50D3" w:rsidRPr="00AA50D3" w:rsidRDefault="00AA50D3" w:rsidP="00AA50D3">
      <w:pPr>
        <w:jc w:val="both"/>
        <w:rPr>
          <w:rFonts w:ascii="Arial" w:hAnsi="Arial" w:cs="Arial"/>
          <w:sz w:val="20"/>
          <w:szCs w:val="20"/>
        </w:rPr>
      </w:pPr>
      <w:r w:rsidRPr="00AA50D3">
        <w:rPr>
          <w:rFonts w:ascii="Arial" w:hAnsi="Arial" w:cs="Arial"/>
          <w:sz w:val="20"/>
          <w:szCs w:val="20"/>
        </w:rPr>
        <w:t>Principal destino na União Europeia, as exportações brasileiras aos Países Baixos registraram avanço de 0,9%, passando para US$ 372,50 milhões em julho de 2017. A participação do país no total do agronegócio brasileiro declinou de 4,7% para 4,5%.</w:t>
      </w:r>
    </w:p>
    <w:p w:rsidR="00AA50D3" w:rsidRPr="00AA50D3" w:rsidRDefault="00AA50D3" w:rsidP="00AA50D3">
      <w:pPr>
        <w:jc w:val="both"/>
        <w:rPr>
          <w:rFonts w:ascii="Arial" w:hAnsi="Arial" w:cs="Arial"/>
          <w:sz w:val="20"/>
          <w:szCs w:val="20"/>
        </w:rPr>
      </w:pPr>
    </w:p>
    <w:p w:rsidR="00AA50D3" w:rsidRPr="00AA50D3" w:rsidRDefault="00AA50D3" w:rsidP="00AA50D3">
      <w:pPr>
        <w:jc w:val="both"/>
        <w:rPr>
          <w:rFonts w:ascii="Arial" w:hAnsi="Arial" w:cs="Arial"/>
          <w:sz w:val="20"/>
          <w:szCs w:val="20"/>
        </w:rPr>
      </w:pPr>
      <w:r w:rsidRPr="00AA50D3">
        <w:rPr>
          <w:rFonts w:ascii="Arial" w:hAnsi="Arial" w:cs="Arial"/>
          <w:sz w:val="20"/>
          <w:szCs w:val="20"/>
        </w:rPr>
        <w:t>Com expressivo desempenho nas aquisições de produtos brasileiros do agronegócio (+118,0%), o Egito surgiu como o quarto destino das exportações brasileiras, atingindo US$ 265,50 milhões em julho de 2017 e dobrando a sua participação em relação à exportação total, de 1,6% para 3,2%. As principais contribuições para esse aumento foram os acréscimos de 229,8% nas vendas de açúcar (+US$ 64,75 milhões), de 216,4% em carne de frango (+US$ 23,68 milhões) e de 157,3% em milho (+US$ 33,40 milhões).</w:t>
      </w:r>
    </w:p>
    <w:p w:rsidR="00AA50D3" w:rsidRPr="00AA50D3" w:rsidRDefault="00AA50D3" w:rsidP="00AA50D3">
      <w:pPr>
        <w:jc w:val="both"/>
        <w:rPr>
          <w:rFonts w:ascii="Arial" w:hAnsi="Arial" w:cs="Arial"/>
          <w:sz w:val="20"/>
          <w:szCs w:val="20"/>
        </w:rPr>
      </w:pPr>
    </w:p>
    <w:p w:rsidR="00AA50D3" w:rsidRPr="00AA50D3" w:rsidRDefault="00AA50D3" w:rsidP="00AA50D3">
      <w:pPr>
        <w:jc w:val="both"/>
        <w:rPr>
          <w:rFonts w:ascii="Arial" w:hAnsi="Arial" w:cs="Arial"/>
          <w:sz w:val="20"/>
          <w:szCs w:val="20"/>
        </w:rPr>
      </w:pPr>
      <w:r w:rsidRPr="00AA50D3">
        <w:rPr>
          <w:rFonts w:ascii="Arial" w:hAnsi="Arial" w:cs="Arial"/>
          <w:sz w:val="20"/>
          <w:szCs w:val="20"/>
        </w:rPr>
        <w:t>As vendas agropecuárias brasileiras ao Irã somaram US$ 254,14 milhões em julho de 2017, revelando acréscimo de 34,3% sobre igual mês de 2016. Tal avanço foi puxado principalmente pelas exportações de soja em grão (+135,7%; adicional de US$ 53,23 milhões), milho (+29,6%; +US$ 22,13 milhões) e carne bovina (+63,6%; +US$ 18,28 milhões).</w:t>
      </w:r>
    </w:p>
    <w:p w:rsidR="00AA50D3" w:rsidRPr="00AA50D3" w:rsidRDefault="00AA50D3" w:rsidP="00AA50D3">
      <w:pPr>
        <w:rPr>
          <w:rFonts w:ascii="Arial" w:hAnsi="Arial" w:cs="Arial"/>
          <w:sz w:val="20"/>
          <w:szCs w:val="20"/>
        </w:rPr>
      </w:pPr>
    </w:p>
    <w:p w:rsidR="00AA50D3" w:rsidRPr="00AA50D3" w:rsidRDefault="00AA50D3" w:rsidP="00AA50D3">
      <w:pPr>
        <w:jc w:val="both"/>
        <w:rPr>
          <w:rFonts w:ascii="Arial" w:hAnsi="Arial" w:cs="Arial"/>
          <w:sz w:val="20"/>
          <w:szCs w:val="20"/>
        </w:rPr>
      </w:pPr>
      <w:r w:rsidRPr="00AA50D3">
        <w:rPr>
          <w:rFonts w:ascii="Arial" w:hAnsi="Arial" w:cs="Arial"/>
          <w:sz w:val="20"/>
          <w:szCs w:val="20"/>
        </w:rPr>
        <w:t xml:space="preserve">Merecem destaque os desempenhos das exportações à Rússia (+52,8%, passando para US$ 247,15 milhões), a Bangladesh (+103,4%, para US$ 185,70 milhões) e à Índia (+73,3%, para US$ 140,70 milhões). Os principais produtos exportados que impulsionaram tais crescimentos foram açúcar em bruto, óleo de soja em bruto, carne suína </w:t>
      </w:r>
      <w:r w:rsidRPr="00AA50D3">
        <w:rPr>
          <w:rFonts w:ascii="Arial" w:hAnsi="Arial" w:cs="Arial"/>
          <w:i/>
          <w:sz w:val="20"/>
          <w:szCs w:val="20"/>
        </w:rPr>
        <w:t>in natura</w:t>
      </w:r>
      <w:r w:rsidRPr="00AA50D3">
        <w:rPr>
          <w:rFonts w:ascii="Arial" w:hAnsi="Arial" w:cs="Arial"/>
          <w:sz w:val="20"/>
          <w:szCs w:val="20"/>
        </w:rPr>
        <w:t xml:space="preserve"> e soja em grão.</w:t>
      </w:r>
    </w:p>
    <w:p w:rsidR="00AA50D3" w:rsidRPr="00AA50D3" w:rsidRDefault="00AA50D3" w:rsidP="00AA50D3">
      <w:pPr>
        <w:jc w:val="both"/>
        <w:rPr>
          <w:rFonts w:ascii="Arial" w:hAnsi="Arial" w:cs="Arial"/>
          <w:sz w:val="20"/>
          <w:szCs w:val="20"/>
        </w:rPr>
      </w:pPr>
    </w:p>
    <w:p w:rsidR="00AA50D3" w:rsidRPr="00AA50D3" w:rsidRDefault="00AA50D3" w:rsidP="00AA50D3">
      <w:pPr>
        <w:jc w:val="both"/>
        <w:rPr>
          <w:rFonts w:ascii="Arial" w:hAnsi="Arial" w:cs="Arial"/>
          <w:sz w:val="20"/>
          <w:szCs w:val="20"/>
        </w:rPr>
      </w:pPr>
      <w:r w:rsidRPr="00AA50D3">
        <w:rPr>
          <w:rFonts w:ascii="Arial" w:hAnsi="Arial" w:cs="Arial"/>
          <w:sz w:val="20"/>
          <w:szCs w:val="20"/>
        </w:rPr>
        <w:t xml:space="preserve">Os vinte principais países de destino das exportações agropecuárias brasileiras representaram 74,3% do total das vendas em julho de 2017. No mesmo mês do ano anterior, o </w:t>
      </w:r>
      <w:r w:rsidRPr="00AA50D3">
        <w:rPr>
          <w:rFonts w:ascii="Arial" w:hAnsi="Arial" w:cs="Arial"/>
          <w:i/>
          <w:sz w:val="20"/>
          <w:szCs w:val="20"/>
        </w:rPr>
        <w:t>ranking</w:t>
      </w:r>
      <w:r w:rsidRPr="00AA50D3">
        <w:rPr>
          <w:rFonts w:ascii="Arial" w:hAnsi="Arial" w:cs="Arial"/>
          <w:sz w:val="20"/>
          <w:szCs w:val="20"/>
        </w:rPr>
        <w:t xml:space="preserve"> dos vinte principais nesse período correspondeu à participação de 75,6%.</w:t>
      </w:r>
    </w:p>
    <w:p w:rsidR="00AA50D3" w:rsidRPr="00AA50D3" w:rsidRDefault="00AA50D3" w:rsidP="00AB2FF5">
      <w:pPr>
        <w:rPr>
          <w:rFonts w:ascii="Arial" w:hAnsi="Arial" w:cs="Arial"/>
          <w:sz w:val="20"/>
          <w:szCs w:val="20"/>
        </w:rPr>
      </w:pPr>
    </w:p>
    <w:p w:rsidR="00917C96" w:rsidRDefault="00850D44" w:rsidP="001D51EE">
      <w:pPr>
        <w:pStyle w:val="Recuodecorpodetexto"/>
        <w:ind w:firstLine="0"/>
        <w:rPr>
          <w:rFonts w:ascii="Arial" w:hAnsi="Arial" w:cs="Arial"/>
          <w:sz w:val="20"/>
          <w:szCs w:val="20"/>
        </w:rPr>
      </w:pPr>
      <w:r w:rsidRPr="00850D44">
        <w:rPr>
          <w:noProof/>
        </w:rPr>
        <w:drawing>
          <wp:inline distT="0" distB="0" distL="0" distR="0" wp14:anchorId="2D2B34C6" wp14:editId="5916BE25">
            <wp:extent cx="6480175" cy="3879215"/>
            <wp:effectExtent l="0" t="0" r="0" b="698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0175" cy="3879215"/>
                    </a:xfrm>
                    <a:prstGeom prst="rect">
                      <a:avLst/>
                    </a:prstGeom>
                  </pic:spPr>
                </pic:pic>
              </a:graphicData>
            </a:graphic>
          </wp:inline>
        </w:drawing>
      </w:r>
    </w:p>
    <w:p w:rsidR="00E34A2F" w:rsidRPr="00E34A2F" w:rsidRDefault="00E34A2F" w:rsidP="00E34A2F"/>
    <w:p w:rsidR="00E207EB" w:rsidRDefault="00E207EB" w:rsidP="00917C96">
      <w:pPr>
        <w:autoSpaceDE w:val="0"/>
        <w:autoSpaceDN w:val="0"/>
        <w:adjustRightInd w:val="0"/>
        <w:jc w:val="both"/>
        <w:rPr>
          <w:rFonts w:ascii="Arial" w:hAnsi="Arial" w:cs="Arial"/>
          <w:b/>
          <w:sz w:val="20"/>
          <w:szCs w:val="20"/>
        </w:rPr>
      </w:pPr>
      <w:bookmarkStart w:id="0" w:name="OLE_LINK1"/>
    </w:p>
    <w:p w:rsidR="00917C96" w:rsidRDefault="00917C96" w:rsidP="00917C96">
      <w:pPr>
        <w:autoSpaceDE w:val="0"/>
        <w:autoSpaceDN w:val="0"/>
        <w:adjustRightInd w:val="0"/>
        <w:jc w:val="both"/>
        <w:rPr>
          <w:rFonts w:ascii="Arial" w:hAnsi="Arial" w:cs="Arial"/>
          <w:b/>
          <w:sz w:val="20"/>
          <w:szCs w:val="20"/>
        </w:rPr>
      </w:pPr>
      <w:r>
        <w:rPr>
          <w:rFonts w:ascii="Arial" w:hAnsi="Arial" w:cs="Arial"/>
          <w:b/>
          <w:sz w:val="20"/>
          <w:szCs w:val="20"/>
        </w:rPr>
        <w:t xml:space="preserve">II – Resultados </w:t>
      </w:r>
      <w:r w:rsidR="003E4A98">
        <w:rPr>
          <w:rFonts w:ascii="Arial" w:hAnsi="Arial" w:cs="Arial"/>
          <w:b/>
          <w:sz w:val="20"/>
          <w:szCs w:val="20"/>
        </w:rPr>
        <w:t>do Ano</w:t>
      </w:r>
      <w:r w:rsidR="00EE77CD">
        <w:rPr>
          <w:rFonts w:ascii="Arial" w:hAnsi="Arial" w:cs="Arial"/>
          <w:b/>
          <w:sz w:val="20"/>
          <w:szCs w:val="20"/>
        </w:rPr>
        <w:t xml:space="preserve"> (</w:t>
      </w:r>
      <w:r w:rsidR="003E4A98" w:rsidRPr="003E4A98">
        <w:rPr>
          <w:rFonts w:ascii="Arial" w:hAnsi="Arial" w:cs="Arial"/>
          <w:b/>
          <w:sz w:val="20"/>
          <w:szCs w:val="20"/>
        </w:rPr>
        <w:t>comparativo Janeiro-</w:t>
      </w:r>
      <w:r w:rsidR="00850D44">
        <w:rPr>
          <w:rFonts w:ascii="Arial" w:hAnsi="Arial" w:cs="Arial"/>
          <w:b/>
          <w:sz w:val="20"/>
          <w:szCs w:val="20"/>
        </w:rPr>
        <w:t>Jul</w:t>
      </w:r>
      <w:r w:rsidR="003E4A98">
        <w:rPr>
          <w:rFonts w:ascii="Arial" w:hAnsi="Arial" w:cs="Arial"/>
          <w:b/>
          <w:sz w:val="20"/>
          <w:szCs w:val="20"/>
        </w:rPr>
        <w:t>ho</w:t>
      </w:r>
      <w:r w:rsidR="003E4A98" w:rsidRPr="003E4A98">
        <w:rPr>
          <w:rFonts w:ascii="Arial" w:hAnsi="Arial" w:cs="Arial"/>
          <w:b/>
          <w:sz w:val="20"/>
          <w:szCs w:val="20"/>
        </w:rPr>
        <w:t>/201</w:t>
      </w:r>
      <w:r w:rsidR="003E4A98">
        <w:rPr>
          <w:rFonts w:ascii="Arial" w:hAnsi="Arial" w:cs="Arial"/>
          <w:b/>
          <w:sz w:val="20"/>
          <w:szCs w:val="20"/>
        </w:rPr>
        <w:t>7</w:t>
      </w:r>
      <w:r w:rsidR="003E4A98" w:rsidRPr="003E4A98">
        <w:rPr>
          <w:rFonts w:ascii="Arial" w:hAnsi="Arial" w:cs="Arial"/>
          <w:b/>
          <w:sz w:val="20"/>
          <w:szCs w:val="20"/>
        </w:rPr>
        <w:t xml:space="preserve"> – </w:t>
      </w:r>
      <w:proofErr w:type="gramStart"/>
      <w:r w:rsidR="003E4A98" w:rsidRPr="003E4A98">
        <w:rPr>
          <w:rFonts w:ascii="Arial" w:hAnsi="Arial" w:cs="Arial"/>
          <w:b/>
          <w:sz w:val="20"/>
          <w:szCs w:val="20"/>
        </w:rPr>
        <w:t>Janeiro</w:t>
      </w:r>
      <w:proofErr w:type="gramEnd"/>
      <w:r w:rsidR="003E4A98" w:rsidRPr="003E4A98">
        <w:rPr>
          <w:rFonts w:ascii="Arial" w:hAnsi="Arial" w:cs="Arial"/>
          <w:b/>
          <w:sz w:val="20"/>
          <w:szCs w:val="20"/>
        </w:rPr>
        <w:t>-</w:t>
      </w:r>
      <w:r w:rsidR="00850D44">
        <w:rPr>
          <w:rFonts w:ascii="Arial" w:hAnsi="Arial" w:cs="Arial"/>
          <w:b/>
          <w:sz w:val="20"/>
          <w:szCs w:val="20"/>
        </w:rPr>
        <w:t>Jul</w:t>
      </w:r>
      <w:r w:rsidR="003E4A98">
        <w:rPr>
          <w:rFonts w:ascii="Arial" w:hAnsi="Arial" w:cs="Arial"/>
          <w:b/>
          <w:sz w:val="20"/>
          <w:szCs w:val="20"/>
        </w:rPr>
        <w:t>ho/2016</w:t>
      </w:r>
      <w:r w:rsidR="00EE77CD">
        <w:rPr>
          <w:rFonts w:ascii="Arial" w:hAnsi="Arial" w:cs="Arial"/>
          <w:b/>
          <w:sz w:val="20"/>
          <w:szCs w:val="20"/>
        </w:rPr>
        <w:t>)</w:t>
      </w:r>
    </w:p>
    <w:p w:rsidR="00917C96" w:rsidRDefault="00917C96" w:rsidP="00917C96">
      <w:pPr>
        <w:autoSpaceDE w:val="0"/>
        <w:autoSpaceDN w:val="0"/>
        <w:adjustRightInd w:val="0"/>
        <w:jc w:val="both"/>
        <w:rPr>
          <w:rFonts w:ascii="Arial" w:hAnsi="Arial" w:cs="Arial"/>
          <w:b/>
          <w:sz w:val="20"/>
          <w:szCs w:val="20"/>
        </w:rPr>
      </w:pPr>
    </w:p>
    <w:p w:rsidR="00FB6AD2" w:rsidRDefault="00FB6AD2" w:rsidP="00917C96">
      <w:pPr>
        <w:autoSpaceDE w:val="0"/>
        <w:autoSpaceDN w:val="0"/>
        <w:adjustRightInd w:val="0"/>
        <w:jc w:val="both"/>
        <w:rPr>
          <w:rFonts w:ascii="Arial" w:hAnsi="Arial" w:cs="Arial"/>
          <w:b/>
          <w:sz w:val="20"/>
          <w:szCs w:val="20"/>
        </w:rPr>
      </w:pPr>
    </w:p>
    <w:p w:rsidR="00917C96" w:rsidRDefault="00917C96" w:rsidP="00917C96">
      <w:pPr>
        <w:pStyle w:val="Ttulo5"/>
        <w:autoSpaceDE/>
        <w:autoSpaceDN/>
        <w:adjustRightInd/>
        <w:rPr>
          <w:rFonts w:ascii="Arial" w:hAnsi="Arial" w:cs="Arial"/>
          <w:sz w:val="20"/>
          <w:szCs w:val="20"/>
        </w:rPr>
      </w:pPr>
      <w:proofErr w:type="spellStart"/>
      <w:r>
        <w:rPr>
          <w:rFonts w:ascii="Arial" w:hAnsi="Arial" w:cs="Arial"/>
          <w:sz w:val="20"/>
          <w:szCs w:val="20"/>
        </w:rPr>
        <w:t>II.a</w:t>
      </w:r>
      <w:proofErr w:type="spellEnd"/>
      <w:r>
        <w:rPr>
          <w:rFonts w:ascii="Arial" w:hAnsi="Arial" w:cs="Arial"/>
          <w:sz w:val="20"/>
          <w:szCs w:val="20"/>
        </w:rPr>
        <w:t xml:space="preserve"> – Setores do Agronegócio</w:t>
      </w:r>
    </w:p>
    <w:p w:rsidR="00917C96" w:rsidRDefault="00917C96" w:rsidP="00917C96"/>
    <w:p w:rsidR="008A2E79" w:rsidRPr="008A2E79" w:rsidRDefault="008A2E79" w:rsidP="008A2E79">
      <w:pPr>
        <w:pStyle w:val="Recuodecorpodetexto"/>
        <w:ind w:firstLine="0"/>
        <w:rPr>
          <w:rFonts w:ascii="Arial" w:hAnsi="Arial" w:cs="Arial"/>
          <w:sz w:val="20"/>
          <w:szCs w:val="20"/>
        </w:rPr>
      </w:pPr>
      <w:r w:rsidRPr="008A2E79">
        <w:rPr>
          <w:rFonts w:ascii="Arial" w:hAnsi="Arial" w:cs="Arial"/>
          <w:sz w:val="20"/>
          <w:szCs w:val="20"/>
        </w:rPr>
        <w:t xml:space="preserve">As exportações do agronegócio atingiram US$ 56,40 bilhões entre janeiro a julho de 2017. Tal número representou um crescimento de 6,8% em relação aos US$ 52,81 bilhões exportados no mesmo período de 2016. O crescimento foi influenciado pelo incremento do preço médio de exportação da maior parte dos principais produtos exportados pelo Brasil. A quantidade exportada, por sua vez, apresentou recuo para a maioria dos principais produtos exportados. </w:t>
      </w:r>
    </w:p>
    <w:p w:rsidR="008A2E79" w:rsidRPr="008A2E79" w:rsidRDefault="008A2E79" w:rsidP="008A2E79">
      <w:pPr>
        <w:pStyle w:val="Recuodecorpodetexto"/>
        <w:ind w:firstLine="0"/>
        <w:rPr>
          <w:rFonts w:ascii="Arial" w:hAnsi="Arial" w:cs="Arial"/>
          <w:sz w:val="20"/>
          <w:szCs w:val="20"/>
        </w:rPr>
      </w:pPr>
      <w:r w:rsidRPr="008A2E79">
        <w:rPr>
          <w:rFonts w:ascii="Arial" w:hAnsi="Arial" w:cs="Arial"/>
          <w:sz w:val="20"/>
          <w:szCs w:val="20"/>
        </w:rPr>
        <w:t>As importações de produtos do agronegócio cresceram no período, passando de US$ 7,24 bilhões entre janeiro e julho de 2016 para US$ 8,35 bilhões no mesmo período de 2017 (+15,4%). Não obstante tal expansão, o crescimento das exportações possibilitou uma ampliação do saldo superavitário do agronegócio, que passou de US$ 45,58 bilhões entre janeiro e julho de 2016 para US$ 48,05 bilhões entre janeiro e julho de 2017.</w:t>
      </w:r>
    </w:p>
    <w:p w:rsidR="008A2E79" w:rsidRPr="008A2E79" w:rsidRDefault="008A2E79" w:rsidP="008A2E79">
      <w:pPr>
        <w:pStyle w:val="Recuodecorpodetexto"/>
        <w:ind w:firstLine="0"/>
        <w:rPr>
          <w:rFonts w:ascii="Arial" w:hAnsi="Arial" w:cs="Arial"/>
          <w:sz w:val="20"/>
          <w:szCs w:val="20"/>
        </w:rPr>
      </w:pPr>
    </w:p>
    <w:p w:rsidR="008A2E79" w:rsidRPr="008A2E79" w:rsidRDefault="008A2E79" w:rsidP="008A2E79">
      <w:pPr>
        <w:pStyle w:val="Recuodecorpodetexto"/>
        <w:ind w:firstLine="0"/>
        <w:rPr>
          <w:rFonts w:ascii="Arial" w:hAnsi="Arial" w:cs="Arial"/>
          <w:sz w:val="20"/>
          <w:szCs w:val="20"/>
        </w:rPr>
      </w:pPr>
      <w:r w:rsidRPr="008A2E79">
        <w:rPr>
          <w:rFonts w:ascii="Arial" w:hAnsi="Arial" w:cs="Arial"/>
          <w:sz w:val="20"/>
          <w:szCs w:val="20"/>
        </w:rPr>
        <w:t>Os US$ 56,40 bilhões exportados pelo agronegócio brasileiro representaram uma participação do agronegócio de 44,6% no total das exportações brasileiras, inferior, portanto, àquela de 49,6% obtida entre janeiro e julho de 2016. Isso se deveu, fundamentalmente, ao crescimento das exportações brasileiras de minérios de ferro e seus concentrados (+72,8%) e óleo brutos de petróleo (+117,9%).</w:t>
      </w:r>
    </w:p>
    <w:p w:rsidR="008A2E79" w:rsidRPr="008A2E79" w:rsidRDefault="008A2E79" w:rsidP="008A2E79">
      <w:pPr>
        <w:pStyle w:val="Recuodecorpodetexto"/>
        <w:ind w:firstLine="0"/>
        <w:rPr>
          <w:rFonts w:ascii="Arial" w:hAnsi="Arial" w:cs="Arial"/>
          <w:sz w:val="20"/>
          <w:szCs w:val="20"/>
        </w:rPr>
      </w:pPr>
    </w:p>
    <w:p w:rsidR="008A2E79" w:rsidRPr="008A2E79" w:rsidRDefault="008A2E79" w:rsidP="008A2E79">
      <w:pPr>
        <w:pStyle w:val="Recuodecorpodetexto"/>
        <w:ind w:firstLine="0"/>
        <w:rPr>
          <w:rFonts w:ascii="Arial" w:hAnsi="Arial" w:cs="Arial"/>
          <w:sz w:val="20"/>
          <w:szCs w:val="20"/>
        </w:rPr>
      </w:pPr>
      <w:r w:rsidRPr="008A2E79">
        <w:rPr>
          <w:rFonts w:ascii="Arial" w:hAnsi="Arial" w:cs="Arial"/>
          <w:sz w:val="20"/>
          <w:szCs w:val="20"/>
        </w:rPr>
        <w:t>O principal setor exportador foi o complexo soja (US$ 23,01 bilhões; +13,5%), com participação que chegou a 40,8% do total exportado pelo agronegócio nesses sete primeiros meses de 2017. As exportações de soja em grão atingiram o patamar recorde de 50,9 milhões de toneladas entre janeiro e julho de 2017, uma elevação de 14,9% em relação à quantidade exportada em 2016 (44,4 milhões de toneladas) ou um acréscimo de 6,6 milhões de toneladas. Convém lembrar que a produção brasileira de soja 2016/2017 foi de 113,9 milhões de toneladas ou 18,5 milhões de toneladas superior à safra 2015/2016. A elevação da quantidade exportada de soja deste ano representou cerca de um terço do aumento da produção. Com efeito, a porcentagem exportada de soja diminuiu, passando de 46,5% entre janeiro e julho de 2016 para 44,7% do total da safra entre janeiro e julho de 2017. Ainda no setor, as vendas externas de farelo de soja caíram 8,5%, atingindo US$ 3,12 bilhões, e as exportações de óleo de soja cresceram 26,4%, chegando a US$ 685,61 milhões.</w:t>
      </w:r>
    </w:p>
    <w:p w:rsidR="008A2E79" w:rsidRPr="008A2E79" w:rsidRDefault="008A2E79" w:rsidP="008A2E79">
      <w:pPr>
        <w:pStyle w:val="Recuodecorpodetexto"/>
        <w:ind w:firstLine="0"/>
        <w:rPr>
          <w:rFonts w:ascii="Arial" w:hAnsi="Arial" w:cs="Arial"/>
          <w:sz w:val="20"/>
          <w:szCs w:val="20"/>
        </w:rPr>
      </w:pPr>
    </w:p>
    <w:p w:rsidR="008A2E79" w:rsidRPr="008A2E79" w:rsidRDefault="008A2E79" w:rsidP="008A2E79">
      <w:pPr>
        <w:pStyle w:val="Recuodecorpodetexto"/>
        <w:ind w:firstLine="0"/>
        <w:rPr>
          <w:rFonts w:ascii="Arial" w:hAnsi="Arial" w:cs="Arial"/>
          <w:sz w:val="20"/>
          <w:szCs w:val="20"/>
        </w:rPr>
      </w:pPr>
      <w:r w:rsidRPr="008A2E79">
        <w:rPr>
          <w:rFonts w:ascii="Arial" w:hAnsi="Arial" w:cs="Arial"/>
          <w:sz w:val="20"/>
          <w:szCs w:val="20"/>
        </w:rPr>
        <w:t>As exportações de carnes foram de US$ 8,64 bilhão, o que significou uma expansão de 5,9% entre janeiro e julho de 2017, na comparação com janeiro e julho de 2016. Numa análise conjunta para os vários tipos de carnes, pode-se dizer que houve incremento do valor exportado pelo setor em função do aumento médio dos preços internacionais do produto (+10,6%), uma vez que a quantidade exportada caiu 4,2%. A carne suína foi o destaque de crescimento no setor. Houve expansão de 26,0% nas vendas externas do produto, que passaram de US$ 747,62 milhões para US$ 942,07 milhões no período em análise. O crescimento das vendas ocorreu em função, principalmente, da elevação do preço médio de exportação, que subiu 30,1%. Por sua vez, a quantidade exportada caiu 3,2%. A carne de frango e a carne bovina tiveram o mesmo comportamento, com crescimento no preço médio de exportação, 10,6% e 5,9%, respectivamente, enquanto a quantidade exportada recuou 5,0% e 4,5%.</w:t>
      </w:r>
    </w:p>
    <w:p w:rsidR="008A2E79" w:rsidRPr="008A2E79" w:rsidRDefault="008A2E79" w:rsidP="008A2E79">
      <w:pPr>
        <w:pStyle w:val="Recuodecorpodetexto"/>
        <w:ind w:firstLine="0"/>
        <w:rPr>
          <w:rFonts w:ascii="Arial" w:hAnsi="Arial" w:cs="Arial"/>
          <w:sz w:val="20"/>
          <w:szCs w:val="20"/>
        </w:rPr>
      </w:pPr>
    </w:p>
    <w:p w:rsidR="008A2E79" w:rsidRPr="008A2E79" w:rsidRDefault="008A2E79" w:rsidP="008A2E79">
      <w:pPr>
        <w:pStyle w:val="Recuodecorpodetexto"/>
        <w:ind w:firstLine="0"/>
        <w:rPr>
          <w:rFonts w:ascii="Arial" w:hAnsi="Arial" w:cs="Arial"/>
          <w:sz w:val="20"/>
          <w:szCs w:val="20"/>
        </w:rPr>
      </w:pPr>
      <w:r w:rsidRPr="008A2E79">
        <w:rPr>
          <w:rFonts w:ascii="Arial" w:hAnsi="Arial" w:cs="Arial"/>
          <w:sz w:val="20"/>
          <w:szCs w:val="20"/>
        </w:rPr>
        <w:t xml:space="preserve">O complexo sucroalcooleiro ficou na terceira posição dentre os setores exportadores com US$ 7,00 bilhões em vendas externas. O açúcar foi o principal produto exportado do setor, atingindo US$ 6,56 bilhões exportados (+31,3%). O volume exportado de açúcar permaneceu quase estagnado (+0,2%), mas os preços internacionais subiram 31,1%. As exportações de álcool caíram de US$ 625,29 milhões entre janeiro e julho de 2016 para US$ 439,73 milhões entre janeiro e julho de 2017 (-29,8%). </w:t>
      </w:r>
    </w:p>
    <w:p w:rsidR="008A2E79" w:rsidRPr="008A2E79" w:rsidRDefault="008A2E79" w:rsidP="008A2E79">
      <w:pPr>
        <w:pStyle w:val="Recuodecorpodetexto"/>
        <w:ind w:firstLine="0"/>
        <w:rPr>
          <w:rFonts w:ascii="Arial" w:hAnsi="Arial" w:cs="Arial"/>
          <w:sz w:val="20"/>
          <w:szCs w:val="20"/>
        </w:rPr>
      </w:pPr>
    </w:p>
    <w:p w:rsidR="008A2E79" w:rsidRPr="008A2E79" w:rsidRDefault="008A2E79" w:rsidP="008A2E79">
      <w:pPr>
        <w:pStyle w:val="Recuodecorpodetexto"/>
        <w:ind w:firstLine="0"/>
        <w:rPr>
          <w:rFonts w:ascii="Arial" w:hAnsi="Arial" w:cs="Arial"/>
          <w:sz w:val="20"/>
          <w:szCs w:val="20"/>
        </w:rPr>
      </w:pPr>
      <w:r w:rsidRPr="008A2E79">
        <w:rPr>
          <w:rFonts w:ascii="Arial" w:hAnsi="Arial" w:cs="Arial"/>
          <w:sz w:val="20"/>
          <w:szCs w:val="20"/>
        </w:rPr>
        <w:t>Na quarta posição dentre os principais setores exportadores do agronegócio ficaram os produtos florestais. Foram US$ 6,37 bilhões em exportações (+8,8%). O principal produto exportado do setor foi a celulose, com US$ 3,51 bilhões em vendas externas. O produto bateu recorde de exportações tanto em quantidade como em valor. As exportações de madeiras e suas obras, segundo principal produto do setor, ficaram em US$ 1,77 bilhão (+13,3%).</w:t>
      </w:r>
    </w:p>
    <w:p w:rsidR="008A2E79" w:rsidRPr="008A2E79" w:rsidRDefault="008A2E79" w:rsidP="008A2E79">
      <w:pPr>
        <w:pStyle w:val="Recuodecorpodetexto"/>
        <w:ind w:firstLine="0"/>
        <w:rPr>
          <w:rFonts w:ascii="Arial" w:hAnsi="Arial" w:cs="Arial"/>
          <w:sz w:val="20"/>
          <w:szCs w:val="20"/>
        </w:rPr>
      </w:pPr>
    </w:p>
    <w:p w:rsidR="008A2E79" w:rsidRPr="008A2E79" w:rsidRDefault="008A2E79" w:rsidP="008A2E79">
      <w:pPr>
        <w:pStyle w:val="Recuodecorpodetexto"/>
        <w:ind w:firstLine="0"/>
        <w:rPr>
          <w:rFonts w:ascii="Arial" w:hAnsi="Arial" w:cs="Arial"/>
          <w:sz w:val="20"/>
          <w:szCs w:val="20"/>
        </w:rPr>
      </w:pPr>
      <w:r w:rsidRPr="008A2E79">
        <w:rPr>
          <w:rFonts w:ascii="Arial" w:hAnsi="Arial" w:cs="Arial"/>
          <w:sz w:val="20"/>
          <w:szCs w:val="20"/>
        </w:rPr>
        <w:t>As vendas externas de café subiram de US$ 2,72 bilhões entre janeiro e julho de 2016 para US$ 2,94 bilhões entre janeiro e julho de 2017 (+8,2%). A quantidade exportada caiu 7,0% enquanto o preço médio de exportação subiu 16,4%. As exportações de café verde foram de US$ 2,55 bilhões (+7,3%), já as vendas externas de café solúvel ficaram em US$ 337,07 milhões.</w:t>
      </w:r>
    </w:p>
    <w:p w:rsidR="008A2E79" w:rsidRPr="008A2E79" w:rsidRDefault="008A2E79" w:rsidP="008A2E79">
      <w:pPr>
        <w:pStyle w:val="Recuodecorpodetexto"/>
        <w:ind w:firstLine="0"/>
        <w:rPr>
          <w:rFonts w:ascii="Arial" w:hAnsi="Arial" w:cs="Arial"/>
          <w:sz w:val="20"/>
          <w:szCs w:val="20"/>
        </w:rPr>
      </w:pPr>
    </w:p>
    <w:p w:rsidR="008A2E79" w:rsidRPr="008A2E79" w:rsidRDefault="008A2E79" w:rsidP="008A2E79">
      <w:pPr>
        <w:pStyle w:val="Recuodecorpodetexto"/>
        <w:ind w:firstLine="0"/>
        <w:rPr>
          <w:rFonts w:ascii="Arial" w:hAnsi="Arial" w:cs="Arial"/>
          <w:sz w:val="20"/>
          <w:szCs w:val="20"/>
        </w:rPr>
      </w:pPr>
      <w:r w:rsidRPr="008A2E79">
        <w:rPr>
          <w:rFonts w:ascii="Arial" w:hAnsi="Arial" w:cs="Arial"/>
          <w:sz w:val="20"/>
          <w:szCs w:val="20"/>
        </w:rPr>
        <w:t xml:space="preserve">Os cinco setores acima analisados foram responsáveis por 85,0% das exportações do agronegócio brasileiro entre janeiro e julho de 2017. No mesmo período de 2016, os mesmos setores foram responsáveis por 80,7% das vendas externas do setor. Ou seja, houve um incremento de 4,3 pontos percentuais na participação dos cinco principais setores exportadores, o que significa uma concentração da pauta exportadora nesses setores. Os demais setores exportadores do agronegócio, vinte ao todo, diminuíram em valores absolutos suas exportações, que passaram de US$ 10,19 bilhões entre janeiro e julho de 2016 para US$ 8,44 bilhões entre janeiro e julho de 2017 (-17,2%). </w:t>
      </w:r>
    </w:p>
    <w:p w:rsidR="008B19F7" w:rsidRDefault="00B11B85" w:rsidP="006E6CCF">
      <w:pPr>
        <w:jc w:val="both"/>
      </w:pPr>
      <w:r>
        <w:t xml:space="preserve"> </w:t>
      </w:r>
    </w:p>
    <w:p w:rsidR="003F40EF" w:rsidRDefault="009E5942" w:rsidP="004D17C2">
      <w:pPr>
        <w:jc w:val="both"/>
        <w:rPr>
          <w:rFonts w:ascii="Arial" w:hAnsi="Arial" w:cs="Arial"/>
          <w:sz w:val="20"/>
          <w:szCs w:val="20"/>
        </w:rPr>
      </w:pPr>
      <w:r>
        <w:rPr>
          <w:rFonts w:ascii="Arial" w:hAnsi="Arial" w:cs="Arial"/>
          <w:sz w:val="20"/>
          <w:szCs w:val="20"/>
        </w:rPr>
        <w:t xml:space="preserve">As importações subiram de US$ 7,24 bilhões entre janeiro e julho de 2016 para US$ </w:t>
      </w:r>
      <w:r w:rsidR="003F40EF">
        <w:rPr>
          <w:rFonts w:ascii="Arial" w:hAnsi="Arial" w:cs="Arial"/>
          <w:sz w:val="20"/>
          <w:szCs w:val="20"/>
        </w:rPr>
        <w:t>8,35 bilhões entre janeiro e julho de 2017. Os dez principais produtos importados foram:</w:t>
      </w:r>
      <w:r w:rsidR="00B42EBE">
        <w:rPr>
          <w:rFonts w:ascii="Arial" w:hAnsi="Arial" w:cs="Arial"/>
          <w:sz w:val="20"/>
          <w:szCs w:val="20"/>
        </w:rPr>
        <w:t xml:space="preserve"> álcool etílico (US$ 676,84 milhões; +324,9%); </w:t>
      </w:r>
      <w:r w:rsidR="00664997">
        <w:rPr>
          <w:rFonts w:ascii="Arial" w:hAnsi="Arial" w:cs="Arial"/>
          <w:sz w:val="20"/>
          <w:szCs w:val="20"/>
        </w:rPr>
        <w:t>trigo (US$ 665,83</w:t>
      </w:r>
      <w:r w:rsidR="00B42EBE">
        <w:rPr>
          <w:rFonts w:ascii="Arial" w:hAnsi="Arial" w:cs="Arial"/>
          <w:sz w:val="20"/>
          <w:szCs w:val="20"/>
        </w:rPr>
        <w:t xml:space="preserve"> milh</w:t>
      </w:r>
      <w:r w:rsidR="00664997">
        <w:rPr>
          <w:rFonts w:ascii="Arial" w:hAnsi="Arial" w:cs="Arial"/>
          <w:sz w:val="20"/>
          <w:szCs w:val="20"/>
        </w:rPr>
        <w:t>ões; +1,7</w:t>
      </w:r>
      <w:r w:rsidR="00B42EBE">
        <w:rPr>
          <w:rFonts w:ascii="Arial" w:hAnsi="Arial" w:cs="Arial"/>
          <w:sz w:val="20"/>
          <w:szCs w:val="20"/>
        </w:rPr>
        <w:t xml:space="preserve">%); </w:t>
      </w:r>
      <w:r w:rsidR="00664997">
        <w:rPr>
          <w:rFonts w:ascii="Arial" w:hAnsi="Arial" w:cs="Arial"/>
          <w:sz w:val="20"/>
          <w:szCs w:val="20"/>
        </w:rPr>
        <w:t>papel (US$ 463,13</w:t>
      </w:r>
      <w:r w:rsidR="00B42EBE">
        <w:rPr>
          <w:rFonts w:ascii="Arial" w:hAnsi="Arial" w:cs="Arial"/>
          <w:sz w:val="20"/>
          <w:szCs w:val="20"/>
        </w:rPr>
        <w:t xml:space="preserve"> milh</w:t>
      </w:r>
      <w:r w:rsidR="00664997">
        <w:rPr>
          <w:rFonts w:ascii="Arial" w:hAnsi="Arial" w:cs="Arial"/>
          <w:sz w:val="20"/>
          <w:szCs w:val="20"/>
        </w:rPr>
        <w:t>ões; +12,0</w:t>
      </w:r>
      <w:r w:rsidR="00B42EBE">
        <w:rPr>
          <w:rFonts w:ascii="Arial" w:hAnsi="Arial" w:cs="Arial"/>
          <w:sz w:val="20"/>
          <w:szCs w:val="20"/>
        </w:rPr>
        <w:t xml:space="preserve">%); salmões (US$ </w:t>
      </w:r>
      <w:r w:rsidR="00664997">
        <w:rPr>
          <w:rFonts w:ascii="Arial" w:hAnsi="Arial" w:cs="Arial"/>
          <w:sz w:val="20"/>
          <w:szCs w:val="20"/>
        </w:rPr>
        <w:t>307,64</w:t>
      </w:r>
      <w:r w:rsidR="00B42EBE">
        <w:rPr>
          <w:rFonts w:ascii="Arial" w:hAnsi="Arial" w:cs="Arial"/>
          <w:sz w:val="20"/>
          <w:szCs w:val="20"/>
        </w:rPr>
        <w:t xml:space="preserve"> milh</w:t>
      </w:r>
      <w:r w:rsidR="00664997">
        <w:rPr>
          <w:rFonts w:ascii="Arial" w:hAnsi="Arial" w:cs="Arial"/>
          <w:sz w:val="20"/>
          <w:szCs w:val="20"/>
        </w:rPr>
        <w:t>ões; +38,9</w:t>
      </w:r>
      <w:r w:rsidR="00B42EBE">
        <w:rPr>
          <w:rFonts w:ascii="Arial" w:hAnsi="Arial" w:cs="Arial"/>
          <w:sz w:val="20"/>
          <w:szCs w:val="20"/>
        </w:rPr>
        <w:t>%); vestuário e outros produtos t</w:t>
      </w:r>
      <w:r w:rsidR="00664997">
        <w:rPr>
          <w:rFonts w:ascii="Arial" w:hAnsi="Arial" w:cs="Arial"/>
          <w:sz w:val="20"/>
          <w:szCs w:val="20"/>
        </w:rPr>
        <w:t>êxteis (US$ 283,28; -1,8%); leite em pó (US$ 241,04; +12,7%); borracha natural (US$ 234,18 milhões; +47,7%); óleo de palma (US$ 224,09; +39,0%); filé de peixe congelados (US$ 211,21 milhões; +20,3%); e malte (US$ 210,95 milhões; -12,3%).</w:t>
      </w:r>
      <w:r w:rsidR="003F40EF">
        <w:rPr>
          <w:rFonts w:ascii="Arial" w:hAnsi="Arial" w:cs="Arial"/>
          <w:sz w:val="20"/>
          <w:szCs w:val="20"/>
        </w:rPr>
        <w:t xml:space="preserve"> Esses p</w:t>
      </w:r>
      <w:r w:rsidR="00664997">
        <w:rPr>
          <w:rFonts w:ascii="Arial" w:hAnsi="Arial" w:cs="Arial"/>
          <w:sz w:val="20"/>
          <w:szCs w:val="20"/>
        </w:rPr>
        <w:t>rodutos representaram somente 37,1</w:t>
      </w:r>
      <w:r w:rsidR="003F40EF">
        <w:rPr>
          <w:rFonts w:ascii="Arial" w:hAnsi="Arial" w:cs="Arial"/>
          <w:sz w:val="20"/>
          <w:szCs w:val="20"/>
        </w:rPr>
        <w:t>% das importaç</w:t>
      </w:r>
      <w:r w:rsidR="00664997">
        <w:rPr>
          <w:rFonts w:ascii="Arial" w:hAnsi="Arial" w:cs="Arial"/>
          <w:sz w:val="20"/>
          <w:szCs w:val="20"/>
        </w:rPr>
        <w:t>ões em 2016 e 42,1% em 2017, com evidente concentração da pauta importadora nesses produtos</w:t>
      </w:r>
      <w:r w:rsidR="003F40EF">
        <w:rPr>
          <w:rFonts w:ascii="Arial" w:hAnsi="Arial" w:cs="Arial"/>
          <w:sz w:val="20"/>
          <w:szCs w:val="20"/>
        </w:rPr>
        <w:t xml:space="preserve">. </w:t>
      </w:r>
    </w:p>
    <w:p w:rsidR="001654D4" w:rsidRDefault="001654D4" w:rsidP="004D17C2">
      <w:pPr>
        <w:jc w:val="both"/>
        <w:rPr>
          <w:rFonts w:ascii="Arial" w:hAnsi="Arial" w:cs="Arial"/>
          <w:sz w:val="20"/>
          <w:szCs w:val="20"/>
        </w:rPr>
      </w:pPr>
    </w:p>
    <w:p w:rsidR="0021787B" w:rsidRDefault="0021787B" w:rsidP="004D17C2">
      <w:pPr>
        <w:jc w:val="both"/>
        <w:rPr>
          <w:rFonts w:ascii="Arial" w:hAnsi="Arial" w:cs="Arial"/>
          <w:sz w:val="20"/>
          <w:szCs w:val="20"/>
        </w:rPr>
      </w:pPr>
    </w:p>
    <w:p w:rsidR="00917C96" w:rsidRPr="004D17C2" w:rsidRDefault="00850D44" w:rsidP="004D17C2">
      <w:pPr>
        <w:jc w:val="both"/>
        <w:rPr>
          <w:rFonts w:ascii="Arial" w:hAnsi="Arial" w:cs="Arial"/>
          <w:sz w:val="20"/>
          <w:szCs w:val="20"/>
        </w:rPr>
      </w:pPr>
      <w:r w:rsidRPr="00850D44">
        <w:rPr>
          <w:noProof/>
        </w:rPr>
        <w:drawing>
          <wp:inline distT="0" distB="0" distL="0" distR="0" wp14:anchorId="60B1E32D" wp14:editId="1825B770">
            <wp:extent cx="6480175" cy="3855085"/>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0175" cy="3855085"/>
                    </a:xfrm>
                    <a:prstGeom prst="rect">
                      <a:avLst/>
                    </a:prstGeom>
                  </pic:spPr>
                </pic:pic>
              </a:graphicData>
            </a:graphic>
          </wp:inline>
        </w:drawing>
      </w:r>
    </w:p>
    <w:p w:rsidR="00917C96" w:rsidRPr="007C78C4" w:rsidRDefault="00917C96" w:rsidP="004D17C2">
      <w:pPr>
        <w:jc w:val="both"/>
        <w:rPr>
          <w:rFonts w:ascii="Arial" w:hAnsi="Arial" w:cs="Arial"/>
          <w:sz w:val="20"/>
          <w:szCs w:val="20"/>
        </w:rPr>
      </w:pPr>
    </w:p>
    <w:p w:rsidR="00917C96" w:rsidRDefault="00917C96" w:rsidP="004D17C2">
      <w:pPr>
        <w:jc w:val="both"/>
        <w:rPr>
          <w:rFonts w:ascii="Arial" w:hAnsi="Arial" w:cs="Arial"/>
          <w:sz w:val="20"/>
          <w:szCs w:val="20"/>
        </w:rPr>
      </w:pPr>
    </w:p>
    <w:p w:rsidR="00917C96" w:rsidRDefault="00917C96" w:rsidP="004D17C2">
      <w:pPr>
        <w:pStyle w:val="Ttulo5"/>
        <w:autoSpaceDE/>
        <w:autoSpaceDN/>
        <w:adjustRightInd/>
        <w:rPr>
          <w:rFonts w:ascii="Arial" w:hAnsi="Arial" w:cs="Arial"/>
          <w:sz w:val="20"/>
          <w:szCs w:val="20"/>
        </w:rPr>
      </w:pPr>
      <w:proofErr w:type="spellStart"/>
      <w:r w:rsidRPr="004D17C2">
        <w:rPr>
          <w:rFonts w:ascii="Arial" w:hAnsi="Arial" w:cs="Arial"/>
          <w:sz w:val="20"/>
          <w:szCs w:val="20"/>
        </w:rPr>
        <w:t>II.b</w:t>
      </w:r>
      <w:proofErr w:type="spellEnd"/>
      <w:r w:rsidRPr="004D17C2">
        <w:rPr>
          <w:rFonts w:ascii="Arial" w:hAnsi="Arial" w:cs="Arial"/>
          <w:sz w:val="20"/>
          <w:szCs w:val="20"/>
        </w:rPr>
        <w:t xml:space="preserve"> – Blocos Econômicos e Regiões Geográficas</w:t>
      </w:r>
    </w:p>
    <w:p w:rsidR="00914CE9" w:rsidRDefault="00914CE9" w:rsidP="00914CE9"/>
    <w:p w:rsidR="008A2E79" w:rsidRPr="008A2E79" w:rsidRDefault="008A2E79" w:rsidP="008A2E79">
      <w:pPr>
        <w:pStyle w:val="Recuodecorpodetexto"/>
        <w:ind w:firstLine="0"/>
        <w:rPr>
          <w:rFonts w:ascii="Arial" w:hAnsi="Arial" w:cs="Arial"/>
          <w:sz w:val="20"/>
          <w:szCs w:val="20"/>
        </w:rPr>
      </w:pPr>
      <w:r w:rsidRPr="008A2E79">
        <w:rPr>
          <w:rFonts w:ascii="Arial" w:hAnsi="Arial" w:cs="Arial"/>
          <w:sz w:val="20"/>
          <w:szCs w:val="20"/>
        </w:rPr>
        <w:t>A Ásia é a principal região de destino das exportações do agronegócio brasileiro. As vendas para o continente asiático chegaram a US$ 27,46 bilhões entre janeiro e julho de 2017, com expansão de 7,4% no valor exportado. Esta elevação nas vendas ao continente acima do incremento total das exportações (+6,8%) possibilitou um aumento de 0,3 ponto percentual na participação da Ásia, que subiu de 48,4% para 48,7% no valor exportado em produtos do agronegócio pelo Brasil.</w:t>
      </w:r>
    </w:p>
    <w:p w:rsidR="008A2E79" w:rsidRPr="008A2E79" w:rsidRDefault="008A2E79" w:rsidP="008A2E79">
      <w:pPr>
        <w:pStyle w:val="Recuodecorpodetexto"/>
        <w:ind w:firstLine="0"/>
        <w:rPr>
          <w:rFonts w:ascii="Arial" w:hAnsi="Arial" w:cs="Arial"/>
          <w:sz w:val="20"/>
          <w:szCs w:val="20"/>
        </w:rPr>
      </w:pPr>
    </w:p>
    <w:p w:rsidR="008A2E79" w:rsidRPr="008A2E79" w:rsidRDefault="008A2E79" w:rsidP="008A2E79">
      <w:pPr>
        <w:pStyle w:val="Recuodecorpodetexto"/>
        <w:ind w:firstLine="0"/>
        <w:rPr>
          <w:rFonts w:ascii="Arial" w:hAnsi="Arial" w:cs="Arial"/>
          <w:sz w:val="20"/>
          <w:szCs w:val="20"/>
        </w:rPr>
      </w:pPr>
      <w:r w:rsidRPr="008A2E79">
        <w:rPr>
          <w:rFonts w:ascii="Arial" w:hAnsi="Arial" w:cs="Arial"/>
          <w:sz w:val="20"/>
          <w:szCs w:val="20"/>
        </w:rPr>
        <w:t xml:space="preserve">A União Europeia, por outro lado, continua com uma participação declinante nas exportações do agronegócio brasileiro. As vendas para o bloco caíram em valores absolutos de US$ 10,15 bilhões entre janeiro e julho de 2016 para US$ 9,52 bilhões (-6,2%). Com efeito, a participação diminui de 19,2% para 16,9% no período. </w:t>
      </w:r>
    </w:p>
    <w:p w:rsidR="008A2E79" w:rsidRPr="008A2E79" w:rsidRDefault="008A2E79" w:rsidP="008A2E79">
      <w:pPr>
        <w:pStyle w:val="Recuodecorpodetexto"/>
        <w:ind w:firstLine="0"/>
        <w:rPr>
          <w:rFonts w:ascii="Arial" w:hAnsi="Arial" w:cs="Arial"/>
          <w:sz w:val="20"/>
          <w:szCs w:val="20"/>
        </w:rPr>
      </w:pPr>
    </w:p>
    <w:p w:rsidR="008A2E79" w:rsidRDefault="008A2E79" w:rsidP="008A2E79">
      <w:pPr>
        <w:pStyle w:val="Recuodecorpodetexto"/>
        <w:ind w:firstLine="0"/>
        <w:rPr>
          <w:rFonts w:ascii="Arial" w:hAnsi="Arial" w:cs="Arial"/>
          <w:sz w:val="20"/>
          <w:szCs w:val="20"/>
        </w:rPr>
      </w:pPr>
      <w:r w:rsidRPr="008A2E79">
        <w:rPr>
          <w:rFonts w:ascii="Arial" w:hAnsi="Arial" w:cs="Arial"/>
          <w:sz w:val="20"/>
          <w:szCs w:val="20"/>
        </w:rPr>
        <w:t xml:space="preserve">A África e o Oriente Médio também foram destaques positivos no que se refere ao incremento de participação. As exportações para a África subiram 23,6%, atingindo US$ 3,88 bilhões. Esse crescimento possibilitou um aumento da participação da África de 1,0 ponto percentual, passando de 5,9% para 6,9% no valor total exportado pelo Brasil em produtos do agronegócio. O Oriente Médio, por sua vez, aumento a participação em 0,9 ponto percentual, com aumento nas aquisições de 18,8%. </w:t>
      </w:r>
    </w:p>
    <w:p w:rsidR="00284305" w:rsidRPr="008A2E79" w:rsidRDefault="00284305" w:rsidP="008A2E79">
      <w:pPr>
        <w:pStyle w:val="Recuodecorpodetexto"/>
        <w:ind w:firstLine="0"/>
        <w:rPr>
          <w:rFonts w:ascii="Arial" w:hAnsi="Arial" w:cs="Arial"/>
          <w:sz w:val="20"/>
          <w:szCs w:val="20"/>
        </w:rPr>
      </w:pPr>
    </w:p>
    <w:p w:rsidR="00850D44" w:rsidRPr="00850D44" w:rsidRDefault="00850D44" w:rsidP="00850D44">
      <w:r w:rsidRPr="00850D44">
        <w:rPr>
          <w:noProof/>
        </w:rPr>
        <w:drawing>
          <wp:inline distT="0" distB="0" distL="0" distR="0" wp14:anchorId="6236A02E" wp14:editId="7044A72B">
            <wp:extent cx="6480175" cy="234823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175" cy="2348230"/>
                    </a:xfrm>
                    <a:prstGeom prst="rect">
                      <a:avLst/>
                    </a:prstGeom>
                  </pic:spPr>
                </pic:pic>
              </a:graphicData>
            </a:graphic>
          </wp:inline>
        </w:drawing>
      </w:r>
    </w:p>
    <w:p w:rsidR="00917C96" w:rsidRDefault="00917C96" w:rsidP="00D15030">
      <w:pPr>
        <w:jc w:val="both"/>
        <w:rPr>
          <w:rFonts w:ascii="Arial" w:hAnsi="Arial" w:cs="Arial"/>
          <w:sz w:val="20"/>
          <w:szCs w:val="20"/>
        </w:rPr>
      </w:pPr>
    </w:p>
    <w:p w:rsidR="00A224F9" w:rsidRDefault="00917C96" w:rsidP="00A224F9">
      <w:pPr>
        <w:pStyle w:val="Ttulo5"/>
        <w:autoSpaceDE/>
        <w:autoSpaceDN/>
        <w:adjustRightInd/>
        <w:rPr>
          <w:rFonts w:ascii="Arial" w:hAnsi="Arial" w:cs="Arial"/>
          <w:sz w:val="20"/>
          <w:szCs w:val="20"/>
        </w:rPr>
      </w:pPr>
      <w:proofErr w:type="spellStart"/>
      <w:r>
        <w:rPr>
          <w:rFonts w:ascii="Arial" w:hAnsi="Arial" w:cs="Arial"/>
          <w:sz w:val="20"/>
          <w:szCs w:val="20"/>
        </w:rPr>
        <w:t>I</w:t>
      </w:r>
      <w:r w:rsidRPr="001D51EE">
        <w:rPr>
          <w:rFonts w:ascii="Arial" w:hAnsi="Arial" w:cs="Arial"/>
          <w:sz w:val="20"/>
          <w:szCs w:val="20"/>
        </w:rPr>
        <w:t>I.</w:t>
      </w:r>
      <w:r>
        <w:rPr>
          <w:rFonts w:ascii="Arial" w:hAnsi="Arial" w:cs="Arial"/>
          <w:sz w:val="20"/>
          <w:szCs w:val="20"/>
        </w:rPr>
        <w:t>c</w:t>
      </w:r>
      <w:proofErr w:type="spellEnd"/>
      <w:r>
        <w:rPr>
          <w:rFonts w:ascii="Arial" w:hAnsi="Arial" w:cs="Arial"/>
          <w:sz w:val="20"/>
          <w:szCs w:val="20"/>
        </w:rPr>
        <w:t xml:space="preserve"> – Países</w:t>
      </w:r>
    </w:p>
    <w:p w:rsidR="00A224F9" w:rsidRDefault="00A224F9" w:rsidP="00A224F9"/>
    <w:p w:rsidR="008A2E79" w:rsidRPr="008A2E79" w:rsidRDefault="008A2E79" w:rsidP="008A2E79">
      <w:pPr>
        <w:pStyle w:val="Recuodecorpodetexto"/>
        <w:ind w:firstLine="0"/>
        <w:rPr>
          <w:rFonts w:ascii="Arial" w:hAnsi="Arial" w:cs="Arial"/>
          <w:sz w:val="20"/>
          <w:szCs w:val="20"/>
        </w:rPr>
      </w:pPr>
      <w:r w:rsidRPr="008A2E79">
        <w:rPr>
          <w:rFonts w:ascii="Arial" w:hAnsi="Arial" w:cs="Arial"/>
          <w:sz w:val="20"/>
          <w:szCs w:val="20"/>
        </w:rPr>
        <w:t xml:space="preserve">A China, maior país importador de produtos do agronegócio brasileiro, foi o mercado que mais aumentou a participação nas exportações brasileiras. O crescimento de 14,7% nas aquisições entre janeiro e julho fez com a participação desse país asiático subisse de 30,1% para 32,3% nas exportações brasileiras do agronegócio ou 2,2 pontos percentuais. O principal produto importado pela China do Brasil continua sendo a soja em grão. Foram 39,4 milhões de toneladas de soja importadas ou 77% do total exportado pelo Brasil do produto. Essa quantidade exportada gerou uma receita de US$ 14,86 bilhões (+20,6%) ou o equivalente a 81,5% do total exportado para a China, demonstrando a grande concentração da pauta num único produto. Além da soja, um único produto obteve receita de exportação acima de um bilhão com a China: a celulose. As exportações de celulose atingiram US$ 1,45 bilhão entre janeiro e julho (+22,7%). </w:t>
      </w:r>
    </w:p>
    <w:p w:rsidR="008A2E79" w:rsidRPr="008A2E79" w:rsidRDefault="008A2E79" w:rsidP="008A2E79">
      <w:pPr>
        <w:pStyle w:val="Recuodecorpodetexto"/>
        <w:ind w:firstLine="0"/>
        <w:rPr>
          <w:rFonts w:ascii="Arial" w:hAnsi="Arial" w:cs="Arial"/>
          <w:sz w:val="20"/>
          <w:szCs w:val="20"/>
        </w:rPr>
      </w:pPr>
    </w:p>
    <w:p w:rsidR="008A2E79" w:rsidRPr="008A2E79" w:rsidRDefault="008A2E79" w:rsidP="008A2E79">
      <w:pPr>
        <w:pStyle w:val="Recuodecorpodetexto"/>
        <w:ind w:firstLine="0"/>
        <w:rPr>
          <w:rFonts w:ascii="Arial" w:hAnsi="Arial" w:cs="Arial"/>
          <w:sz w:val="20"/>
          <w:szCs w:val="20"/>
        </w:rPr>
      </w:pPr>
      <w:r w:rsidRPr="008A2E79">
        <w:rPr>
          <w:rFonts w:ascii="Arial" w:hAnsi="Arial" w:cs="Arial"/>
          <w:sz w:val="20"/>
          <w:szCs w:val="20"/>
        </w:rPr>
        <w:t>Além da China, outros países que ganharam participação relativa relevante foram: Irã, Rússia, Índia, Emirados Árabes e Bangladesh. Todas as estatísticas de exportações com esses mercados estão apresentadas na Tabela 6, abaixo.</w:t>
      </w:r>
    </w:p>
    <w:p w:rsidR="008A2E79" w:rsidRPr="008A2E79" w:rsidRDefault="008A2E79" w:rsidP="008A2E79">
      <w:pPr>
        <w:pStyle w:val="Recuodecorpodetexto"/>
        <w:ind w:firstLine="0"/>
        <w:rPr>
          <w:rFonts w:ascii="Arial" w:hAnsi="Arial" w:cs="Arial"/>
          <w:sz w:val="20"/>
          <w:szCs w:val="20"/>
        </w:rPr>
      </w:pPr>
    </w:p>
    <w:p w:rsidR="008A2E79" w:rsidRDefault="008A2E79" w:rsidP="008A2E79">
      <w:pPr>
        <w:pStyle w:val="Recuodecorpodetexto"/>
        <w:ind w:firstLine="0"/>
        <w:rPr>
          <w:rFonts w:ascii="Arial" w:hAnsi="Arial" w:cs="Arial"/>
          <w:sz w:val="20"/>
          <w:szCs w:val="20"/>
        </w:rPr>
      </w:pPr>
      <w:r w:rsidRPr="008A2E79">
        <w:rPr>
          <w:rFonts w:ascii="Arial" w:hAnsi="Arial" w:cs="Arial"/>
          <w:sz w:val="20"/>
          <w:szCs w:val="20"/>
        </w:rPr>
        <w:t>Os dez principais mercados aumentaram a participação de 58,8% entre janeiro e julho de 2016 para 59,6% nos sete primeiros meses de 2017. Houve, também, aumento de concentração na análise para os vinte principais mercados, apresentados na Tabela 6. Neste caso, as aquisições dos 20 principais mercados subiram de 74,4% entre janeiro de julho de 2016 para 75,4% entre janeiro e julho de 2017.</w:t>
      </w:r>
    </w:p>
    <w:p w:rsidR="008A2E79" w:rsidRDefault="008A2E79" w:rsidP="008A2E79">
      <w:pPr>
        <w:pStyle w:val="Recuodecorpodetexto"/>
        <w:ind w:firstLine="0"/>
        <w:rPr>
          <w:rFonts w:ascii="Arial" w:hAnsi="Arial" w:cs="Arial"/>
          <w:sz w:val="20"/>
          <w:szCs w:val="20"/>
        </w:rPr>
      </w:pPr>
    </w:p>
    <w:p w:rsidR="00917C96" w:rsidRPr="00284305" w:rsidRDefault="00850D44" w:rsidP="00284305">
      <w:r w:rsidRPr="00850D44">
        <w:rPr>
          <w:noProof/>
        </w:rPr>
        <w:drawing>
          <wp:inline distT="0" distB="0" distL="0" distR="0" wp14:anchorId="581B6619" wp14:editId="0C033C39">
            <wp:extent cx="6480175" cy="3879215"/>
            <wp:effectExtent l="0" t="0" r="0" b="698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80175" cy="3879215"/>
                    </a:xfrm>
                    <a:prstGeom prst="rect">
                      <a:avLst/>
                    </a:prstGeom>
                  </pic:spPr>
                </pic:pic>
              </a:graphicData>
            </a:graphic>
          </wp:inline>
        </w:drawing>
      </w:r>
    </w:p>
    <w:bookmarkEnd w:id="0"/>
    <w:p w:rsidR="00CA1DF3" w:rsidRDefault="00CA1DF3">
      <w:pPr>
        <w:autoSpaceDE w:val="0"/>
        <w:autoSpaceDN w:val="0"/>
        <w:adjustRightInd w:val="0"/>
        <w:jc w:val="both"/>
        <w:rPr>
          <w:rFonts w:ascii="Arial" w:hAnsi="Arial" w:cs="Arial"/>
          <w:b/>
          <w:sz w:val="20"/>
          <w:szCs w:val="20"/>
        </w:rPr>
      </w:pPr>
    </w:p>
    <w:p w:rsidR="00C87B02" w:rsidRDefault="00CE04FD">
      <w:pPr>
        <w:autoSpaceDE w:val="0"/>
        <w:autoSpaceDN w:val="0"/>
        <w:adjustRightInd w:val="0"/>
        <w:jc w:val="both"/>
        <w:rPr>
          <w:rFonts w:ascii="Arial" w:hAnsi="Arial" w:cs="Arial"/>
          <w:b/>
          <w:sz w:val="20"/>
          <w:szCs w:val="20"/>
        </w:rPr>
      </w:pPr>
      <w:r>
        <w:rPr>
          <w:rFonts w:ascii="Arial" w:hAnsi="Arial" w:cs="Arial"/>
          <w:b/>
          <w:sz w:val="20"/>
          <w:szCs w:val="20"/>
        </w:rPr>
        <w:t>II</w:t>
      </w:r>
      <w:r w:rsidR="00850D44">
        <w:rPr>
          <w:rFonts w:ascii="Arial" w:hAnsi="Arial" w:cs="Arial"/>
          <w:b/>
          <w:sz w:val="20"/>
          <w:szCs w:val="20"/>
        </w:rPr>
        <w:t>I – Resultados de Agosto</w:t>
      </w:r>
      <w:r w:rsidR="004215B4">
        <w:rPr>
          <w:rFonts w:ascii="Arial" w:hAnsi="Arial" w:cs="Arial"/>
          <w:b/>
          <w:sz w:val="20"/>
          <w:szCs w:val="20"/>
        </w:rPr>
        <w:t xml:space="preserve"> de 2016</w:t>
      </w:r>
      <w:r w:rsidR="00C87B02" w:rsidRPr="005211A7">
        <w:rPr>
          <w:rFonts w:ascii="Arial" w:hAnsi="Arial" w:cs="Arial"/>
          <w:b/>
          <w:sz w:val="20"/>
          <w:szCs w:val="20"/>
        </w:rPr>
        <w:t xml:space="preserve"> a </w:t>
      </w:r>
      <w:r w:rsidR="00850D44">
        <w:rPr>
          <w:rFonts w:ascii="Arial" w:hAnsi="Arial" w:cs="Arial"/>
          <w:b/>
          <w:sz w:val="20"/>
          <w:szCs w:val="20"/>
        </w:rPr>
        <w:t>Jul</w:t>
      </w:r>
      <w:r w:rsidR="00FB6AD2">
        <w:rPr>
          <w:rFonts w:ascii="Arial" w:hAnsi="Arial" w:cs="Arial"/>
          <w:b/>
          <w:sz w:val="20"/>
          <w:szCs w:val="20"/>
        </w:rPr>
        <w:t>ho</w:t>
      </w:r>
      <w:r w:rsidR="004215B4">
        <w:rPr>
          <w:rFonts w:ascii="Arial" w:hAnsi="Arial" w:cs="Arial"/>
          <w:b/>
          <w:sz w:val="20"/>
          <w:szCs w:val="20"/>
        </w:rPr>
        <w:t xml:space="preserve"> de 2017</w:t>
      </w:r>
      <w:r w:rsidR="006843BB">
        <w:rPr>
          <w:rFonts w:ascii="Arial" w:hAnsi="Arial" w:cs="Arial"/>
          <w:b/>
          <w:sz w:val="20"/>
          <w:szCs w:val="20"/>
        </w:rPr>
        <w:t xml:space="preserve"> (Acumulado 12 meses)</w:t>
      </w:r>
    </w:p>
    <w:p w:rsidR="001E649C" w:rsidRDefault="001E649C">
      <w:pPr>
        <w:autoSpaceDE w:val="0"/>
        <w:autoSpaceDN w:val="0"/>
        <w:adjustRightInd w:val="0"/>
        <w:jc w:val="both"/>
        <w:rPr>
          <w:rFonts w:ascii="Arial" w:hAnsi="Arial" w:cs="Arial"/>
          <w:b/>
          <w:sz w:val="20"/>
          <w:szCs w:val="20"/>
        </w:rPr>
      </w:pPr>
    </w:p>
    <w:p w:rsidR="003A7FAC" w:rsidRPr="00252986" w:rsidRDefault="003A7FAC" w:rsidP="003A7FAC">
      <w:pPr>
        <w:pStyle w:val="Recuodecorpodetexto"/>
        <w:ind w:firstLine="0"/>
        <w:rPr>
          <w:rFonts w:ascii="Arial" w:hAnsi="Arial" w:cs="Arial"/>
          <w:sz w:val="20"/>
          <w:szCs w:val="20"/>
        </w:rPr>
      </w:pPr>
      <w:r w:rsidRPr="00252986">
        <w:rPr>
          <w:rFonts w:ascii="Arial" w:hAnsi="Arial" w:cs="Arial"/>
          <w:sz w:val="20"/>
          <w:szCs w:val="20"/>
        </w:rPr>
        <w:t>Entre agosto de 2016 e julho de 2017, as exportações do agronegócio brasileiro alcançaram a cifra de US$ 88,52 bilhões, o que significou decréscimo de 0,2% em relação aos US$ 88,67 bilhões comercializados nos doze meses imediatamente anteriores. Em números absolutos, a diferença totalizou US$ 153,57 milhões. Em relação às exportações totais do período, o agronegócio participou com 43,2%, caindo 4,8 pontos percentuais em comparação à participação verificada entre agosto de 2015 e julho de 2016. As importações, por outro lado, apresentaram incremento de 21,8% e totalizaram US$ 14,74 bilhões entre agosto de 2016 e julho de 2017. Dessa forma, no período considerado, o saldo da balança comercial do agronegócio brasileiro foi superavitário em US$ 73,78 bilhões (-3,6%).</w:t>
      </w:r>
    </w:p>
    <w:p w:rsidR="00A16A28" w:rsidRDefault="00A16A28">
      <w:pPr>
        <w:autoSpaceDE w:val="0"/>
        <w:autoSpaceDN w:val="0"/>
        <w:adjustRightInd w:val="0"/>
        <w:jc w:val="both"/>
        <w:rPr>
          <w:rFonts w:ascii="Arial" w:hAnsi="Arial" w:cs="Arial"/>
          <w:b/>
          <w:sz w:val="20"/>
          <w:szCs w:val="20"/>
        </w:rPr>
      </w:pPr>
    </w:p>
    <w:p w:rsidR="00ED25C3" w:rsidRDefault="00ED25C3">
      <w:pPr>
        <w:autoSpaceDE w:val="0"/>
        <w:autoSpaceDN w:val="0"/>
        <w:adjustRightInd w:val="0"/>
        <w:jc w:val="both"/>
        <w:rPr>
          <w:rFonts w:ascii="Arial" w:hAnsi="Arial" w:cs="Arial"/>
          <w:b/>
          <w:sz w:val="20"/>
          <w:szCs w:val="20"/>
        </w:rPr>
      </w:pPr>
    </w:p>
    <w:p w:rsidR="00A16A28" w:rsidRDefault="00A16A28" w:rsidP="00A16A28">
      <w:pPr>
        <w:pStyle w:val="Ttulo5"/>
        <w:autoSpaceDE/>
        <w:autoSpaceDN/>
        <w:adjustRightInd/>
        <w:rPr>
          <w:rFonts w:ascii="Arial" w:hAnsi="Arial" w:cs="Arial"/>
          <w:sz w:val="20"/>
          <w:szCs w:val="20"/>
        </w:rPr>
      </w:pPr>
      <w:proofErr w:type="spellStart"/>
      <w:r>
        <w:rPr>
          <w:rFonts w:ascii="Arial" w:hAnsi="Arial" w:cs="Arial"/>
          <w:sz w:val="20"/>
          <w:szCs w:val="20"/>
        </w:rPr>
        <w:t>III.a</w:t>
      </w:r>
      <w:proofErr w:type="spellEnd"/>
      <w:r>
        <w:rPr>
          <w:rFonts w:ascii="Arial" w:hAnsi="Arial" w:cs="Arial"/>
          <w:sz w:val="20"/>
          <w:szCs w:val="20"/>
        </w:rPr>
        <w:t xml:space="preserve"> – Setores do Agronegócio</w:t>
      </w:r>
    </w:p>
    <w:p w:rsidR="00A16A28" w:rsidRDefault="00A16A28">
      <w:pPr>
        <w:autoSpaceDE w:val="0"/>
        <w:autoSpaceDN w:val="0"/>
        <w:adjustRightInd w:val="0"/>
        <w:jc w:val="both"/>
        <w:rPr>
          <w:rFonts w:ascii="Arial" w:hAnsi="Arial" w:cs="Arial"/>
          <w:b/>
          <w:sz w:val="20"/>
          <w:szCs w:val="20"/>
        </w:rPr>
      </w:pPr>
    </w:p>
    <w:p w:rsidR="003A7FAC" w:rsidRPr="00252986" w:rsidRDefault="003A7FAC" w:rsidP="003A7FAC">
      <w:pPr>
        <w:pStyle w:val="Recuodecorpodetexto"/>
        <w:ind w:firstLine="0"/>
        <w:rPr>
          <w:rFonts w:ascii="Arial" w:hAnsi="Arial" w:cs="Arial"/>
          <w:sz w:val="20"/>
          <w:szCs w:val="20"/>
        </w:rPr>
      </w:pPr>
      <w:r w:rsidRPr="00252986">
        <w:rPr>
          <w:rFonts w:ascii="Arial" w:hAnsi="Arial" w:cs="Arial"/>
          <w:sz w:val="20"/>
          <w:szCs w:val="20"/>
        </w:rPr>
        <w:t>Os principais setores exportadores do agronegócio no período foram: complexo soja, com 31,8% de participação; carnes, com 16,6%; complexo sucroalcooleiro, com 14,4%; produtos florestais, com 12,1%; e café, com 6,4%.</w:t>
      </w:r>
    </w:p>
    <w:p w:rsidR="003A7FAC" w:rsidRPr="00252986" w:rsidRDefault="003A7FAC" w:rsidP="003A7FAC">
      <w:pPr>
        <w:pStyle w:val="Recuodecorpodetexto"/>
        <w:ind w:firstLine="0"/>
        <w:rPr>
          <w:rFonts w:ascii="Arial" w:hAnsi="Arial" w:cs="Arial"/>
          <w:sz w:val="20"/>
          <w:szCs w:val="20"/>
        </w:rPr>
      </w:pPr>
    </w:p>
    <w:p w:rsidR="003A7FAC" w:rsidRPr="00252986" w:rsidRDefault="003A7FAC" w:rsidP="003A7FAC">
      <w:pPr>
        <w:pStyle w:val="Recuodecorpodetexto"/>
        <w:ind w:firstLine="0"/>
        <w:rPr>
          <w:rFonts w:ascii="Arial" w:hAnsi="Arial" w:cs="Arial"/>
          <w:sz w:val="20"/>
          <w:szCs w:val="20"/>
        </w:rPr>
      </w:pPr>
      <w:r w:rsidRPr="00252986">
        <w:rPr>
          <w:rFonts w:ascii="Arial" w:hAnsi="Arial" w:cs="Arial"/>
          <w:sz w:val="20"/>
          <w:szCs w:val="20"/>
        </w:rPr>
        <w:t xml:space="preserve">O principal setor em valor exportado dos últimos doze meses foi o complexo soja, com exportações totais de US$ 28,16 bilhões e 72,93 milhões de toneladas comercializadas. Em relação à variação, nos últimos doze meses observou-se queda de 0,6% em valor, retração de 3,1% em quantidade e aumento de 2,6% no preço médio dos produtos do setor. O item com maior valor exportado foi a soja em grãos, com US$ 22,21 bilhões e expansão de 3,0% em relação aos US$ 21,57 bilhões negociados no período anterior. No que tange ao quantum, foram embarcadas 58,17 milhões de toneladas (+0,3%). O preço médio verificado no período foi de US$ 382 por tonelada, o que significou </w:t>
      </w:r>
      <w:r w:rsidR="00DF752F">
        <w:rPr>
          <w:rFonts w:ascii="Arial" w:hAnsi="Arial" w:cs="Arial"/>
          <w:sz w:val="20"/>
          <w:szCs w:val="20"/>
        </w:rPr>
        <w:t>expans</w:t>
      </w:r>
      <w:r w:rsidRPr="00252986">
        <w:rPr>
          <w:rFonts w:ascii="Arial" w:hAnsi="Arial" w:cs="Arial"/>
          <w:sz w:val="20"/>
          <w:szCs w:val="20"/>
        </w:rPr>
        <w:t xml:space="preserve">ão de 2,7%. O segundo produto do setor em geração de receita foi o farelo de soja, com a soma de US$ 4,90 bilhões (-12,7%). Em quantidade, houve queda de 14,3%, para um total de 13,38 milhões de toneladas. Por fim, as exportações de óleo de soja alcançaram a marca de US$ 1,04 bilhão (-7,9%) e 1,38 milhão de toneladas (-17,2%), com o preço médio do produto tendo aumentado 11,2% no período (de US$ 679 por tonelada para US$ 755 por tonelada). </w:t>
      </w:r>
    </w:p>
    <w:p w:rsidR="003A7FAC" w:rsidRPr="00252986" w:rsidRDefault="003A7FAC" w:rsidP="003A7FAC">
      <w:pPr>
        <w:pStyle w:val="Recuodecorpodetexto"/>
        <w:ind w:firstLine="0"/>
        <w:rPr>
          <w:rFonts w:ascii="Arial" w:hAnsi="Arial" w:cs="Arial"/>
          <w:sz w:val="20"/>
          <w:szCs w:val="20"/>
        </w:rPr>
      </w:pPr>
    </w:p>
    <w:p w:rsidR="003A7FAC" w:rsidRPr="00252986" w:rsidRDefault="003A7FAC" w:rsidP="003A7FAC">
      <w:pPr>
        <w:pStyle w:val="Recuodecorpodetexto"/>
        <w:ind w:firstLine="0"/>
        <w:rPr>
          <w:rFonts w:ascii="Arial" w:hAnsi="Arial" w:cs="Arial"/>
          <w:sz w:val="20"/>
          <w:szCs w:val="20"/>
        </w:rPr>
      </w:pPr>
      <w:r w:rsidRPr="00252986">
        <w:rPr>
          <w:rFonts w:ascii="Arial" w:hAnsi="Arial" w:cs="Arial"/>
          <w:sz w:val="20"/>
          <w:szCs w:val="20"/>
        </w:rPr>
        <w:t xml:space="preserve">O segundo principal setor do agronegócio brasileiro em valor exportado foi o de carnes, com vendas externas de US$ 14,69 bilhões (+1,5%) e 6,53 milhões de toneladas negociadas (-4,3%). A carne de frango foi o principal item do setor, com vendas de US$ 6,96 bilhões (+1,4%) e 4,18 milhões de toneladas embarcadas (-5,4%), enquanto o preço médio da carne de frango brasileira vendida ao mercado externo apresentou incremento de 7,2% nos doze meses considerados. Em seguida, destacaram-se as exportações de carne bovina, com o montante de US$ 5,37 bilhões (-6,2%), para um total de 1,31 milhão de toneladas (-8,4%). O preço médio do produto aumentou 2,3% entre agosto de 2016 e julho de 2017. As exportações de carne suína in natura atingiram valor recorde para o acumulado de doze meses, totalizando US$ 1,53 bilhão, o que representou crescimento de 26,7% em relação ao valor auferido nos doze meses anteriores, para um quantum comercializado de 617,65 mil toneladas no período (+6,9%) e expansão de 18,5% no preço médio. Já as vendas externas de carne de peru somaram US$ 337,10 milhões (+21,7%), com o embarque de 134,47 mil toneladas (+4,0%) no período. </w:t>
      </w:r>
    </w:p>
    <w:p w:rsidR="003A7FAC" w:rsidRPr="00252986" w:rsidRDefault="003A7FAC" w:rsidP="003A7FAC">
      <w:pPr>
        <w:pStyle w:val="Recuodecorpodetexto"/>
        <w:ind w:firstLine="0"/>
        <w:rPr>
          <w:rFonts w:ascii="Arial" w:hAnsi="Arial" w:cs="Arial"/>
          <w:sz w:val="20"/>
          <w:szCs w:val="20"/>
        </w:rPr>
      </w:pPr>
    </w:p>
    <w:p w:rsidR="003A7FAC" w:rsidRPr="00252986" w:rsidRDefault="003A7FAC" w:rsidP="003A7FAC">
      <w:pPr>
        <w:pStyle w:val="Recuodecorpodetexto"/>
        <w:ind w:firstLine="0"/>
        <w:rPr>
          <w:rFonts w:ascii="Arial" w:hAnsi="Arial" w:cs="Arial"/>
          <w:sz w:val="20"/>
          <w:szCs w:val="20"/>
        </w:rPr>
      </w:pPr>
      <w:r w:rsidRPr="00252986">
        <w:rPr>
          <w:rFonts w:ascii="Arial" w:hAnsi="Arial" w:cs="Arial"/>
          <w:sz w:val="20"/>
          <w:szCs w:val="20"/>
        </w:rPr>
        <w:t xml:space="preserve">No acumulado dos últimos doze meses, o complexo sucroalcooleiro foi o terceiro maior setor do agronegócio em valor exportado, saltando uma posição em relação aos 12 meses imediatamente anteriores. As vendas externas do setor alcançaram o patamar de US$ 12,72 bilhões, o que significou crescimento de 34,2% em comparação aos US$ 9,48 bilhões exportados entre agosto de 2015 e julho de 2016. Tal incremento foi consequência da expansão de 28,5% no preço médio e de 4,4% no quantum embarcado no período. As exportações de açúcar foram preponderantes, com a cifra de 12,0 bilhões ou 94,3% do total exportado pelo setor. Houve crescimento de 43,6% no valor exportado, resultado do aumento do preço médio no período (+32,6%) e da quantidade exportada em 12 meses – 28,96 milhões de toneladas (+8,3%). As vendas externas de álcool somaram US$ 709,78 milhões (-36,2%), ante exportações de US$ 1,11 bilhão verificadas no período precedente, com queda de 48,7% da quantidade exportada (989,58 mil toneladas), apesar do aumento de 24,4% no preço médio do produto, que passou de US$ 577 por tonelada para os atuais US$ 717 por tonelada. </w:t>
      </w:r>
    </w:p>
    <w:p w:rsidR="003A7FAC" w:rsidRPr="00252986" w:rsidRDefault="003A7FAC" w:rsidP="003A7FAC">
      <w:pPr>
        <w:pStyle w:val="Recuodecorpodetexto"/>
        <w:ind w:firstLine="0"/>
        <w:rPr>
          <w:rFonts w:ascii="Arial" w:hAnsi="Arial" w:cs="Arial"/>
          <w:sz w:val="20"/>
          <w:szCs w:val="20"/>
        </w:rPr>
      </w:pPr>
    </w:p>
    <w:p w:rsidR="003A7FAC" w:rsidRPr="00252986" w:rsidRDefault="003A7FAC" w:rsidP="003A7FAC">
      <w:pPr>
        <w:pStyle w:val="Recuodecorpodetexto"/>
        <w:ind w:firstLine="0"/>
        <w:rPr>
          <w:rFonts w:ascii="Arial" w:hAnsi="Arial" w:cs="Arial"/>
          <w:sz w:val="20"/>
          <w:szCs w:val="20"/>
        </w:rPr>
      </w:pPr>
      <w:r w:rsidRPr="00252986">
        <w:rPr>
          <w:rFonts w:ascii="Arial" w:hAnsi="Arial" w:cs="Arial"/>
          <w:sz w:val="20"/>
          <w:szCs w:val="20"/>
        </w:rPr>
        <w:t>Na quarta colocação, os produtos florestais registraram exportações de US$ 10,75 bilhões (+4,8%) e crescimento de 7,9% em quantidade. O principal item negociado foi a celulose, com a cifra recorde para o acumulado de doze meses de US$ 5,88 bilhões (+3,6%) e quantidade comercializada de 13,87 milhões de toneladas (+7,7%). As vendas externas de madeiras e suas obras totalizaram US$ 3,0 bilhões e cresceram 13,9%, em função tanto da expansão de 12,0% no quantum negociado (5,98 milhões de toneladas) quanto do crescimento de 1,7% no preço médio do produto brasileiro vendido no mercado internacional. Já as vendas externas de papel atingiram a cifra de US$ 1,87 bilhão (-3,8%), com quantum negociado de 2,16 milhões de toneladas (-0,5%).</w:t>
      </w:r>
    </w:p>
    <w:p w:rsidR="003A7FAC" w:rsidRPr="00252986" w:rsidRDefault="003A7FAC" w:rsidP="003A7FAC">
      <w:pPr>
        <w:pStyle w:val="Recuodecorpodetexto"/>
        <w:ind w:firstLine="0"/>
        <w:rPr>
          <w:rFonts w:ascii="Arial" w:hAnsi="Arial" w:cs="Arial"/>
          <w:sz w:val="20"/>
          <w:szCs w:val="20"/>
        </w:rPr>
      </w:pPr>
    </w:p>
    <w:p w:rsidR="003A7FAC" w:rsidRPr="00252986" w:rsidRDefault="003A7FAC" w:rsidP="003A7FAC">
      <w:pPr>
        <w:pStyle w:val="Recuodecorpodetexto"/>
        <w:ind w:firstLine="0"/>
        <w:rPr>
          <w:rFonts w:ascii="Arial" w:hAnsi="Arial" w:cs="Arial"/>
          <w:sz w:val="20"/>
          <w:szCs w:val="20"/>
        </w:rPr>
      </w:pPr>
      <w:r w:rsidRPr="00252986">
        <w:rPr>
          <w:rFonts w:ascii="Arial" w:hAnsi="Arial" w:cs="Arial"/>
          <w:sz w:val="20"/>
          <w:szCs w:val="20"/>
        </w:rPr>
        <w:t xml:space="preserve">Na quinta colocação entre os principais setores do agronegócio brasileiro, o setor cafeeiro apresentou exportações totais de US$ 5,69 bilhões no período (+8,4%), com queda na quantidade comercializada (-5,6%) e incremento no preço médio dos produtos do setor (+14,9%). O principal item exportado foi o café verde, com a soma de US$ 5,02 bilhões e crescimento de 7,3% em comparação aos US$ 4,68 bilhões exportados no período precedente. A quantidade comercializada de café verde caiu 6,0% entre agosto de 2016 e julho de 2017, atingindo 1,76 milhão de toneladas. As vendas externas de café solúvel atingiram a cifra de US$ 607,62 milhões (+14,7%), com crescimento de 0,1% na quantidade comercializada (79,87 mil toneladas) </w:t>
      </w:r>
      <w:r w:rsidR="003278AE">
        <w:rPr>
          <w:rFonts w:ascii="Arial" w:hAnsi="Arial" w:cs="Arial"/>
          <w:sz w:val="20"/>
          <w:szCs w:val="20"/>
        </w:rPr>
        <w:t>e alta de 14,6% no preço médio.</w:t>
      </w:r>
    </w:p>
    <w:p w:rsidR="003A7FAC" w:rsidRPr="00252986" w:rsidRDefault="003A7FAC" w:rsidP="003A7FAC">
      <w:pPr>
        <w:pStyle w:val="Recuodecorpodetexto"/>
        <w:ind w:firstLine="0"/>
        <w:rPr>
          <w:rFonts w:ascii="Arial" w:hAnsi="Arial" w:cs="Arial"/>
          <w:sz w:val="20"/>
          <w:szCs w:val="20"/>
        </w:rPr>
      </w:pPr>
    </w:p>
    <w:p w:rsidR="003A7FAC" w:rsidRPr="00252986" w:rsidRDefault="003A7FAC" w:rsidP="003A7FAC">
      <w:pPr>
        <w:pStyle w:val="Recuodecorpodetexto"/>
        <w:ind w:firstLine="0"/>
        <w:rPr>
          <w:rFonts w:ascii="Arial" w:hAnsi="Arial" w:cs="Arial"/>
          <w:sz w:val="20"/>
          <w:szCs w:val="20"/>
        </w:rPr>
      </w:pPr>
      <w:r w:rsidRPr="00252986">
        <w:rPr>
          <w:rFonts w:ascii="Arial" w:hAnsi="Arial" w:cs="Arial"/>
          <w:sz w:val="20"/>
          <w:szCs w:val="20"/>
        </w:rPr>
        <w:t>No que tange às importações de produtos do agronegócio, observou-se um montante de US$ 14,74 bilhões nos doze meses considerados. Os principais itens adquiridos no mercado internacional, nesse período, foram: trigo (US$ 1,35 bilhão e +20,1%); álcool etílico (US$ 912,25 milhões e +404,9%); papel (US$ 790,42 milhões e +6,3%); salmões vivos (US$ 524,31 milhões e +40,7%); milho (US$ 510,98 milhões e +255,5%); vestuário e outros produtos têxteis de algodão (US$ 463,84 milhões e -26,4%); malte (US$ 452,27 milhões e +3,8%); leite em pó (US$ 444,57 milhões e +41,9%); óleo de dendê ou de palma (US$ 410,66 milhões e +44,6%); e borracha natural (US$ 397,35 milhões e+43,5%).</w:t>
      </w:r>
    </w:p>
    <w:p w:rsidR="00696EFB" w:rsidRDefault="00696EFB">
      <w:pPr>
        <w:autoSpaceDE w:val="0"/>
        <w:autoSpaceDN w:val="0"/>
        <w:adjustRightInd w:val="0"/>
        <w:jc w:val="both"/>
        <w:rPr>
          <w:rFonts w:ascii="Arial" w:hAnsi="Arial" w:cs="Arial"/>
          <w:b/>
          <w:sz w:val="20"/>
          <w:szCs w:val="20"/>
        </w:rPr>
      </w:pPr>
    </w:p>
    <w:p w:rsidR="001E649C" w:rsidRDefault="001E649C" w:rsidP="001E649C"/>
    <w:p w:rsidR="00D4012C" w:rsidRPr="007C78C4" w:rsidRDefault="00850D44" w:rsidP="006843BB">
      <w:pPr>
        <w:pStyle w:val="Recuodecorpodetexto"/>
        <w:ind w:firstLine="0"/>
        <w:rPr>
          <w:rFonts w:ascii="Arial" w:hAnsi="Arial" w:cs="Arial"/>
          <w:sz w:val="20"/>
          <w:szCs w:val="20"/>
        </w:rPr>
      </w:pPr>
      <w:r w:rsidRPr="00850D44">
        <w:rPr>
          <w:noProof/>
        </w:rPr>
        <w:drawing>
          <wp:inline distT="0" distB="0" distL="0" distR="0" wp14:anchorId="1878893C" wp14:editId="12538B0A">
            <wp:extent cx="6480175" cy="3855085"/>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80175" cy="3855085"/>
                    </a:xfrm>
                    <a:prstGeom prst="rect">
                      <a:avLst/>
                    </a:prstGeom>
                  </pic:spPr>
                </pic:pic>
              </a:graphicData>
            </a:graphic>
          </wp:inline>
        </w:drawing>
      </w:r>
    </w:p>
    <w:p w:rsidR="001E649C" w:rsidRDefault="001E649C" w:rsidP="001D51EE">
      <w:pPr>
        <w:pStyle w:val="Ttulo5"/>
        <w:autoSpaceDE/>
        <w:autoSpaceDN/>
        <w:adjustRightInd/>
        <w:rPr>
          <w:rFonts w:ascii="Arial" w:hAnsi="Arial" w:cs="Arial"/>
          <w:sz w:val="20"/>
          <w:szCs w:val="20"/>
        </w:rPr>
      </w:pPr>
    </w:p>
    <w:p w:rsidR="001D51EE" w:rsidRDefault="001D51EE" w:rsidP="001D51EE">
      <w:pPr>
        <w:pStyle w:val="Ttulo5"/>
        <w:autoSpaceDE/>
        <w:autoSpaceDN/>
        <w:adjustRightInd/>
        <w:rPr>
          <w:rFonts w:ascii="Arial" w:hAnsi="Arial" w:cs="Arial"/>
          <w:sz w:val="20"/>
          <w:szCs w:val="20"/>
        </w:rPr>
      </w:pPr>
      <w:proofErr w:type="spellStart"/>
      <w:r>
        <w:rPr>
          <w:rFonts w:ascii="Arial" w:hAnsi="Arial" w:cs="Arial"/>
          <w:sz w:val="20"/>
          <w:szCs w:val="20"/>
        </w:rPr>
        <w:t>I</w:t>
      </w:r>
      <w:r w:rsidR="00917C96">
        <w:rPr>
          <w:rFonts w:ascii="Arial" w:hAnsi="Arial" w:cs="Arial"/>
          <w:sz w:val="20"/>
          <w:szCs w:val="20"/>
        </w:rPr>
        <w:t>I</w:t>
      </w:r>
      <w:r w:rsidRPr="001D51EE">
        <w:rPr>
          <w:rFonts w:ascii="Arial" w:hAnsi="Arial" w:cs="Arial"/>
          <w:sz w:val="20"/>
          <w:szCs w:val="20"/>
        </w:rPr>
        <w:t>I.</w:t>
      </w:r>
      <w:r>
        <w:rPr>
          <w:rFonts w:ascii="Arial" w:hAnsi="Arial" w:cs="Arial"/>
          <w:sz w:val="20"/>
          <w:szCs w:val="20"/>
        </w:rPr>
        <w:t>b</w:t>
      </w:r>
      <w:proofErr w:type="spellEnd"/>
      <w:r>
        <w:rPr>
          <w:rFonts w:ascii="Arial" w:hAnsi="Arial" w:cs="Arial"/>
          <w:sz w:val="20"/>
          <w:szCs w:val="20"/>
        </w:rPr>
        <w:t xml:space="preserve"> – Blocos Econômicos e Regiões Geográficas</w:t>
      </w:r>
    </w:p>
    <w:p w:rsidR="00A16A28" w:rsidRPr="003A7FAC" w:rsidRDefault="00A16A28" w:rsidP="003A7FAC">
      <w:pPr>
        <w:pStyle w:val="Recuodecorpodetexto"/>
        <w:ind w:firstLine="0"/>
        <w:rPr>
          <w:rFonts w:ascii="Arial" w:hAnsi="Arial" w:cs="Arial"/>
          <w:sz w:val="20"/>
          <w:szCs w:val="20"/>
        </w:rPr>
      </w:pPr>
    </w:p>
    <w:p w:rsidR="003A7FAC" w:rsidRPr="00252986" w:rsidRDefault="003A7FAC" w:rsidP="003A7FAC">
      <w:pPr>
        <w:pStyle w:val="Recuodecorpodetexto"/>
        <w:ind w:firstLine="0"/>
        <w:rPr>
          <w:rFonts w:ascii="Arial" w:hAnsi="Arial" w:cs="Arial"/>
          <w:sz w:val="20"/>
          <w:szCs w:val="20"/>
        </w:rPr>
      </w:pPr>
      <w:r w:rsidRPr="00252986">
        <w:rPr>
          <w:rFonts w:ascii="Arial" w:hAnsi="Arial" w:cs="Arial"/>
          <w:sz w:val="20"/>
          <w:szCs w:val="20"/>
        </w:rPr>
        <w:t>Em relação às exportações do agronegócio por blocos econômicos e regiões geográficas, a Ásia permanece como o principal destino dos produtos brasileiros. As vendas para o continente asiático atingiram a marca de US$ 39,29 bilhões, o que representou retração de 2,1% em comparação aos valores registrados nos doze meses imediatamente anteriores (US$ 40,14 bilhões). Com tal desempenho, a participação da região nas exportações do agronegócio diminuiu 0,9 ponto percentual, totalizando 44,4%.</w:t>
      </w:r>
    </w:p>
    <w:p w:rsidR="003A7FAC" w:rsidRPr="00252986" w:rsidRDefault="003A7FAC" w:rsidP="003A7FAC">
      <w:pPr>
        <w:pStyle w:val="Recuodecorpodetexto"/>
        <w:ind w:firstLine="0"/>
        <w:rPr>
          <w:rFonts w:ascii="Arial" w:hAnsi="Arial" w:cs="Arial"/>
          <w:sz w:val="20"/>
          <w:szCs w:val="20"/>
        </w:rPr>
      </w:pPr>
    </w:p>
    <w:p w:rsidR="003A7FAC" w:rsidRPr="00252986" w:rsidRDefault="003A7FAC" w:rsidP="003A7FAC">
      <w:pPr>
        <w:pStyle w:val="Recuodecorpodetexto"/>
        <w:ind w:firstLine="0"/>
        <w:rPr>
          <w:rFonts w:ascii="Arial" w:hAnsi="Arial" w:cs="Arial"/>
          <w:sz w:val="20"/>
          <w:szCs w:val="20"/>
        </w:rPr>
      </w:pPr>
      <w:r w:rsidRPr="00252986">
        <w:rPr>
          <w:rFonts w:ascii="Arial" w:hAnsi="Arial" w:cs="Arial"/>
          <w:sz w:val="20"/>
          <w:szCs w:val="20"/>
        </w:rPr>
        <w:t xml:space="preserve">O segundo principal bloco de destino das exportações do agronegócio brasileiro entre agosto de 2016 e julho de 2017, a União Europeia apresentou retração de 8,0% nas suas aquisições de mercadorias brasileiras, alcançando a cifra de US$ 16,05 bilhões, ante um total de US$ 17,44 bilhões nos dozes meses anteriores. Com essa diminuição em valor, a participação da </w:t>
      </w:r>
      <w:r w:rsidR="00AC2D42">
        <w:rPr>
          <w:rFonts w:ascii="Arial" w:hAnsi="Arial" w:cs="Arial"/>
          <w:sz w:val="20"/>
          <w:szCs w:val="20"/>
        </w:rPr>
        <w:t>UE</w:t>
      </w:r>
      <w:r w:rsidRPr="00252986">
        <w:rPr>
          <w:rFonts w:ascii="Arial" w:hAnsi="Arial" w:cs="Arial"/>
          <w:sz w:val="20"/>
          <w:szCs w:val="20"/>
        </w:rPr>
        <w:t>-28 nas exportações do agronegócio brasileiro decresceu, passando de 19,7% para 18,1%. Nas colocações seguintes, se destacaram o Oriente Médio, com aquisições totais de US$ 8,67 bilhões (+16,0%), e o NAFTA, com US$ 7,92 bilhões (+4,2%). Outras regiões e blocos que se destacaram em relação ao dinamismo das exportações no período foram: Demais da América (+133,3%); África (+</w:t>
      </w:r>
      <w:r w:rsidR="00AC2D42">
        <w:rPr>
          <w:rFonts w:ascii="Arial" w:hAnsi="Arial" w:cs="Arial"/>
          <w:sz w:val="20"/>
          <w:szCs w:val="20"/>
        </w:rPr>
        <w:t>12,3</w:t>
      </w:r>
      <w:r w:rsidRPr="00252986">
        <w:rPr>
          <w:rFonts w:ascii="Arial" w:hAnsi="Arial" w:cs="Arial"/>
          <w:sz w:val="20"/>
          <w:szCs w:val="20"/>
        </w:rPr>
        <w:t>%); e Europa Oriental (+11,8%).</w:t>
      </w:r>
    </w:p>
    <w:p w:rsidR="003A7FAC" w:rsidRDefault="003A7FAC" w:rsidP="00A16A28"/>
    <w:p w:rsidR="001D51EE" w:rsidRDefault="001D51EE" w:rsidP="002F2AA2">
      <w:pPr>
        <w:pStyle w:val="Recuodecorpodetexto"/>
        <w:ind w:firstLine="0"/>
        <w:rPr>
          <w:rFonts w:ascii="Arial" w:hAnsi="Arial" w:cs="Arial"/>
          <w:sz w:val="20"/>
          <w:szCs w:val="20"/>
        </w:rPr>
      </w:pPr>
    </w:p>
    <w:p w:rsidR="001E649C" w:rsidRPr="006029F1" w:rsidRDefault="00850D44" w:rsidP="002F2AA2">
      <w:pPr>
        <w:pStyle w:val="Recuodecorpodetexto"/>
        <w:ind w:firstLine="0"/>
      </w:pPr>
      <w:r w:rsidRPr="00850D44">
        <w:rPr>
          <w:noProof/>
        </w:rPr>
        <w:drawing>
          <wp:inline distT="0" distB="0" distL="0" distR="0" wp14:anchorId="0DD86BB3" wp14:editId="604B4FE2">
            <wp:extent cx="6480175" cy="2348230"/>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80175" cy="2348230"/>
                    </a:xfrm>
                    <a:prstGeom prst="rect">
                      <a:avLst/>
                    </a:prstGeom>
                  </pic:spPr>
                </pic:pic>
              </a:graphicData>
            </a:graphic>
          </wp:inline>
        </w:drawing>
      </w:r>
    </w:p>
    <w:p w:rsidR="001D51EE" w:rsidRDefault="001D51EE" w:rsidP="001D51EE">
      <w:pPr>
        <w:pStyle w:val="Ttulo5"/>
        <w:autoSpaceDE/>
        <w:autoSpaceDN/>
        <w:adjustRightInd/>
        <w:rPr>
          <w:rFonts w:ascii="Arial" w:hAnsi="Arial" w:cs="Arial"/>
          <w:sz w:val="20"/>
          <w:szCs w:val="20"/>
        </w:rPr>
      </w:pPr>
    </w:p>
    <w:p w:rsidR="003A7FAC" w:rsidRDefault="003A7FAC" w:rsidP="001D51EE">
      <w:pPr>
        <w:pStyle w:val="Ttulo5"/>
        <w:autoSpaceDE/>
        <w:autoSpaceDN/>
        <w:adjustRightInd/>
        <w:rPr>
          <w:rFonts w:ascii="Arial" w:hAnsi="Arial" w:cs="Arial"/>
          <w:sz w:val="20"/>
          <w:szCs w:val="20"/>
        </w:rPr>
      </w:pPr>
    </w:p>
    <w:p w:rsidR="001D51EE" w:rsidRDefault="001D51EE" w:rsidP="001D51EE">
      <w:pPr>
        <w:pStyle w:val="Ttulo5"/>
        <w:autoSpaceDE/>
        <w:autoSpaceDN/>
        <w:adjustRightInd/>
        <w:rPr>
          <w:rFonts w:ascii="Arial" w:hAnsi="Arial" w:cs="Arial"/>
          <w:sz w:val="20"/>
          <w:szCs w:val="20"/>
        </w:rPr>
      </w:pPr>
      <w:proofErr w:type="spellStart"/>
      <w:r>
        <w:rPr>
          <w:rFonts w:ascii="Arial" w:hAnsi="Arial" w:cs="Arial"/>
          <w:sz w:val="20"/>
          <w:szCs w:val="20"/>
        </w:rPr>
        <w:t>I</w:t>
      </w:r>
      <w:r w:rsidR="00917C96">
        <w:rPr>
          <w:rFonts w:ascii="Arial" w:hAnsi="Arial" w:cs="Arial"/>
          <w:sz w:val="20"/>
          <w:szCs w:val="20"/>
        </w:rPr>
        <w:t>I</w:t>
      </w:r>
      <w:r w:rsidRPr="001D51EE">
        <w:rPr>
          <w:rFonts w:ascii="Arial" w:hAnsi="Arial" w:cs="Arial"/>
          <w:sz w:val="20"/>
          <w:szCs w:val="20"/>
        </w:rPr>
        <w:t>I.</w:t>
      </w:r>
      <w:r>
        <w:rPr>
          <w:rFonts w:ascii="Arial" w:hAnsi="Arial" w:cs="Arial"/>
          <w:sz w:val="20"/>
          <w:szCs w:val="20"/>
        </w:rPr>
        <w:t>c</w:t>
      </w:r>
      <w:proofErr w:type="spellEnd"/>
      <w:r>
        <w:rPr>
          <w:rFonts w:ascii="Arial" w:hAnsi="Arial" w:cs="Arial"/>
          <w:sz w:val="20"/>
          <w:szCs w:val="20"/>
        </w:rPr>
        <w:t xml:space="preserve"> – Países</w:t>
      </w:r>
    </w:p>
    <w:p w:rsidR="00696EFB" w:rsidRDefault="00696EFB" w:rsidP="00696EFB"/>
    <w:p w:rsidR="003A7FAC" w:rsidRPr="00252986" w:rsidRDefault="003A7FAC" w:rsidP="003A7FAC">
      <w:pPr>
        <w:pStyle w:val="Recuodecorpodetexto"/>
        <w:ind w:firstLine="0"/>
        <w:rPr>
          <w:rFonts w:ascii="Arial" w:hAnsi="Arial" w:cs="Arial"/>
          <w:sz w:val="20"/>
          <w:szCs w:val="20"/>
        </w:rPr>
      </w:pPr>
      <w:r w:rsidRPr="00252986">
        <w:rPr>
          <w:rFonts w:ascii="Arial" w:hAnsi="Arial" w:cs="Arial"/>
          <w:sz w:val="20"/>
          <w:szCs w:val="20"/>
        </w:rPr>
        <w:t xml:space="preserve">No que se refere aos países, a China permanece como o principal destino das exportações do agronegócio brasileiro, com a cifra de US$ 23,17 bilhões. Em relação ao período anterior, verificou-se expansão de 3,0% no valor exportado e crescimento da participação chinesa de 0,8 ponto percentual, chegando a 26,2% de </w:t>
      </w:r>
      <w:r w:rsidRPr="00AC2D42">
        <w:rPr>
          <w:rFonts w:ascii="Arial" w:hAnsi="Arial" w:cs="Arial"/>
          <w:i/>
          <w:sz w:val="20"/>
          <w:szCs w:val="20"/>
        </w:rPr>
        <w:t>market share</w:t>
      </w:r>
      <w:r w:rsidRPr="00252986">
        <w:rPr>
          <w:rFonts w:ascii="Arial" w:hAnsi="Arial" w:cs="Arial"/>
          <w:sz w:val="20"/>
          <w:szCs w:val="20"/>
        </w:rPr>
        <w:t xml:space="preserve">. </w:t>
      </w:r>
    </w:p>
    <w:p w:rsidR="003A7FAC" w:rsidRPr="00252986" w:rsidRDefault="003A7FAC" w:rsidP="003A7FAC">
      <w:pPr>
        <w:pStyle w:val="Recuodecorpodetexto"/>
        <w:ind w:firstLine="0"/>
        <w:rPr>
          <w:rFonts w:ascii="Arial" w:hAnsi="Arial" w:cs="Arial"/>
          <w:sz w:val="20"/>
          <w:szCs w:val="20"/>
        </w:rPr>
      </w:pPr>
    </w:p>
    <w:p w:rsidR="003A7FAC" w:rsidRPr="00252986" w:rsidRDefault="003A7FAC" w:rsidP="003A7FAC">
      <w:pPr>
        <w:pStyle w:val="Recuodecorpodetexto"/>
        <w:ind w:firstLine="0"/>
        <w:rPr>
          <w:rFonts w:ascii="Arial" w:hAnsi="Arial" w:cs="Arial"/>
          <w:sz w:val="20"/>
          <w:szCs w:val="20"/>
        </w:rPr>
      </w:pPr>
      <w:r w:rsidRPr="00252986">
        <w:rPr>
          <w:rFonts w:ascii="Arial" w:hAnsi="Arial" w:cs="Arial"/>
          <w:sz w:val="20"/>
          <w:szCs w:val="20"/>
        </w:rPr>
        <w:t xml:space="preserve">As exportações para os Estados Unidos, segundo principal destino no acumulado dos últimos doze meses, passaram de US$ 6,24 bilhões para US$ 6,45 bilhões (+3,2%). Com essa expansão, a participação norte americana nas exportações brasileiras passou de 7,0% para 7,3%. </w:t>
      </w:r>
    </w:p>
    <w:p w:rsidR="003A7FAC" w:rsidRPr="00252986" w:rsidRDefault="003A7FAC" w:rsidP="003A7FAC">
      <w:pPr>
        <w:pStyle w:val="Recuodecorpodetexto"/>
        <w:ind w:firstLine="0"/>
        <w:rPr>
          <w:rFonts w:ascii="Arial" w:hAnsi="Arial" w:cs="Arial"/>
          <w:sz w:val="20"/>
          <w:szCs w:val="20"/>
        </w:rPr>
      </w:pPr>
    </w:p>
    <w:p w:rsidR="003A7FAC" w:rsidRPr="00252986" w:rsidRDefault="003A7FAC" w:rsidP="003A7FAC">
      <w:pPr>
        <w:pStyle w:val="Recuodecorpodetexto"/>
        <w:ind w:firstLine="0"/>
        <w:rPr>
          <w:rFonts w:ascii="Arial" w:hAnsi="Arial" w:cs="Arial"/>
          <w:sz w:val="20"/>
          <w:szCs w:val="20"/>
        </w:rPr>
      </w:pPr>
      <w:r w:rsidRPr="00252986">
        <w:rPr>
          <w:rFonts w:ascii="Arial" w:hAnsi="Arial" w:cs="Arial"/>
          <w:sz w:val="20"/>
          <w:szCs w:val="20"/>
        </w:rPr>
        <w:t>O terceiro principal destino das exportações agropecuárias brasileiras foram os Países Baixos, com US$ 4,29 bilhões, o que representou queda de 11,4% em comparação aos US$ 4,84 bilhões registrados entre agosto de 2015 e julho de 2016. Com isso, a participação desse parceiro comercial caiu de 5,5% para 4,8%.</w:t>
      </w:r>
    </w:p>
    <w:p w:rsidR="003A7FAC" w:rsidRPr="00252986" w:rsidRDefault="003A7FAC" w:rsidP="003A7FAC">
      <w:pPr>
        <w:pStyle w:val="Recuodecorpodetexto"/>
        <w:ind w:firstLine="0"/>
        <w:rPr>
          <w:rFonts w:ascii="Arial" w:hAnsi="Arial" w:cs="Arial"/>
          <w:sz w:val="20"/>
          <w:szCs w:val="20"/>
        </w:rPr>
      </w:pPr>
    </w:p>
    <w:p w:rsidR="003A7FAC" w:rsidRPr="003A7FAC" w:rsidRDefault="003A7FAC" w:rsidP="003A7FAC">
      <w:pPr>
        <w:pStyle w:val="Recuodecorpodetexto"/>
        <w:ind w:firstLine="0"/>
        <w:rPr>
          <w:rFonts w:ascii="Arial" w:hAnsi="Arial" w:cs="Arial"/>
          <w:sz w:val="20"/>
          <w:szCs w:val="20"/>
        </w:rPr>
      </w:pPr>
      <w:r w:rsidRPr="00252986">
        <w:rPr>
          <w:rFonts w:ascii="Arial" w:hAnsi="Arial" w:cs="Arial"/>
          <w:sz w:val="20"/>
          <w:szCs w:val="20"/>
        </w:rPr>
        <w:t>No rol dos cinquenta maiores destinos das exportações do agronegócio brasileiro nos últimos doze meses, os principais destaques em relação ao dinamismo das aquisições foram: Iraque (US$ 587,36 milhões e +58,0%); Angola (US$ 528,62 milhões e +49,6%); Irã (US$ 2,56 bilhões e +38,4%); Bangladesh (US$ 1,30 bilhão e +36,8%); África do Sul (US$ 577,35 milhões e +28,4%); Índia (US$ 1,74 bilhão e +27,9%); e Emirados Árabes Unidos (US$ 1,57 bilhão e +26,6%).</w:t>
      </w:r>
    </w:p>
    <w:p w:rsidR="003A7FAC" w:rsidRDefault="003A7FAC" w:rsidP="00696EFB"/>
    <w:p w:rsidR="003A7FAC" w:rsidRDefault="003A7FAC" w:rsidP="00696EFB"/>
    <w:p w:rsidR="001E649C" w:rsidRDefault="00914CE9" w:rsidP="001E649C">
      <w:r w:rsidRPr="00914CE9">
        <w:rPr>
          <w:noProof/>
        </w:rPr>
        <w:drawing>
          <wp:inline distT="0" distB="0" distL="0" distR="0" wp14:anchorId="12F6CC24" wp14:editId="286E012E">
            <wp:extent cx="6480175" cy="3879215"/>
            <wp:effectExtent l="0" t="0" r="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80175" cy="3879215"/>
                    </a:xfrm>
                    <a:prstGeom prst="rect">
                      <a:avLst/>
                    </a:prstGeom>
                  </pic:spPr>
                </pic:pic>
              </a:graphicData>
            </a:graphic>
          </wp:inline>
        </w:drawing>
      </w:r>
    </w:p>
    <w:p w:rsidR="004215B4" w:rsidRDefault="004215B4" w:rsidP="007D7D4C">
      <w:pPr>
        <w:pStyle w:val="Recuodecorpodetexto"/>
        <w:ind w:firstLine="0"/>
        <w:rPr>
          <w:rFonts w:ascii="Arial" w:hAnsi="Arial" w:cs="Arial"/>
          <w:sz w:val="20"/>
          <w:szCs w:val="20"/>
        </w:rPr>
      </w:pPr>
    </w:p>
    <w:p w:rsidR="004215B4" w:rsidRDefault="004215B4">
      <w:pPr>
        <w:autoSpaceDE w:val="0"/>
        <w:autoSpaceDN w:val="0"/>
        <w:adjustRightInd w:val="0"/>
        <w:rPr>
          <w:rFonts w:ascii="Arial" w:hAnsi="Arial" w:cs="Arial"/>
          <w:sz w:val="20"/>
          <w:szCs w:val="20"/>
        </w:rPr>
      </w:pPr>
    </w:p>
    <w:p w:rsidR="007D7D4C" w:rsidRDefault="007D7D4C">
      <w:pPr>
        <w:autoSpaceDE w:val="0"/>
        <w:autoSpaceDN w:val="0"/>
        <w:adjustRightInd w:val="0"/>
        <w:rPr>
          <w:rFonts w:ascii="Arial" w:hAnsi="Arial" w:cs="Arial"/>
          <w:sz w:val="20"/>
          <w:szCs w:val="20"/>
        </w:rPr>
      </w:pPr>
    </w:p>
    <w:p w:rsidR="007D7D4C" w:rsidRDefault="007D7D4C">
      <w:pPr>
        <w:autoSpaceDE w:val="0"/>
        <w:autoSpaceDN w:val="0"/>
        <w:adjustRightInd w:val="0"/>
        <w:rPr>
          <w:rFonts w:ascii="Arial" w:hAnsi="Arial" w:cs="Arial"/>
          <w:sz w:val="20"/>
          <w:szCs w:val="20"/>
        </w:rPr>
      </w:pPr>
    </w:p>
    <w:p w:rsidR="007D7D4C" w:rsidRDefault="007D7D4C">
      <w:pPr>
        <w:autoSpaceDE w:val="0"/>
        <w:autoSpaceDN w:val="0"/>
        <w:adjustRightInd w:val="0"/>
        <w:rPr>
          <w:rFonts w:ascii="Arial" w:hAnsi="Arial" w:cs="Arial"/>
          <w:sz w:val="20"/>
          <w:szCs w:val="20"/>
        </w:rPr>
      </w:pPr>
    </w:p>
    <w:p w:rsidR="007D7D4C" w:rsidRDefault="007D7D4C">
      <w:pPr>
        <w:autoSpaceDE w:val="0"/>
        <w:autoSpaceDN w:val="0"/>
        <w:adjustRightInd w:val="0"/>
        <w:rPr>
          <w:rFonts w:ascii="Arial" w:hAnsi="Arial" w:cs="Arial"/>
          <w:sz w:val="20"/>
          <w:szCs w:val="20"/>
        </w:rPr>
      </w:pPr>
    </w:p>
    <w:p w:rsidR="007D7D4C" w:rsidRDefault="007D7D4C">
      <w:pPr>
        <w:autoSpaceDE w:val="0"/>
        <w:autoSpaceDN w:val="0"/>
        <w:adjustRightInd w:val="0"/>
        <w:rPr>
          <w:rFonts w:ascii="Arial" w:hAnsi="Arial" w:cs="Arial"/>
          <w:sz w:val="20"/>
          <w:szCs w:val="20"/>
        </w:rPr>
      </w:pPr>
    </w:p>
    <w:p w:rsidR="007D7D4C" w:rsidRDefault="007D7D4C">
      <w:pPr>
        <w:autoSpaceDE w:val="0"/>
        <w:autoSpaceDN w:val="0"/>
        <w:adjustRightInd w:val="0"/>
        <w:rPr>
          <w:rFonts w:ascii="Arial" w:hAnsi="Arial" w:cs="Arial"/>
          <w:sz w:val="20"/>
          <w:szCs w:val="20"/>
        </w:rPr>
      </w:pPr>
    </w:p>
    <w:p w:rsidR="007D7D4C" w:rsidRDefault="007D7D4C">
      <w:pPr>
        <w:autoSpaceDE w:val="0"/>
        <w:autoSpaceDN w:val="0"/>
        <w:adjustRightInd w:val="0"/>
        <w:rPr>
          <w:rFonts w:ascii="Arial" w:hAnsi="Arial" w:cs="Arial"/>
          <w:sz w:val="20"/>
          <w:szCs w:val="20"/>
        </w:rPr>
      </w:pPr>
    </w:p>
    <w:p w:rsidR="007D7D4C" w:rsidRDefault="007D7D4C">
      <w:pPr>
        <w:autoSpaceDE w:val="0"/>
        <w:autoSpaceDN w:val="0"/>
        <w:adjustRightInd w:val="0"/>
        <w:rPr>
          <w:rFonts w:ascii="Arial" w:hAnsi="Arial" w:cs="Arial"/>
          <w:sz w:val="20"/>
          <w:szCs w:val="20"/>
        </w:rPr>
      </w:pPr>
    </w:p>
    <w:p w:rsidR="007D7D4C" w:rsidRDefault="007D7D4C">
      <w:pPr>
        <w:autoSpaceDE w:val="0"/>
        <w:autoSpaceDN w:val="0"/>
        <w:adjustRightInd w:val="0"/>
        <w:rPr>
          <w:rFonts w:ascii="Arial" w:hAnsi="Arial" w:cs="Arial"/>
          <w:sz w:val="20"/>
          <w:szCs w:val="20"/>
        </w:rPr>
      </w:pPr>
    </w:p>
    <w:p w:rsidR="007D7D4C" w:rsidRDefault="007D7D4C">
      <w:pPr>
        <w:autoSpaceDE w:val="0"/>
        <w:autoSpaceDN w:val="0"/>
        <w:adjustRightInd w:val="0"/>
        <w:rPr>
          <w:rFonts w:ascii="Arial" w:hAnsi="Arial" w:cs="Arial"/>
          <w:sz w:val="20"/>
          <w:szCs w:val="20"/>
        </w:rPr>
      </w:pPr>
    </w:p>
    <w:p w:rsidR="007D7D4C" w:rsidRDefault="007D7D4C">
      <w:pPr>
        <w:autoSpaceDE w:val="0"/>
        <w:autoSpaceDN w:val="0"/>
        <w:adjustRightInd w:val="0"/>
        <w:rPr>
          <w:rFonts w:ascii="Arial" w:hAnsi="Arial" w:cs="Arial"/>
          <w:sz w:val="20"/>
          <w:szCs w:val="20"/>
        </w:rPr>
      </w:pPr>
    </w:p>
    <w:p w:rsidR="007D7D4C" w:rsidRDefault="007D7D4C">
      <w:pPr>
        <w:autoSpaceDE w:val="0"/>
        <w:autoSpaceDN w:val="0"/>
        <w:adjustRightInd w:val="0"/>
        <w:rPr>
          <w:rFonts w:ascii="Arial" w:hAnsi="Arial" w:cs="Arial"/>
          <w:sz w:val="20"/>
          <w:szCs w:val="20"/>
        </w:rPr>
      </w:pPr>
    </w:p>
    <w:p w:rsidR="00C87B02" w:rsidRPr="003C54E1" w:rsidRDefault="00C87B02">
      <w:pPr>
        <w:pStyle w:val="Ttulo4"/>
        <w:pBdr>
          <w:top w:val="single" w:sz="4" w:space="1" w:color="auto"/>
          <w:left w:val="single" w:sz="4" w:space="4" w:color="auto"/>
          <w:bottom w:val="single" w:sz="4" w:space="1" w:color="auto"/>
          <w:right w:val="single" w:sz="4" w:space="4" w:color="auto"/>
        </w:pBdr>
        <w:spacing w:after="80"/>
        <w:ind w:firstLine="0"/>
        <w:rPr>
          <w:i w:val="0"/>
          <w:sz w:val="20"/>
          <w:szCs w:val="20"/>
          <w:lang w:val="pt-BR"/>
        </w:rPr>
      </w:pPr>
      <w:r w:rsidRPr="003C54E1">
        <w:rPr>
          <w:i w:val="0"/>
          <w:sz w:val="20"/>
          <w:szCs w:val="20"/>
          <w:lang w:val="pt-BR"/>
        </w:rPr>
        <w:t>NOTA METODOLÓGICA</w:t>
      </w:r>
    </w:p>
    <w:p w:rsidR="00C87B02" w:rsidRDefault="00C87B02" w:rsidP="00E316DA">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Arial" w:hAnsi="Arial" w:cs="Arial"/>
          <w:sz w:val="20"/>
          <w:szCs w:val="20"/>
        </w:rPr>
      </w:pPr>
      <w:r w:rsidRPr="003C54E1">
        <w:rPr>
          <w:rFonts w:ascii="Arial" w:hAnsi="Arial" w:cs="Arial"/>
          <w:sz w:val="20"/>
          <w:szCs w:val="20"/>
        </w:rPr>
        <w:t>A classificação de produtos do agronegócio utilizada nesta nota foi atualizada de acordo com a Resolução CAMEX Nº 94, de 8/12/</w:t>
      </w:r>
      <w:r>
        <w:rPr>
          <w:rFonts w:ascii="Arial" w:hAnsi="Arial" w:cs="Arial"/>
          <w:sz w:val="20"/>
          <w:szCs w:val="20"/>
        </w:rPr>
        <w:t>2012</w:t>
      </w:r>
      <w:r w:rsidRPr="003C54E1">
        <w:rPr>
          <w:rFonts w:ascii="Arial" w:hAnsi="Arial" w:cs="Arial"/>
          <w:sz w:val="20"/>
          <w:szCs w:val="20"/>
        </w:rPr>
        <w:t>, que alterou a Nomenc</w:t>
      </w:r>
      <w:r>
        <w:rPr>
          <w:rFonts w:ascii="Arial" w:hAnsi="Arial" w:cs="Arial"/>
          <w:sz w:val="20"/>
          <w:szCs w:val="20"/>
        </w:rPr>
        <w:t>latura Comum do MERCOSUL – NCM para adaptá-la em relação às modificações do Sistema Harmonizado de Designação e de Codificação de Mercadorias (SH-2012), que estabelece um método internacional para a classificação de mercadorias.</w:t>
      </w:r>
    </w:p>
    <w:p w:rsidR="00C87B02" w:rsidRPr="003C54E1" w:rsidRDefault="00C87B02" w:rsidP="00E316DA">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Arial" w:hAnsi="Arial" w:cs="Arial"/>
          <w:sz w:val="20"/>
          <w:szCs w:val="20"/>
        </w:rPr>
      </w:pPr>
    </w:p>
    <w:p w:rsidR="00C87B02" w:rsidRPr="003C54E1" w:rsidRDefault="00C87B02" w:rsidP="00E316DA">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Arial" w:hAnsi="Arial" w:cs="Arial"/>
          <w:sz w:val="20"/>
          <w:szCs w:val="20"/>
        </w:rPr>
      </w:pPr>
      <w:r w:rsidRPr="003C54E1">
        <w:rPr>
          <w:rFonts w:ascii="Arial" w:hAnsi="Arial" w:cs="Arial"/>
          <w:sz w:val="20"/>
          <w:szCs w:val="20"/>
        </w:rPr>
        <w:t xml:space="preserve">A Balança Comercial do Agronegócio utiliza uma classificação dos produtos do agronegócio que reúne 2.867 </w:t>
      </w:r>
      <w:proofErr w:type="spellStart"/>
      <w:r w:rsidRPr="003C54E1">
        <w:rPr>
          <w:rFonts w:ascii="Arial" w:hAnsi="Arial" w:cs="Arial"/>
          <w:sz w:val="20"/>
          <w:szCs w:val="20"/>
        </w:rPr>
        <w:t>NCM’s</w:t>
      </w:r>
      <w:proofErr w:type="spellEnd"/>
      <w:r w:rsidRPr="003C54E1">
        <w:rPr>
          <w:rFonts w:ascii="Arial" w:hAnsi="Arial" w:cs="Arial"/>
          <w:sz w:val="20"/>
          <w:szCs w:val="20"/>
        </w:rPr>
        <w:t xml:space="preserve"> em 25 setores. Essa é a mesma classificação utilizada no AGROSTAT BRASIL - base de dados </w:t>
      </w:r>
      <w:proofErr w:type="spellStart"/>
      <w:r w:rsidRPr="003B0D74">
        <w:rPr>
          <w:rFonts w:ascii="Arial" w:hAnsi="Arial" w:cs="Arial"/>
          <w:i/>
          <w:sz w:val="20"/>
          <w:szCs w:val="20"/>
        </w:rPr>
        <w:t>on</w:t>
      </w:r>
      <w:proofErr w:type="spellEnd"/>
      <w:r w:rsidRPr="003B0D74">
        <w:rPr>
          <w:rFonts w:ascii="Arial" w:hAnsi="Arial" w:cs="Arial"/>
          <w:i/>
          <w:sz w:val="20"/>
          <w:szCs w:val="20"/>
        </w:rPr>
        <w:t xml:space="preserve"> </w:t>
      </w:r>
      <w:proofErr w:type="spellStart"/>
      <w:r w:rsidRPr="003B0D74">
        <w:rPr>
          <w:rFonts w:ascii="Arial" w:hAnsi="Arial" w:cs="Arial"/>
          <w:i/>
          <w:sz w:val="20"/>
          <w:szCs w:val="20"/>
        </w:rPr>
        <w:t>line</w:t>
      </w:r>
      <w:proofErr w:type="spellEnd"/>
      <w:r w:rsidRPr="003C54E1">
        <w:rPr>
          <w:rFonts w:ascii="Arial" w:hAnsi="Arial" w:cs="Arial"/>
          <w:sz w:val="20"/>
          <w:szCs w:val="20"/>
        </w:rPr>
        <w:t xml:space="preserve"> que oferece uma visão detalhada e atualizada das exportações e importações brasileiras do agronegócio. Mais informações da metodologia e classificação podem ser consultadas no site</w:t>
      </w:r>
      <w:r>
        <w:rPr>
          <w:rFonts w:ascii="Arial" w:hAnsi="Arial" w:cs="Arial"/>
          <w:sz w:val="20"/>
          <w:szCs w:val="20"/>
        </w:rPr>
        <w:t>:</w:t>
      </w:r>
      <w:r w:rsidRPr="003C54E1">
        <w:rPr>
          <w:rFonts w:ascii="Arial" w:hAnsi="Arial" w:cs="Arial"/>
          <w:sz w:val="20"/>
          <w:szCs w:val="20"/>
        </w:rPr>
        <w:t xml:space="preserve"> </w:t>
      </w:r>
      <w:hyperlink r:id="rId17" w:history="1">
        <w:r w:rsidRPr="003C54E1">
          <w:rPr>
            <w:rStyle w:val="Hyperlink"/>
            <w:rFonts w:ascii="Arial" w:hAnsi="Arial" w:cs="Arial"/>
            <w:sz w:val="20"/>
            <w:szCs w:val="20"/>
          </w:rPr>
          <w:t>agrostat.agricultura.gov.br</w:t>
        </w:r>
      </w:hyperlink>
      <w:r>
        <w:rPr>
          <w:rFonts w:ascii="Arial" w:hAnsi="Arial" w:cs="Arial"/>
          <w:sz w:val="20"/>
          <w:szCs w:val="20"/>
        </w:rPr>
        <w:t xml:space="preserve"> </w:t>
      </w:r>
    </w:p>
    <w:p w:rsidR="00C87B02" w:rsidRPr="003C54E1" w:rsidRDefault="00C87B02">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Arial" w:hAnsi="Arial" w:cs="Arial"/>
          <w:sz w:val="20"/>
          <w:szCs w:val="20"/>
        </w:rPr>
      </w:pPr>
    </w:p>
    <w:p w:rsidR="00C87B02" w:rsidRDefault="00C87B02">
      <w:pPr>
        <w:pStyle w:val="Ttulo2"/>
        <w:jc w:val="right"/>
        <w:rPr>
          <w:rFonts w:ascii="Arial" w:hAnsi="Arial" w:cs="Arial"/>
          <w:b/>
          <w:sz w:val="20"/>
        </w:rPr>
      </w:pPr>
    </w:p>
    <w:p w:rsidR="00C87B02" w:rsidRPr="003C54E1" w:rsidRDefault="00C87B02">
      <w:pPr>
        <w:pStyle w:val="Ttulo2"/>
        <w:jc w:val="right"/>
        <w:rPr>
          <w:rFonts w:ascii="Arial" w:hAnsi="Arial" w:cs="Arial"/>
          <w:b/>
          <w:sz w:val="20"/>
        </w:rPr>
      </w:pPr>
      <w:r>
        <w:rPr>
          <w:rFonts w:ascii="Arial" w:hAnsi="Arial" w:cs="Arial"/>
          <w:b/>
          <w:sz w:val="20"/>
        </w:rPr>
        <w:t>MAPA/SRI/DPI</w:t>
      </w:r>
    </w:p>
    <w:p w:rsidR="00C87B02" w:rsidRPr="003C54E1" w:rsidRDefault="00C87B02">
      <w:pPr>
        <w:pStyle w:val="Recuodecorpodetexto"/>
        <w:jc w:val="right"/>
        <w:rPr>
          <w:rFonts w:ascii="Arial" w:hAnsi="Arial" w:cs="Arial"/>
          <w:sz w:val="20"/>
          <w:szCs w:val="20"/>
        </w:rPr>
      </w:pPr>
      <w:r w:rsidRPr="003C54E1">
        <w:rPr>
          <w:rFonts w:ascii="Arial" w:hAnsi="Arial" w:cs="Arial"/>
          <w:sz w:val="20"/>
          <w:szCs w:val="20"/>
        </w:rPr>
        <w:t xml:space="preserve"> </w:t>
      </w:r>
      <w:r w:rsidR="003A7FAC">
        <w:rPr>
          <w:rFonts w:ascii="Arial" w:hAnsi="Arial" w:cs="Arial"/>
          <w:sz w:val="20"/>
          <w:szCs w:val="20"/>
        </w:rPr>
        <w:t>08/08</w:t>
      </w:r>
      <w:r w:rsidR="004215B4">
        <w:rPr>
          <w:rFonts w:ascii="Arial" w:hAnsi="Arial" w:cs="Arial"/>
          <w:sz w:val="20"/>
          <w:szCs w:val="20"/>
        </w:rPr>
        <w:t>/2017</w:t>
      </w:r>
    </w:p>
    <w:sectPr w:rsidR="00C87B02" w:rsidRPr="003C54E1" w:rsidSect="00C2569A">
      <w:footerReference w:type="even" r:id="rId18"/>
      <w:footerReference w:type="default" r:id="rId19"/>
      <w:pgSz w:w="11907" w:h="16840" w:code="9"/>
      <w:pgMar w:top="851" w:right="851" w:bottom="851" w:left="851" w:header="0" w:footer="0"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471" w:rsidRDefault="00DB6471">
      <w:r>
        <w:separator/>
      </w:r>
    </w:p>
  </w:endnote>
  <w:endnote w:type="continuationSeparator" w:id="0">
    <w:p w:rsidR="00DB6471" w:rsidRDefault="00DB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40" w:rsidRDefault="008F4F4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F4F40" w:rsidRDefault="008F4F4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40" w:rsidRPr="000754DD" w:rsidRDefault="008F4F40">
    <w:pPr>
      <w:pStyle w:val="Rodap"/>
      <w:framePr w:wrap="around" w:vAnchor="text" w:hAnchor="margin" w:xAlign="center" w:y="1"/>
      <w:rPr>
        <w:rStyle w:val="Nmerodepgina"/>
        <w:rFonts w:ascii="Arial" w:hAnsi="Arial" w:cs="Arial"/>
        <w:sz w:val="16"/>
        <w:szCs w:val="16"/>
      </w:rPr>
    </w:pPr>
    <w:r w:rsidRPr="000754DD">
      <w:rPr>
        <w:rStyle w:val="Nmerodepgina"/>
        <w:rFonts w:ascii="Arial" w:hAnsi="Arial" w:cs="Arial"/>
        <w:sz w:val="16"/>
        <w:szCs w:val="16"/>
      </w:rPr>
      <w:fldChar w:fldCharType="begin"/>
    </w:r>
    <w:r w:rsidRPr="000754DD">
      <w:rPr>
        <w:rStyle w:val="Nmerodepgina"/>
        <w:rFonts w:ascii="Arial" w:hAnsi="Arial" w:cs="Arial"/>
        <w:sz w:val="16"/>
        <w:szCs w:val="16"/>
      </w:rPr>
      <w:instrText xml:space="preserve">PAGE  </w:instrText>
    </w:r>
    <w:r w:rsidRPr="000754DD">
      <w:rPr>
        <w:rStyle w:val="Nmerodepgina"/>
        <w:rFonts w:ascii="Arial" w:hAnsi="Arial" w:cs="Arial"/>
        <w:sz w:val="16"/>
        <w:szCs w:val="16"/>
      </w:rPr>
      <w:fldChar w:fldCharType="separate"/>
    </w:r>
    <w:r w:rsidR="00284305">
      <w:rPr>
        <w:rStyle w:val="Nmerodepgina"/>
        <w:rFonts w:ascii="Arial" w:hAnsi="Arial" w:cs="Arial"/>
        <w:noProof/>
        <w:sz w:val="16"/>
        <w:szCs w:val="16"/>
      </w:rPr>
      <w:t>11</w:t>
    </w:r>
    <w:r w:rsidRPr="000754DD">
      <w:rPr>
        <w:rStyle w:val="Nmerodepgina"/>
        <w:rFonts w:ascii="Arial" w:hAnsi="Arial" w:cs="Arial"/>
        <w:sz w:val="16"/>
        <w:szCs w:val="16"/>
      </w:rPr>
      <w:fldChar w:fldCharType="end"/>
    </w:r>
  </w:p>
  <w:p w:rsidR="008F4F40" w:rsidRDefault="008F4F4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471" w:rsidRDefault="00DB6471">
      <w:r>
        <w:separator/>
      </w:r>
    </w:p>
  </w:footnote>
  <w:footnote w:type="continuationSeparator" w:id="0">
    <w:p w:rsidR="00DB6471" w:rsidRDefault="00DB6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4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A5"/>
    <w:rsid w:val="000014D2"/>
    <w:rsid w:val="0000209E"/>
    <w:rsid w:val="0000254E"/>
    <w:rsid w:val="000036C3"/>
    <w:rsid w:val="00004903"/>
    <w:rsid w:val="00004E86"/>
    <w:rsid w:val="00006103"/>
    <w:rsid w:val="00006262"/>
    <w:rsid w:val="00006ECB"/>
    <w:rsid w:val="00007083"/>
    <w:rsid w:val="00007D32"/>
    <w:rsid w:val="00010A70"/>
    <w:rsid w:val="00013C10"/>
    <w:rsid w:val="0001553F"/>
    <w:rsid w:val="000166CF"/>
    <w:rsid w:val="00017D67"/>
    <w:rsid w:val="00017F9E"/>
    <w:rsid w:val="000218C0"/>
    <w:rsid w:val="00024620"/>
    <w:rsid w:val="00024774"/>
    <w:rsid w:val="00025562"/>
    <w:rsid w:val="0002567E"/>
    <w:rsid w:val="0002592B"/>
    <w:rsid w:val="00026C30"/>
    <w:rsid w:val="00027B9D"/>
    <w:rsid w:val="00027CD6"/>
    <w:rsid w:val="00027FBF"/>
    <w:rsid w:val="000301F8"/>
    <w:rsid w:val="00030275"/>
    <w:rsid w:val="00031A57"/>
    <w:rsid w:val="0003291F"/>
    <w:rsid w:val="000329DF"/>
    <w:rsid w:val="000348EF"/>
    <w:rsid w:val="00034D11"/>
    <w:rsid w:val="000354EE"/>
    <w:rsid w:val="00035920"/>
    <w:rsid w:val="00035927"/>
    <w:rsid w:val="000400E7"/>
    <w:rsid w:val="00040AAD"/>
    <w:rsid w:val="00040CEE"/>
    <w:rsid w:val="0004141A"/>
    <w:rsid w:val="0004188A"/>
    <w:rsid w:val="00041926"/>
    <w:rsid w:val="00041C47"/>
    <w:rsid w:val="000421AD"/>
    <w:rsid w:val="00042DA0"/>
    <w:rsid w:val="00043C91"/>
    <w:rsid w:val="00045520"/>
    <w:rsid w:val="00045689"/>
    <w:rsid w:val="000456E0"/>
    <w:rsid w:val="00047101"/>
    <w:rsid w:val="00047F65"/>
    <w:rsid w:val="00053736"/>
    <w:rsid w:val="000542D8"/>
    <w:rsid w:val="00057E53"/>
    <w:rsid w:val="00060DB6"/>
    <w:rsid w:val="00060E48"/>
    <w:rsid w:val="00063D9B"/>
    <w:rsid w:val="00063DE6"/>
    <w:rsid w:val="00066372"/>
    <w:rsid w:val="00066406"/>
    <w:rsid w:val="000666A5"/>
    <w:rsid w:val="000676F5"/>
    <w:rsid w:val="00067C72"/>
    <w:rsid w:val="000708D1"/>
    <w:rsid w:val="00070FDC"/>
    <w:rsid w:val="0007199F"/>
    <w:rsid w:val="000728BD"/>
    <w:rsid w:val="00072A5A"/>
    <w:rsid w:val="00072BF1"/>
    <w:rsid w:val="00073B00"/>
    <w:rsid w:val="0007448A"/>
    <w:rsid w:val="00074CFD"/>
    <w:rsid w:val="00074FEC"/>
    <w:rsid w:val="000754DD"/>
    <w:rsid w:val="00076763"/>
    <w:rsid w:val="000777E6"/>
    <w:rsid w:val="000827AB"/>
    <w:rsid w:val="000838F3"/>
    <w:rsid w:val="0008675A"/>
    <w:rsid w:val="00086BE6"/>
    <w:rsid w:val="00087349"/>
    <w:rsid w:val="00091B89"/>
    <w:rsid w:val="000930DA"/>
    <w:rsid w:val="00093FC9"/>
    <w:rsid w:val="0009438C"/>
    <w:rsid w:val="00094CD8"/>
    <w:rsid w:val="00094EAB"/>
    <w:rsid w:val="000950D3"/>
    <w:rsid w:val="00096E13"/>
    <w:rsid w:val="000976B6"/>
    <w:rsid w:val="000978BB"/>
    <w:rsid w:val="00097AEB"/>
    <w:rsid w:val="000A0879"/>
    <w:rsid w:val="000A0E3C"/>
    <w:rsid w:val="000A14AC"/>
    <w:rsid w:val="000A16C5"/>
    <w:rsid w:val="000A2AD5"/>
    <w:rsid w:val="000A3C7F"/>
    <w:rsid w:val="000A412F"/>
    <w:rsid w:val="000A58CA"/>
    <w:rsid w:val="000A6462"/>
    <w:rsid w:val="000A6B29"/>
    <w:rsid w:val="000B1245"/>
    <w:rsid w:val="000B2CCF"/>
    <w:rsid w:val="000B4CB7"/>
    <w:rsid w:val="000B617B"/>
    <w:rsid w:val="000B6F56"/>
    <w:rsid w:val="000B778B"/>
    <w:rsid w:val="000C0B2D"/>
    <w:rsid w:val="000C101E"/>
    <w:rsid w:val="000C1354"/>
    <w:rsid w:val="000C4CA1"/>
    <w:rsid w:val="000C4E0B"/>
    <w:rsid w:val="000C5899"/>
    <w:rsid w:val="000C5BC6"/>
    <w:rsid w:val="000C64AB"/>
    <w:rsid w:val="000C6B89"/>
    <w:rsid w:val="000D0A1C"/>
    <w:rsid w:val="000D0A49"/>
    <w:rsid w:val="000D26FA"/>
    <w:rsid w:val="000D279E"/>
    <w:rsid w:val="000D39E2"/>
    <w:rsid w:val="000D4068"/>
    <w:rsid w:val="000D5591"/>
    <w:rsid w:val="000D5BE5"/>
    <w:rsid w:val="000E03A7"/>
    <w:rsid w:val="000E1F98"/>
    <w:rsid w:val="000E33C3"/>
    <w:rsid w:val="000E398E"/>
    <w:rsid w:val="000E39A2"/>
    <w:rsid w:val="000E3FFC"/>
    <w:rsid w:val="000E4AF7"/>
    <w:rsid w:val="000E4D0B"/>
    <w:rsid w:val="000E7667"/>
    <w:rsid w:val="000E7821"/>
    <w:rsid w:val="000F20EC"/>
    <w:rsid w:val="000F3A73"/>
    <w:rsid w:val="000F4768"/>
    <w:rsid w:val="000F5D88"/>
    <w:rsid w:val="000F67E1"/>
    <w:rsid w:val="000F6FB8"/>
    <w:rsid w:val="000F7E4B"/>
    <w:rsid w:val="000F7E56"/>
    <w:rsid w:val="001002A5"/>
    <w:rsid w:val="001009DA"/>
    <w:rsid w:val="00102086"/>
    <w:rsid w:val="00102714"/>
    <w:rsid w:val="001028A9"/>
    <w:rsid w:val="00102FA0"/>
    <w:rsid w:val="00103608"/>
    <w:rsid w:val="00103A27"/>
    <w:rsid w:val="0010432D"/>
    <w:rsid w:val="00104345"/>
    <w:rsid w:val="00106AE7"/>
    <w:rsid w:val="0011004F"/>
    <w:rsid w:val="0011143D"/>
    <w:rsid w:val="001120A0"/>
    <w:rsid w:val="0011278C"/>
    <w:rsid w:val="00112CB5"/>
    <w:rsid w:val="0011359A"/>
    <w:rsid w:val="001145E1"/>
    <w:rsid w:val="001148DB"/>
    <w:rsid w:val="00116244"/>
    <w:rsid w:val="00116DF6"/>
    <w:rsid w:val="001172F2"/>
    <w:rsid w:val="00120C53"/>
    <w:rsid w:val="001214F0"/>
    <w:rsid w:val="00121674"/>
    <w:rsid w:val="001230EB"/>
    <w:rsid w:val="00123AEA"/>
    <w:rsid w:val="00123C08"/>
    <w:rsid w:val="00124184"/>
    <w:rsid w:val="00124275"/>
    <w:rsid w:val="001248CD"/>
    <w:rsid w:val="00125976"/>
    <w:rsid w:val="00127EF3"/>
    <w:rsid w:val="001302B1"/>
    <w:rsid w:val="00130896"/>
    <w:rsid w:val="00130BEF"/>
    <w:rsid w:val="00131883"/>
    <w:rsid w:val="00131C03"/>
    <w:rsid w:val="00132734"/>
    <w:rsid w:val="001343E9"/>
    <w:rsid w:val="00135398"/>
    <w:rsid w:val="00135405"/>
    <w:rsid w:val="001360B0"/>
    <w:rsid w:val="00136B69"/>
    <w:rsid w:val="00136D9F"/>
    <w:rsid w:val="00137206"/>
    <w:rsid w:val="00137272"/>
    <w:rsid w:val="0013770C"/>
    <w:rsid w:val="00140494"/>
    <w:rsid w:val="00140CC4"/>
    <w:rsid w:val="001410C3"/>
    <w:rsid w:val="00142F1E"/>
    <w:rsid w:val="00143382"/>
    <w:rsid w:val="00144082"/>
    <w:rsid w:val="0014413D"/>
    <w:rsid w:val="00144D60"/>
    <w:rsid w:val="0014572B"/>
    <w:rsid w:val="0014658F"/>
    <w:rsid w:val="0014766D"/>
    <w:rsid w:val="001479CC"/>
    <w:rsid w:val="0015012C"/>
    <w:rsid w:val="00150D5F"/>
    <w:rsid w:val="00151988"/>
    <w:rsid w:val="00153702"/>
    <w:rsid w:val="00155044"/>
    <w:rsid w:val="001553E1"/>
    <w:rsid w:val="00156437"/>
    <w:rsid w:val="00157AFB"/>
    <w:rsid w:val="00161E99"/>
    <w:rsid w:val="001631E2"/>
    <w:rsid w:val="001653C9"/>
    <w:rsid w:val="001654D4"/>
    <w:rsid w:val="00165A56"/>
    <w:rsid w:val="001660D3"/>
    <w:rsid w:val="001668BA"/>
    <w:rsid w:val="00166F09"/>
    <w:rsid w:val="00167040"/>
    <w:rsid w:val="00167101"/>
    <w:rsid w:val="00167A20"/>
    <w:rsid w:val="00171552"/>
    <w:rsid w:val="001715EE"/>
    <w:rsid w:val="00172239"/>
    <w:rsid w:val="0017334E"/>
    <w:rsid w:val="001737BF"/>
    <w:rsid w:val="001739E0"/>
    <w:rsid w:val="00173C33"/>
    <w:rsid w:val="001740EF"/>
    <w:rsid w:val="0017415F"/>
    <w:rsid w:val="00175DF5"/>
    <w:rsid w:val="00175FD4"/>
    <w:rsid w:val="00177C36"/>
    <w:rsid w:val="00180987"/>
    <w:rsid w:val="00181959"/>
    <w:rsid w:val="00181A5E"/>
    <w:rsid w:val="00181F12"/>
    <w:rsid w:val="001845DB"/>
    <w:rsid w:val="001877D0"/>
    <w:rsid w:val="0019065E"/>
    <w:rsid w:val="00191D61"/>
    <w:rsid w:val="00192430"/>
    <w:rsid w:val="00193C52"/>
    <w:rsid w:val="00193F46"/>
    <w:rsid w:val="0019506D"/>
    <w:rsid w:val="001950E2"/>
    <w:rsid w:val="001965D0"/>
    <w:rsid w:val="001A002C"/>
    <w:rsid w:val="001A0A6C"/>
    <w:rsid w:val="001A29EA"/>
    <w:rsid w:val="001A4C12"/>
    <w:rsid w:val="001A551F"/>
    <w:rsid w:val="001A5F2C"/>
    <w:rsid w:val="001A69E4"/>
    <w:rsid w:val="001A7D65"/>
    <w:rsid w:val="001B0348"/>
    <w:rsid w:val="001B15A0"/>
    <w:rsid w:val="001B18D8"/>
    <w:rsid w:val="001B21EA"/>
    <w:rsid w:val="001B23D6"/>
    <w:rsid w:val="001B272C"/>
    <w:rsid w:val="001B290B"/>
    <w:rsid w:val="001B48AD"/>
    <w:rsid w:val="001B5F0E"/>
    <w:rsid w:val="001B7C51"/>
    <w:rsid w:val="001C10B3"/>
    <w:rsid w:val="001C2AFB"/>
    <w:rsid w:val="001C2BE2"/>
    <w:rsid w:val="001C3C0D"/>
    <w:rsid w:val="001C75BF"/>
    <w:rsid w:val="001C7639"/>
    <w:rsid w:val="001D1357"/>
    <w:rsid w:val="001D3304"/>
    <w:rsid w:val="001D35D6"/>
    <w:rsid w:val="001D3640"/>
    <w:rsid w:val="001D51EE"/>
    <w:rsid w:val="001D5DA7"/>
    <w:rsid w:val="001E005F"/>
    <w:rsid w:val="001E2DBF"/>
    <w:rsid w:val="001E3298"/>
    <w:rsid w:val="001E3EA2"/>
    <w:rsid w:val="001E4FEE"/>
    <w:rsid w:val="001E605F"/>
    <w:rsid w:val="001E649C"/>
    <w:rsid w:val="001F03E4"/>
    <w:rsid w:val="001F1E12"/>
    <w:rsid w:val="001F1E86"/>
    <w:rsid w:val="001F25CA"/>
    <w:rsid w:val="001F304D"/>
    <w:rsid w:val="001F39C4"/>
    <w:rsid w:val="001F6377"/>
    <w:rsid w:val="00200422"/>
    <w:rsid w:val="00200C1F"/>
    <w:rsid w:val="00201721"/>
    <w:rsid w:val="00201EB6"/>
    <w:rsid w:val="00202E7D"/>
    <w:rsid w:val="002037B1"/>
    <w:rsid w:val="00203C2C"/>
    <w:rsid w:val="00204020"/>
    <w:rsid w:val="002048AD"/>
    <w:rsid w:val="0020496C"/>
    <w:rsid w:val="00204E09"/>
    <w:rsid w:val="00204E55"/>
    <w:rsid w:val="00205177"/>
    <w:rsid w:val="00206CCC"/>
    <w:rsid w:val="0020757C"/>
    <w:rsid w:val="002104CA"/>
    <w:rsid w:val="002106CF"/>
    <w:rsid w:val="0021144F"/>
    <w:rsid w:val="00211702"/>
    <w:rsid w:val="00214566"/>
    <w:rsid w:val="0021521E"/>
    <w:rsid w:val="0021634D"/>
    <w:rsid w:val="00216841"/>
    <w:rsid w:val="002175BC"/>
    <w:rsid w:val="00217690"/>
    <w:rsid w:val="0021787B"/>
    <w:rsid w:val="00220165"/>
    <w:rsid w:val="00224391"/>
    <w:rsid w:val="00224683"/>
    <w:rsid w:val="0022533F"/>
    <w:rsid w:val="002259FA"/>
    <w:rsid w:val="00230941"/>
    <w:rsid w:val="0023186C"/>
    <w:rsid w:val="00232DF4"/>
    <w:rsid w:val="00233BE6"/>
    <w:rsid w:val="0023409D"/>
    <w:rsid w:val="00234BDA"/>
    <w:rsid w:val="00235D98"/>
    <w:rsid w:val="002365E6"/>
    <w:rsid w:val="00236C8A"/>
    <w:rsid w:val="0023726D"/>
    <w:rsid w:val="00240914"/>
    <w:rsid w:val="00243565"/>
    <w:rsid w:val="00244DAD"/>
    <w:rsid w:val="00244FFD"/>
    <w:rsid w:val="00246FFB"/>
    <w:rsid w:val="0025029B"/>
    <w:rsid w:val="00253BAB"/>
    <w:rsid w:val="00253F6E"/>
    <w:rsid w:val="0025449A"/>
    <w:rsid w:val="00256A85"/>
    <w:rsid w:val="0025703A"/>
    <w:rsid w:val="00257972"/>
    <w:rsid w:val="00257CA9"/>
    <w:rsid w:val="00260952"/>
    <w:rsid w:val="00260A3D"/>
    <w:rsid w:val="0026519E"/>
    <w:rsid w:val="00265916"/>
    <w:rsid w:val="00265B91"/>
    <w:rsid w:val="00266F5A"/>
    <w:rsid w:val="00267384"/>
    <w:rsid w:val="00267A7C"/>
    <w:rsid w:val="00270FB8"/>
    <w:rsid w:val="00272B5F"/>
    <w:rsid w:val="00273ED5"/>
    <w:rsid w:val="00274325"/>
    <w:rsid w:val="00275FD2"/>
    <w:rsid w:val="002765C2"/>
    <w:rsid w:val="00277191"/>
    <w:rsid w:val="00280B61"/>
    <w:rsid w:val="00280D1E"/>
    <w:rsid w:val="00280F43"/>
    <w:rsid w:val="00281796"/>
    <w:rsid w:val="00281CB4"/>
    <w:rsid w:val="00282463"/>
    <w:rsid w:val="002825B3"/>
    <w:rsid w:val="00282A21"/>
    <w:rsid w:val="002834B5"/>
    <w:rsid w:val="00284305"/>
    <w:rsid w:val="002846ED"/>
    <w:rsid w:val="00286307"/>
    <w:rsid w:val="00286682"/>
    <w:rsid w:val="00286980"/>
    <w:rsid w:val="00286EB2"/>
    <w:rsid w:val="00287BF8"/>
    <w:rsid w:val="002905B3"/>
    <w:rsid w:val="00292902"/>
    <w:rsid w:val="00292C37"/>
    <w:rsid w:val="00292F48"/>
    <w:rsid w:val="002954AE"/>
    <w:rsid w:val="0029641D"/>
    <w:rsid w:val="002A0A91"/>
    <w:rsid w:val="002A451B"/>
    <w:rsid w:val="002A4B0B"/>
    <w:rsid w:val="002A50D8"/>
    <w:rsid w:val="002A5B80"/>
    <w:rsid w:val="002A5D48"/>
    <w:rsid w:val="002A699C"/>
    <w:rsid w:val="002A69F4"/>
    <w:rsid w:val="002A7051"/>
    <w:rsid w:val="002A707F"/>
    <w:rsid w:val="002A7318"/>
    <w:rsid w:val="002A750D"/>
    <w:rsid w:val="002A7843"/>
    <w:rsid w:val="002B0032"/>
    <w:rsid w:val="002B0264"/>
    <w:rsid w:val="002B0AA4"/>
    <w:rsid w:val="002B0BBC"/>
    <w:rsid w:val="002B19C3"/>
    <w:rsid w:val="002B225F"/>
    <w:rsid w:val="002B3FF6"/>
    <w:rsid w:val="002B3FFA"/>
    <w:rsid w:val="002B4209"/>
    <w:rsid w:val="002B48DF"/>
    <w:rsid w:val="002B4BFF"/>
    <w:rsid w:val="002B5200"/>
    <w:rsid w:val="002B6586"/>
    <w:rsid w:val="002B728E"/>
    <w:rsid w:val="002B76D5"/>
    <w:rsid w:val="002C0364"/>
    <w:rsid w:val="002C0938"/>
    <w:rsid w:val="002C2E49"/>
    <w:rsid w:val="002C2EBD"/>
    <w:rsid w:val="002C5A64"/>
    <w:rsid w:val="002C61C3"/>
    <w:rsid w:val="002C71CF"/>
    <w:rsid w:val="002D057E"/>
    <w:rsid w:val="002D15C6"/>
    <w:rsid w:val="002D198F"/>
    <w:rsid w:val="002D2497"/>
    <w:rsid w:val="002D35B6"/>
    <w:rsid w:val="002D37D5"/>
    <w:rsid w:val="002D4505"/>
    <w:rsid w:val="002D5693"/>
    <w:rsid w:val="002D58E0"/>
    <w:rsid w:val="002D6145"/>
    <w:rsid w:val="002D6B4E"/>
    <w:rsid w:val="002D6E77"/>
    <w:rsid w:val="002D7367"/>
    <w:rsid w:val="002D76F1"/>
    <w:rsid w:val="002E05B8"/>
    <w:rsid w:val="002E1A76"/>
    <w:rsid w:val="002E1D8A"/>
    <w:rsid w:val="002E2A6B"/>
    <w:rsid w:val="002E416C"/>
    <w:rsid w:val="002E50CA"/>
    <w:rsid w:val="002E5A8C"/>
    <w:rsid w:val="002E64B9"/>
    <w:rsid w:val="002E6B13"/>
    <w:rsid w:val="002E6CA1"/>
    <w:rsid w:val="002E7085"/>
    <w:rsid w:val="002E78F4"/>
    <w:rsid w:val="002F00B6"/>
    <w:rsid w:val="002F2AA2"/>
    <w:rsid w:val="002F37D6"/>
    <w:rsid w:val="002F40C7"/>
    <w:rsid w:val="002F4B47"/>
    <w:rsid w:val="002F6408"/>
    <w:rsid w:val="002F69FB"/>
    <w:rsid w:val="002F6A42"/>
    <w:rsid w:val="002F6CE0"/>
    <w:rsid w:val="00301BFC"/>
    <w:rsid w:val="00301E82"/>
    <w:rsid w:val="00302D1E"/>
    <w:rsid w:val="0030347E"/>
    <w:rsid w:val="003054FC"/>
    <w:rsid w:val="0030680F"/>
    <w:rsid w:val="0031100B"/>
    <w:rsid w:val="003114C5"/>
    <w:rsid w:val="00311EF8"/>
    <w:rsid w:val="00311F32"/>
    <w:rsid w:val="00312E0B"/>
    <w:rsid w:val="0031307D"/>
    <w:rsid w:val="00313A73"/>
    <w:rsid w:val="003146D2"/>
    <w:rsid w:val="00314BFA"/>
    <w:rsid w:val="00316822"/>
    <w:rsid w:val="00316C31"/>
    <w:rsid w:val="003202FE"/>
    <w:rsid w:val="003213EA"/>
    <w:rsid w:val="00321FD3"/>
    <w:rsid w:val="003222A3"/>
    <w:rsid w:val="003224EB"/>
    <w:rsid w:val="00322652"/>
    <w:rsid w:val="00323974"/>
    <w:rsid w:val="00323A54"/>
    <w:rsid w:val="00324322"/>
    <w:rsid w:val="003243CC"/>
    <w:rsid w:val="00324F68"/>
    <w:rsid w:val="003259EE"/>
    <w:rsid w:val="00327472"/>
    <w:rsid w:val="003278AE"/>
    <w:rsid w:val="00330581"/>
    <w:rsid w:val="003306C9"/>
    <w:rsid w:val="00330D35"/>
    <w:rsid w:val="00332895"/>
    <w:rsid w:val="00334232"/>
    <w:rsid w:val="00334E38"/>
    <w:rsid w:val="00334ED4"/>
    <w:rsid w:val="00334FCC"/>
    <w:rsid w:val="00335352"/>
    <w:rsid w:val="00335889"/>
    <w:rsid w:val="00335DB5"/>
    <w:rsid w:val="00336A86"/>
    <w:rsid w:val="00341FEA"/>
    <w:rsid w:val="00343CAD"/>
    <w:rsid w:val="00345AEE"/>
    <w:rsid w:val="00350F51"/>
    <w:rsid w:val="00352DE2"/>
    <w:rsid w:val="00353472"/>
    <w:rsid w:val="0035436D"/>
    <w:rsid w:val="00354FF6"/>
    <w:rsid w:val="00355FCD"/>
    <w:rsid w:val="00361C71"/>
    <w:rsid w:val="0036317F"/>
    <w:rsid w:val="00364842"/>
    <w:rsid w:val="00370C77"/>
    <w:rsid w:val="00370F4A"/>
    <w:rsid w:val="003734AA"/>
    <w:rsid w:val="003743B9"/>
    <w:rsid w:val="00374794"/>
    <w:rsid w:val="00374A21"/>
    <w:rsid w:val="003820BA"/>
    <w:rsid w:val="003823A1"/>
    <w:rsid w:val="00382526"/>
    <w:rsid w:val="00382C83"/>
    <w:rsid w:val="00383D01"/>
    <w:rsid w:val="00386C6D"/>
    <w:rsid w:val="003909E2"/>
    <w:rsid w:val="00392E0F"/>
    <w:rsid w:val="003947CB"/>
    <w:rsid w:val="003949D8"/>
    <w:rsid w:val="00394ED0"/>
    <w:rsid w:val="003952C4"/>
    <w:rsid w:val="0039561C"/>
    <w:rsid w:val="003A0B29"/>
    <w:rsid w:val="003A0E82"/>
    <w:rsid w:val="003A1348"/>
    <w:rsid w:val="003A1858"/>
    <w:rsid w:val="003A47B8"/>
    <w:rsid w:val="003A510C"/>
    <w:rsid w:val="003A7FAC"/>
    <w:rsid w:val="003B049D"/>
    <w:rsid w:val="003B0ACC"/>
    <w:rsid w:val="003B0D74"/>
    <w:rsid w:val="003B1517"/>
    <w:rsid w:val="003B1EC6"/>
    <w:rsid w:val="003B2B76"/>
    <w:rsid w:val="003B3718"/>
    <w:rsid w:val="003B6186"/>
    <w:rsid w:val="003B6C9F"/>
    <w:rsid w:val="003B73D5"/>
    <w:rsid w:val="003B7B3B"/>
    <w:rsid w:val="003C13B7"/>
    <w:rsid w:val="003C1449"/>
    <w:rsid w:val="003C3CF6"/>
    <w:rsid w:val="003C54E1"/>
    <w:rsid w:val="003C59B2"/>
    <w:rsid w:val="003C69D0"/>
    <w:rsid w:val="003D07AA"/>
    <w:rsid w:val="003D11F0"/>
    <w:rsid w:val="003D17C5"/>
    <w:rsid w:val="003D1872"/>
    <w:rsid w:val="003D27B6"/>
    <w:rsid w:val="003D302B"/>
    <w:rsid w:val="003D31BB"/>
    <w:rsid w:val="003D39F3"/>
    <w:rsid w:val="003D3D98"/>
    <w:rsid w:val="003D5703"/>
    <w:rsid w:val="003D62F6"/>
    <w:rsid w:val="003D7895"/>
    <w:rsid w:val="003E091B"/>
    <w:rsid w:val="003E146F"/>
    <w:rsid w:val="003E165E"/>
    <w:rsid w:val="003E2AF6"/>
    <w:rsid w:val="003E31CD"/>
    <w:rsid w:val="003E367B"/>
    <w:rsid w:val="003E4A98"/>
    <w:rsid w:val="003E53C5"/>
    <w:rsid w:val="003E56D8"/>
    <w:rsid w:val="003E7039"/>
    <w:rsid w:val="003F07E7"/>
    <w:rsid w:val="003F0A4D"/>
    <w:rsid w:val="003F1C93"/>
    <w:rsid w:val="003F3106"/>
    <w:rsid w:val="003F3114"/>
    <w:rsid w:val="003F40EF"/>
    <w:rsid w:val="003F4615"/>
    <w:rsid w:val="003F49CC"/>
    <w:rsid w:val="003F5D9B"/>
    <w:rsid w:val="003F71CE"/>
    <w:rsid w:val="003F73EB"/>
    <w:rsid w:val="003F79EF"/>
    <w:rsid w:val="004004D6"/>
    <w:rsid w:val="004005E8"/>
    <w:rsid w:val="004005EF"/>
    <w:rsid w:val="00401A32"/>
    <w:rsid w:val="00402BD6"/>
    <w:rsid w:val="004033C1"/>
    <w:rsid w:val="00403F4D"/>
    <w:rsid w:val="00405739"/>
    <w:rsid w:val="0040583E"/>
    <w:rsid w:val="00405BFA"/>
    <w:rsid w:val="00405D60"/>
    <w:rsid w:val="00406822"/>
    <w:rsid w:val="004130A6"/>
    <w:rsid w:val="0041356D"/>
    <w:rsid w:val="00413ADB"/>
    <w:rsid w:val="0041502E"/>
    <w:rsid w:val="00415075"/>
    <w:rsid w:val="004150FC"/>
    <w:rsid w:val="0041600B"/>
    <w:rsid w:val="004169FB"/>
    <w:rsid w:val="004215B4"/>
    <w:rsid w:val="00422301"/>
    <w:rsid w:val="00422C8B"/>
    <w:rsid w:val="004238B9"/>
    <w:rsid w:val="00426013"/>
    <w:rsid w:val="0042676A"/>
    <w:rsid w:val="00426779"/>
    <w:rsid w:val="00430556"/>
    <w:rsid w:val="00431374"/>
    <w:rsid w:val="0043165A"/>
    <w:rsid w:val="00431DFE"/>
    <w:rsid w:val="004320F4"/>
    <w:rsid w:val="00432541"/>
    <w:rsid w:val="00433AE8"/>
    <w:rsid w:val="004343AC"/>
    <w:rsid w:val="00434639"/>
    <w:rsid w:val="00434E4E"/>
    <w:rsid w:val="00435123"/>
    <w:rsid w:val="00435284"/>
    <w:rsid w:val="0043540E"/>
    <w:rsid w:val="004360EB"/>
    <w:rsid w:val="00436328"/>
    <w:rsid w:val="00436E8A"/>
    <w:rsid w:val="004375F6"/>
    <w:rsid w:val="00443955"/>
    <w:rsid w:val="00445579"/>
    <w:rsid w:val="00446752"/>
    <w:rsid w:val="00446BC7"/>
    <w:rsid w:val="0044758F"/>
    <w:rsid w:val="004476F8"/>
    <w:rsid w:val="00447760"/>
    <w:rsid w:val="004515A0"/>
    <w:rsid w:val="00452B1D"/>
    <w:rsid w:val="00452EA9"/>
    <w:rsid w:val="004556F3"/>
    <w:rsid w:val="00457AA1"/>
    <w:rsid w:val="00457DB3"/>
    <w:rsid w:val="004645F5"/>
    <w:rsid w:val="0046493C"/>
    <w:rsid w:val="00465925"/>
    <w:rsid w:val="00466B47"/>
    <w:rsid w:val="004673C8"/>
    <w:rsid w:val="00470511"/>
    <w:rsid w:val="004717FE"/>
    <w:rsid w:val="004719BB"/>
    <w:rsid w:val="004719DB"/>
    <w:rsid w:val="00473237"/>
    <w:rsid w:val="00473872"/>
    <w:rsid w:val="004742BC"/>
    <w:rsid w:val="0047504C"/>
    <w:rsid w:val="0047558D"/>
    <w:rsid w:val="00475ADE"/>
    <w:rsid w:val="004772A2"/>
    <w:rsid w:val="004776F1"/>
    <w:rsid w:val="00480BCC"/>
    <w:rsid w:val="00481D08"/>
    <w:rsid w:val="00482630"/>
    <w:rsid w:val="00482E82"/>
    <w:rsid w:val="004831BB"/>
    <w:rsid w:val="00484481"/>
    <w:rsid w:val="0048481F"/>
    <w:rsid w:val="00485744"/>
    <w:rsid w:val="00487FB1"/>
    <w:rsid w:val="0049292E"/>
    <w:rsid w:val="00492C73"/>
    <w:rsid w:val="004931C5"/>
    <w:rsid w:val="0049405D"/>
    <w:rsid w:val="0049568A"/>
    <w:rsid w:val="00496096"/>
    <w:rsid w:val="004A019B"/>
    <w:rsid w:val="004A0AD4"/>
    <w:rsid w:val="004A12EB"/>
    <w:rsid w:val="004A1E44"/>
    <w:rsid w:val="004A31C4"/>
    <w:rsid w:val="004A4252"/>
    <w:rsid w:val="004A5CAF"/>
    <w:rsid w:val="004A63D2"/>
    <w:rsid w:val="004A68FB"/>
    <w:rsid w:val="004A6A6F"/>
    <w:rsid w:val="004A78A2"/>
    <w:rsid w:val="004A7FE9"/>
    <w:rsid w:val="004B0525"/>
    <w:rsid w:val="004B0DEA"/>
    <w:rsid w:val="004B151F"/>
    <w:rsid w:val="004B1A1C"/>
    <w:rsid w:val="004B289F"/>
    <w:rsid w:val="004B336A"/>
    <w:rsid w:val="004B37C4"/>
    <w:rsid w:val="004B3949"/>
    <w:rsid w:val="004B5C0A"/>
    <w:rsid w:val="004B6007"/>
    <w:rsid w:val="004B6A3B"/>
    <w:rsid w:val="004B7D09"/>
    <w:rsid w:val="004C1656"/>
    <w:rsid w:val="004C191A"/>
    <w:rsid w:val="004C1E56"/>
    <w:rsid w:val="004C28BB"/>
    <w:rsid w:val="004C30A8"/>
    <w:rsid w:val="004C3A69"/>
    <w:rsid w:val="004C41CC"/>
    <w:rsid w:val="004C4B68"/>
    <w:rsid w:val="004C5F79"/>
    <w:rsid w:val="004C6E0A"/>
    <w:rsid w:val="004C6EE3"/>
    <w:rsid w:val="004D0DC3"/>
    <w:rsid w:val="004D12C0"/>
    <w:rsid w:val="004D17C2"/>
    <w:rsid w:val="004D46C1"/>
    <w:rsid w:val="004E065A"/>
    <w:rsid w:val="004E0700"/>
    <w:rsid w:val="004E10B6"/>
    <w:rsid w:val="004E3415"/>
    <w:rsid w:val="004E3776"/>
    <w:rsid w:val="004E51AB"/>
    <w:rsid w:val="004E60E3"/>
    <w:rsid w:val="004E71DB"/>
    <w:rsid w:val="004E74B2"/>
    <w:rsid w:val="004F0B9D"/>
    <w:rsid w:val="004F4B16"/>
    <w:rsid w:val="004F4C23"/>
    <w:rsid w:val="004F5D9D"/>
    <w:rsid w:val="004F68B1"/>
    <w:rsid w:val="004F70EC"/>
    <w:rsid w:val="004F710D"/>
    <w:rsid w:val="00500160"/>
    <w:rsid w:val="005002E2"/>
    <w:rsid w:val="00500543"/>
    <w:rsid w:val="00500EAF"/>
    <w:rsid w:val="0050139D"/>
    <w:rsid w:val="00501795"/>
    <w:rsid w:val="00501B3F"/>
    <w:rsid w:val="00502105"/>
    <w:rsid w:val="00503EF2"/>
    <w:rsid w:val="005052A2"/>
    <w:rsid w:val="0050583C"/>
    <w:rsid w:val="00506B9A"/>
    <w:rsid w:val="00506D6A"/>
    <w:rsid w:val="0050737E"/>
    <w:rsid w:val="00507E5C"/>
    <w:rsid w:val="005137DD"/>
    <w:rsid w:val="005153C5"/>
    <w:rsid w:val="00515548"/>
    <w:rsid w:val="00517835"/>
    <w:rsid w:val="00520C74"/>
    <w:rsid w:val="005211A7"/>
    <w:rsid w:val="00525E76"/>
    <w:rsid w:val="00526F60"/>
    <w:rsid w:val="00530B31"/>
    <w:rsid w:val="0053113E"/>
    <w:rsid w:val="00531DCE"/>
    <w:rsid w:val="00531E2F"/>
    <w:rsid w:val="005326B6"/>
    <w:rsid w:val="00532F6C"/>
    <w:rsid w:val="005334B2"/>
    <w:rsid w:val="00533766"/>
    <w:rsid w:val="0053494E"/>
    <w:rsid w:val="00534954"/>
    <w:rsid w:val="0053642E"/>
    <w:rsid w:val="00537060"/>
    <w:rsid w:val="005416D7"/>
    <w:rsid w:val="00542256"/>
    <w:rsid w:val="00543648"/>
    <w:rsid w:val="00543885"/>
    <w:rsid w:val="00544917"/>
    <w:rsid w:val="005474C2"/>
    <w:rsid w:val="005476ED"/>
    <w:rsid w:val="00550BE0"/>
    <w:rsid w:val="00552824"/>
    <w:rsid w:val="00553174"/>
    <w:rsid w:val="00553574"/>
    <w:rsid w:val="00553C17"/>
    <w:rsid w:val="00554A36"/>
    <w:rsid w:val="00554BA8"/>
    <w:rsid w:val="00554FBD"/>
    <w:rsid w:val="00555759"/>
    <w:rsid w:val="005558D4"/>
    <w:rsid w:val="00556259"/>
    <w:rsid w:val="00560934"/>
    <w:rsid w:val="00561A9B"/>
    <w:rsid w:val="00561C8B"/>
    <w:rsid w:val="00561DCD"/>
    <w:rsid w:val="00562EC0"/>
    <w:rsid w:val="00563206"/>
    <w:rsid w:val="00563922"/>
    <w:rsid w:val="00563E31"/>
    <w:rsid w:val="00564C24"/>
    <w:rsid w:val="00564DCC"/>
    <w:rsid w:val="005656C2"/>
    <w:rsid w:val="0057119B"/>
    <w:rsid w:val="005729B2"/>
    <w:rsid w:val="0057461A"/>
    <w:rsid w:val="005747FB"/>
    <w:rsid w:val="00574C37"/>
    <w:rsid w:val="00575079"/>
    <w:rsid w:val="00575092"/>
    <w:rsid w:val="00575363"/>
    <w:rsid w:val="00575449"/>
    <w:rsid w:val="005757C4"/>
    <w:rsid w:val="005765A4"/>
    <w:rsid w:val="00576A24"/>
    <w:rsid w:val="00576B4D"/>
    <w:rsid w:val="00580A75"/>
    <w:rsid w:val="00583441"/>
    <w:rsid w:val="005842E1"/>
    <w:rsid w:val="005847B9"/>
    <w:rsid w:val="005863B1"/>
    <w:rsid w:val="0058686F"/>
    <w:rsid w:val="00587010"/>
    <w:rsid w:val="0059163E"/>
    <w:rsid w:val="00592638"/>
    <w:rsid w:val="00592C77"/>
    <w:rsid w:val="00594D75"/>
    <w:rsid w:val="00595490"/>
    <w:rsid w:val="00595CE1"/>
    <w:rsid w:val="005A04FC"/>
    <w:rsid w:val="005A1ADA"/>
    <w:rsid w:val="005A1EEF"/>
    <w:rsid w:val="005A2565"/>
    <w:rsid w:val="005A2EF8"/>
    <w:rsid w:val="005A34B6"/>
    <w:rsid w:val="005A3524"/>
    <w:rsid w:val="005A51F4"/>
    <w:rsid w:val="005A707C"/>
    <w:rsid w:val="005B0013"/>
    <w:rsid w:val="005B04C0"/>
    <w:rsid w:val="005B1238"/>
    <w:rsid w:val="005B173D"/>
    <w:rsid w:val="005B30F3"/>
    <w:rsid w:val="005B5B16"/>
    <w:rsid w:val="005B6B2A"/>
    <w:rsid w:val="005C1DBC"/>
    <w:rsid w:val="005C2FE7"/>
    <w:rsid w:val="005C4401"/>
    <w:rsid w:val="005C45D5"/>
    <w:rsid w:val="005C493E"/>
    <w:rsid w:val="005C4D06"/>
    <w:rsid w:val="005C4DF4"/>
    <w:rsid w:val="005C54D4"/>
    <w:rsid w:val="005C6E9D"/>
    <w:rsid w:val="005C7E19"/>
    <w:rsid w:val="005D0B74"/>
    <w:rsid w:val="005D0E00"/>
    <w:rsid w:val="005D2202"/>
    <w:rsid w:val="005D294F"/>
    <w:rsid w:val="005D349E"/>
    <w:rsid w:val="005D3EDB"/>
    <w:rsid w:val="005D497D"/>
    <w:rsid w:val="005D4D9F"/>
    <w:rsid w:val="005D535C"/>
    <w:rsid w:val="005D581A"/>
    <w:rsid w:val="005D7673"/>
    <w:rsid w:val="005E00C1"/>
    <w:rsid w:val="005E387F"/>
    <w:rsid w:val="005E396F"/>
    <w:rsid w:val="005E4BC9"/>
    <w:rsid w:val="005E4C1C"/>
    <w:rsid w:val="005E67DD"/>
    <w:rsid w:val="005E726E"/>
    <w:rsid w:val="005E783E"/>
    <w:rsid w:val="005F216C"/>
    <w:rsid w:val="005F40B5"/>
    <w:rsid w:val="005F45DB"/>
    <w:rsid w:val="005F507B"/>
    <w:rsid w:val="005F5266"/>
    <w:rsid w:val="005F66A0"/>
    <w:rsid w:val="005F69F8"/>
    <w:rsid w:val="005F7682"/>
    <w:rsid w:val="006022F2"/>
    <w:rsid w:val="006029F1"/>
    <w:rsid w:val="00603A63"/>
    <w:rsid w:val="00603C16"/>
    <w:rsid w:val="0060433B"/>
    <w:rsid w:val="00604CE0"/>
    <w:rsid w:val="00604F97"/>
    <w:rsid w:val="006078EA"/>
    <w:rsid w:val="00607CBD"/>
    <w:rsid w:val="00610997"/>
    <w:rsid w:val="006115FE"/>
    <w:rsid w:val="00611A3B"/>
    <w:rsid w:val="00611DCE"/>
    <w:rsid w:val="00615182"/>
    <w:rsid w:val="00616501"/>
    <w:rsid w:val="00616C3F"/>
    <w:rsid w:val="00617839"/>
    <w:rsid w:val="006203F4"/>
    <w:rsid w:val="00623381"/>
    <w:rsid w:val="006237F7"/>
    <w:rsid w:val="006248BE"/>
    <w:rsid w:val="00630B6F"/>
    <w:rsid w:val="0063124C"/>
    <w:rsid w:val="0063325D"/>
    <w:rsid w:val="006337C9"/>
    <w:rsid w:val="00634E94"/>
    <w:rsid w:val="00634F64"/>
    <w:rsid w:val="00640EC4"/>
    <w:rsid w:val="0064101C"/>
    <w:rsid w:val="006416FB"/>
    <w:rsid w:val="00641D1A"/>
    <w:rsid w:val="006425D4"/>
    <w:rsid w:val="006425F1"/>
    <w:rsid w:val="006430B7"/>
    <w:rsid w:val="0064386E"/>
    <w:rsid w:val="00643E9C"/>
    <w:rsid w:val="00645B96"/>
    <w:rsid w:val="00645E6B"/>
    <w:rsid w:val="006469AF"/>
    <w:rsid w:val="00646F34"/>
    <w:rsid w:val="00647DA6"/>
    <w:rsid w:val="0065028B"/>
    <w:rsid w:val="006513EB"/>
    <w:rsid w:val="00653A3C"/>
    <w:rsid w:val="00653E16"/>
    <w:rsid w:val="00653EA3"/>
    <w:rsid w:val="00654F3D"/>
    <w:rsid w:val="00655FE1"/>
    <w:rsid w:val="0065655C"/>
    <w:rsid w:val="006568E2"/>
    <w:rsid w:val="00661356"/>
    <w:rsid w:val="006619F8"/>
    <w:rsid w:val="00664122"/>
    <w:rsid w:val="00664997"/>
    <w:rsid w:val="00664C23"/>
    <w:rsid w:val="00664EDE"/>
    <w:rsid w:val="0066542A"/>
    <w:rsid w:val="00665DC8"/>
    <w:rsid w:val="00666D8F"/>
    <w:rsid w:val="00667067"/>
    <w:rsid w:val="0066714E"/>
    <w:rsid w:val="00670C8A"/>
    <w:rsid w:val="00671808"/>
    <w:rsid w:val="00673DE8"/>
    <w:rsid w:val="006749F3"/>
    <w:rsid w:val="00674FDF"/>
    <w:rsid w:val="00682255"/>
    <w:rsid w:val="00683DAF"/>
    <w:rsid w:val="006843BB"/>
    <w:rsid w:val="00684A7F"/>
    <w:rsid w:val="00684DDA"/>
    <w:rsid w:val="00684DEC"/>
    <w:rsid w:val="00684FDD"/>
    <w:rsid w:val="00686CA6"/>
    <w:rsid w:val="006871A0"/>
    <w:rsid w:val="0069324B"/>
    <w:rsid w:val="00693F5B"/>
    <w:rsid w:val="00695337"/>
    <w:rsid w:val="00695E6E"/>
    <w:rsid w:val="006966D5"/>
    <w:rsid w:val="00696EFB"/>
    <w:rsid w:val="00697955"/>
    <w:rsid w:val="00697BF0"/>
    <w:rsid w:val="00697D83"/>
    <w:rsid w:val="00697F2A"/>
    <w:rsid w:val="006A01AB"/>
    <w:rsid w:val="006A1D97"/>
    <w:rsid w:val="006A2369"/>
    <w:rsid w:val="006A38B2"/>
    <w:rsid w:val="006A5836"/>
    <w:rsid w:val="006A7B5D"/>
    <w:rsid w:val="006B018A"/>
    <w:rsid w:val="006B0E1E"/>
    <w:rsid w:val="006B2564"/>
    <w:rsid w:val="006B2DCE"/>
    <w:rsid w:val="006B3017"/>
    <w:rsid w:val="006B43BC"/>
    <w:rsid w:val="006B4D07"/>
    <w:rsid w:val="006B53BB"/>
    <w:rsid w:val="006B5BF9"/>
    <w:rsid w:val="006C1389"/>
    <w:rsid w:val="006C1BC1"/>
    <w:rsid w:val="006C37DB"/>
    <w:rsid w:val="006C46E0"/>
    <w:rsid w:val="006C4D3E"/>
    <w:rsid w:val="006C5B3E"/>
    <w:rsid w:val="006C615F"/>
    <w:rsid w:val="006C72EB"/>
    <w:rsid w:val="006C7F46"/>
    <w:rsid w:val="006D0B36"/>
    <w:rsid w:val="006D3D26"/>
    <w:rsid w:val="006D3DB2"/>
    <w:rsid w:val="006D43E1"/>
    <w:rsid w:val="006D50C1"/>
    <w:rsid w:val="006D6CC0"/>
    <w:rsid w:val="006D7072"/>
    <w:rsid w:val="006E0361"/>
    <w:rsid w:val="006E145A"/>
    <w:rsid w:val="006E15E3"/>
    <w:rsid w:val="006E2387"/>
    <w:rsid w:val="006E24AD"/>
    <w:rsid w:val="006E26A0"/>
    <w:rsid w:val="006E510D"/>
    <w:rsid w:val="006E5173"/>
    <w:rsid w:val="006E5200"/>
    <w:rsid w:val="006E672C"/>
    <w:rsid w:val="006E6CCF"/>
    <w:rsid w:val="006E7BC3"/>
    <w:rsid w:val="006E7BFD"/>
    <w:rsid w:val="006F0571"/>
    <w:rsid w:val="006F182E"/>
    <w:rsid w:val="006F3AE3"/>
    <w:rsid w:val="006F5B00"/>
    <w:rsid w:val="006F7377"/>
    <w:rsid w:val="006F7D59"/>
    <w:rsid w:val="0070000E"/>
    <w:rsid w:val="00700F57"/>
    <w:rsid w:val="00702E28"/>
    <w:rsid w:val="00703EFC"/>
    <w:rsid w:val="0070415B"/>
    <w:rsid w:val="007043A6"/>
    <w:rsid w:val="0070444C"/>
    <w:rsid w:val="007051B7"/>
    <w:rsid w:val="00705217"/>
    <w:rsid w:val="007053D4"/>
    <w:rsid w:val="0070567E"/>
    <w:rsid w:val="00705A22"/>
    <w:rsid w:val="00706146"/>
    <w:rsid w:val="007122A8"/>
    <w:rsid w:val="00713508"/>
    <w:rsid w:val="00713608"/>
    <w:rsid w:val="00716027"/>
    <w:rsid w:val="007162FA"/>
    <w:rsid w:val="00716332"/>
    <w:rsid w:val="00717C33"/>
    <w:rsid w:val="00717EB6"/>
    <w:rsid w:val="007211C8"/>
    <w:rsid w:val="0072273E"/>
    <w:rsid w:val="00724D08"/>
    <w:rsid w:val="00725BD7"/>
    <w:rsid w:val="00727264"/>
    <w:rsid w:val="0073056F"/>
    <w:rsid w:val="0073167F"/>
    <w:rsid w:val="007321B4"/>
    <w:rsid w:val="00732AF2"/>
    <w:rsid w:val="007332D5"/>
    <w:rsid w:val="00734D98"/>
    <w:rsid w:val="00735795"/>
    <w:rsid w:val="0073628B"/>
    <w:rsid w:val="00736449"/>
    <w:rsid w:val="00737BA7"/>
    <w:rsid w:val="00741BBA"/>
    <w:rsid w:val="00741C21"/>
    <w:rsid w:val="00742623"/>
    <w:rsid w:val="0074579E"/>
    <w:rsid w:val="00746225"/>
    <w:rsid w:val="00746768"/>
    <w:rsid w:val="00750B82"/>
    <w:rsid w:val="007511D9"/>
    <w:rsid w:val="00753CD4"/>
    <w:rsid w:val="0075478E"/>
    <w:rsid w:val="0075509A"/>
    <w:rsid w:val="00755E97"/>
    <w:rsid w:val="00756A0B"/>
    <w:rsid w:val="00756D7C"/>
    <w:rsid w:val="00757359"/>
    <w:rsid w:val="00763458"/>
    <w:rsid w:val="007637C1"/>
    <w:rsid w:val="007646E7"/>
    <w:rsid w:val="00766856"/>
    <w:rsid w:val="007669F0"/>
    <w:rsid w:val="00766DEB"/>
    <w:rsid w:val="00770A47"/>
    <w:rsid w:val="00771D2A"/>
    <w:rsid w:val="007722FF"/>
    <w:rsid w:val="007731E5"/>
    <w:rsid w:val="00773A1B"/>
    <w:rsid w:val="0077430C"/>
    <w:rsid w:val="00774D6E"/>
    <w:rsid w:val="00776353"/>
    <w:rsid w:val="007763E4"/>
    <w:rsid w:val="0077732B"/>
    <w:rsid w:val="00777445"/>
    <w:rsid w:val="0077791D"/>
    <w:rsid w:val="007800C1"/>
    <w:rsid w:val="007801FC"/>
    <w:rsid w:val="00780C12"/>
    <w:rsid w:val="007811A2"/>
    <w:rsid w:val="00781286"/>
    <w:rsid w:val="007815E1"/>
    <w:rsid w:val="00783B2F"/>
    <w:rsid w:val="007840F1"/>
    <w:rsid w:val="0078520D"/>
    <w:rsid w:val="007917AC"/>
    <w:rsid w:val="007919AE"/>
    <w:rsid w:val="00792DC4"/>
    <w:rsid w:val="00792E5A"/>
    <w:rsid w:val="00793F51"/>
    <w:rsid w:val="007944D6"/>
    <w:rsid w:val="0079485F"/>
    <w:rsid w:val="00794FFA"/>
    <w:rsid w:val="00796077"/>
    <w:rsid w:val="00796ED6"/>
    <w:rsid w:val="0079756F"/>
    <w:rsid w:val="007A009E"/>
    <w:rsid w:val="007A03C6"/>
    <w:rsid w:val="007A095F"/>
    <w:rsid w:val="007A21EA"/>
    <w:rsid w:val="007A25F1"/>
    <w:rsid w:val="007A33FE"/>
    <w:rsid w:val="007A3900"/>
    <w:rsid w:val="007A405C"/>
    <w:rsid w:val="007A4626"/>
    <w:rsid w:val="007A59F1"/>
    <w:rsid w:val="007A5FD1"/>
    <w:rsid w:val="007A62ED"/>
    <w:rsid w:val="007A7222"/>
    <w:rsid w:val="007B075C"/>
    <w:rsid w:val="007B4B22"/>
    <w:rsid w:val="007B5E02"/>
    <w:rsid w:val="007B654B"/>
    <w:rsid w:val="007B719B"/>
    <w:rsid w:val="007B7637"/>
    <w:rsid w:val="007B7819"/>
    <w:rsid w:val="007C0915"/>
    <w:rsid w:val="007C1C13"/>
    <w:rsid w:val="007C225E"/>
    <w:rsid w:val="007C2E24"/>
    <w:rsid w:val="007C35FD"/>
    <w:rsid w:val="007C3DE5"/>
    <w:rsid w:val="007C4F7F"/>
    <w:rsid w:val="007C541E"/>
    <w:rsid w:val="007C6E1E"/>
    <w:rsid w:val="007C78C4"/>
    <w:rsid w:val="007C7A97"/>
    <w:rsid w:val="007D152B"/>
    <w:rsid w:val="007D1C11"/>
    <w:rsid w:val="007D310E"/>
    <w:rsid w:val="007D4290"/>
    <w:rsid w:val="007D5905"/>
    <w:rsid w:val="007D5C34"/>
    <w:rsid w:val="007D5E9F"/>
    <w:rsid w:val="007D765E"/>
    <w:rsid w:val="007D7D4C"/>
    <w:rsid w:val="007E0D1C"/>
    <w:rsid w:val="007E195E"/>
    <w:rsid w:val="007E1CC3"/>
    <w:rsid w:val="007E28FE"/>
    <w:rsid w:val="007E3965"/>
    <w:rsid w:val="007E42A0"/>
    <w:rsid w:val="007E4986"/>
    <w:rsid w:val="007E49AF"/>
    <w:rsid w:val="007E58B4"/>
    <w:rsid w:val="007E5FEB"/>
    <w:rsid w:val="007E6383"/>
    <w:rsid w:val="007F0942"/>
    <w:rsid w:val="007F2AAD"/>
    <w:rsid w:val="007F4F2F"/>
    <w:rsid w:val="007F63F2"/>
    <w:rsid w:val="007F6FE3"/>
    <w:rsid w:val="00800357"/>
    <w:rsid w:val="008030F9"/>
    <w:rsid w:val="008035E6"/>
    <w:rsid w:val="00804893"/>
    <w:rsid w:val="00805618"/>
    <w:rsid w:val="00807432"/>
    <w:rsid w:val="00810BC5"/>
    <w:rsid w:val="00810D66"/>
    <w:rsid w:val="00813347"/>
    <w:rsid w:val="00813489"/>
    <w:rsid w:val="00814124"/>
    <w:rsid w:val="0081418F"/>
    <w:rsid w:val="008141ED"/>
    <w:rsid w:val="00814700"/>
    <w:rsid w:val="00820F85"/>
    <w:rsid w:val="008229D4"/>
    <w:rsid w:val="008230E8"/>
    <w:rsid w:val="008232CA"/>
    <w:rsid w:val="00823ADA"/>
    <w:rsid w:val="00823B3E"/>
    <w:rsid w:val="00824E01"/>
    <w:rsid w:val="00825A9E"/>
    <w:rsid w:val="00825C2F"/>
    <w:rsid w:val="00826338"/>
    <w:rsid w:val="00826965"/>
    <w:rsid w:val="00827260"/>
    <w:rsid w:val="00830765"/>
    <w:rsid w:val="00830AA3"/>
    <w:rsid w:val="00831416"/>
    <w:rsid w:val="00833D8C"/>
    <w:rsid w:val="008351E1"/>
    <w:rsid w:val="008362ED"/>
    <w:rsid w:val="00836903"/>
    <w:rsid w:val="00836E39"/>
    <w:rsid w:val="00836F2A"/>
    <w:rsid w:val="00837798"/>
    <w:rsid w:val="00840E89"/>
    <w:rsid w:val="00842DFB"/>
    <w:rsid w:val="008449F7"/>
    <w:rsid w:val="00845DCD"/>
    <w:rsid w:val="0084665B"/>
    <w:rsid w:val="008474CD"/>
    <w:rsid w:val="00847F55"/>
    <w:rsid w:val="00850AA7"/>
    <w:rsid w:val="00850D44"/>
    <w:rsid w:val="00851631"/>
    <w:rsid w:val="0085234F"/>
    <w:rsid w:val="00853282"/>
    <w:rsid w:val="008549FD"/>
    <w:rsid w:val="00855568"/>
    <w:rsid w:val="00855FFD"/>
    <w:rsid w:val="008560AA"/>
    <w:rsid w:val="00856101"/>
    <w:rsid w:val="00857CC3"/>
    <w:rsid w:val="008616E7"/>
    <w:rsid w:val="0086177F"/>
    <w:rsid w:val="00862470"/>
    <w:rsid w:val="0086620F"/>
    <w:rsid w:val="00866AF3"/>
    <w:rsid w:val="00866C82"/>
    <w:rsid w:val="008672E6"/>
    <w:rsid w:val="008677E5"/>
    <w:rsid w:val="00867C57"/>
    <w:rsid w:val="00874311"/>
    <w:rsid w:val="00874EC5"/>
    <w:rsid w:val="00875741"/>
    <w:rsid w:val="00875C31"/>
    <w:rsid w:val="00876E75"/>
    <w:rsid w:val="008775EA"/>
    <w:rsid w:val="008775F8"/>
    <w:rsid w:val="0087780F"/>
    <w:rsid w:val="00877CD3"/>
    <w:rsid w:val="008811E5"/>
    <w:rsid w:val="0088215D"/>
    <w:rsid w:val="008826D8"/>
    <w:rsid w:val="00882832"/>
    <w:rsid w:val="008832C1"/>
    <w:rsid w:val="00885016"/>
    <w:rsid w:val="00886823"/>
    <w:rsid w:val="00886BC0"/>
    <w:rsid w:val="0089075D"/>
    <w:rsid w:val="008913B9"/>
    <w:rsid w:val="008917A2"/>
    <w:rsid w:val="008938BD"/>
    <w:rsid w:val="008938D5"/>
    <w:rsid w:val="00894718"/>
    <w:rsid w:val="008964DA"/>
    <w:rsid w:val="0089703E"/>
    <w:rsid w:val="008A05B4"/>
    <w:rsid w:val="008A16AF"/>
    <w:rsid w:val="008A1A26"/>
    <w:rsid w:val="008A1D16"/>
    <w:rsid w:val="008A2E79"/>
    <w:rsid w:val="008A400D"/>
    <w:rsid w:val="008A48EB"/>
    <w:rsid w:val="008A5171"/>
    <w:rsid w:val="008A600D"/>
    <w:rsid w:val="008A7119"/>
    <w:rsid w:val="008B07D3"/>
    <w:rsid w:val="008B131C"/>
    <w:rsid w:val="008B19F7"/>
    <w:rsid w:val="008B1E0A"/>
    <w:rsid w:val="008B1E53"/>
    <w:rsid w:val="008B22B6"/>
    <w:rsid w:val="008B42C0"/>
    <w:rsid w:val="008B5CE8"/>
    <w:rsid w:val="008B5DEB"/>
    <w:rsid w:val="008B600B"/>
    <w:rsid w:val="008B6B63"/>
    <w:rsid w:val="008B7B94"/>
    <w:rsid w:val="008C1980"/>
    <w:rsid w:val="008C1A4B"/>
    <w:rsid w:val="008C1D6E"/>
    <w:rsid w:val="008C390E"/>
    <w:rsid w:val="008C3EC2"/>
    <w:rsid w:val="008C4304"/>
    <w:rsid w:val="008C4C74"/>
    <w:rsid w:val="008C4FFF"/>
    <w:rsid w:val="008C6BCA"/>
    <w:rsid w:val="008C6D79"/>
    <w:rsid w:val="008C71C7"/>
    <w:rsid w:val="008C7941"/>
    <w:rsid w:val="008D0AE2"/>
    <w:rsid w:val="008D0C17"/>
    <w:rsid w:val="008D4D27"/>
    <w:rsid w:val="008D4F19"/>
    <w:rsid w:val="008D7021"/>
    <w:rsid w:val="008E09E2"/>
    <w:rsid w:val="008E1610"/>
    <w:rsid w:val="008E1E4F"/>
    <w:rsid w:val="008E35C2"/>
    <w:rsid w:val="008E74FA"/>
    <w:rsid w:val="008E7876"/>
    <w:rsid w:val="008E7C8C"/>
    <w:rsid w:val="008E7F8D"/>
    <w:rsid w:val="008E7FB7"/>
    <w:rsid w:val="008F132E"/>
    <w:rsid w:val="008F13C2"/>
    <w:rsid w:val="008F2EF0"/>
    <w:rsid w:val="008F3F61"/>
    <w:rsid w:val="008F49A9"/>
    <w:rsid w:val="008F4F40"/>
    <w:rsid w:val="008F63CE"/>
    <w:rsid w:val="008F6657"/>
    <w:rsid w:val="008F7B0E"/>
    <w:rsid w:val="00901136"/>
    <w:rsid w:val="00902823"/>
    <w:rsid w:val="00904EBC"/>
    <w:rsid w:val="00905482"/>
    <w:rsid w:val="009065F0"/>
    <w:rsid w:val="0090713F"/>
    <w:rsid w:val="00910995"/>
    <w:rsid w:val="00910A4F"/>
    <w:rsid w:val="00912803"/>
    <w:rsid w:val="009137DC"/>
    <w:rsid w:val="0091402A"/>
    <w:rsid w:val="0091434B"/>
    <w:rsid w:val="00914CE9"/>
    <w:rsid w:val="00915AB5"/>
    <w:rsid w:val="00915D7D"/>
    <w:rsid w:val="00916501"/>
    <w:rsid w:val="00917C96"/>
    <w:rsid w:val="00920F9E"/>
    <w:rsid w:val="00921058"/>
    <w:rsid w:val="00921199"/>
    <w:rsid w:val="009233A1"/>
    <w:rsid w:val="0092386C"/>
    <w:rsid w:val="0092388F"/>
    <w:rsid w:val="0092470C"/>
    <w:rsid w:val="00924F1E"/>
    <w:rsid w:val="00924F61"/>
    <w:rsid w:val="00925627"/>
    <w:rsid w:val="009256FC"/>
    <w:rsid w:val="009324AF"/>
    <w:rsid w:val="00932E54"/>
    <w:rsid w:val="00933552"/>
    <w:rsid w:val="00935227"/>
    <w:rsid w:val="00940E00"/>
    <w:rsid w:val="009428F3"/>
    <w:rsid w:val="00942F16"/>
    <w:rsid w:val="0094410E"/>
    <w:rsid w:val="009451A4"/>
    <w:rsid w:val="00945744"/>
    <w:rsid w:val="00946812"/>
    <w:rsid w:val="00947B6C"/>
    <w:rsid w:val="00947C7C"/>
    <w:rsid w:val="00950C83"/>
    <w:rsid w:val="00950F37"/>
    <w:rsid w:val="00951AB8"/>
    <w:rsid w:val="009524D4"/>
    <w:rsid w:val="0095253D"/>
    <w:rsid w:val="009532F9"/>
    <w:rsid w:val="0095391A"/>
    <w:rsid w:val="0095569D"/>
    <w:rsid w:val="009575C9"/>
    <w:rsid w:val="00957AF1"/>
    <w:rsid w:val="0096044E"/>
    <w:rsid w:val="0096076D"/>
    <w:rsid w:val="009607F8"/>
    <w:rsid w:val="009613F6"/>
    <w:rsid w:val="009621AF"/>
    <w:rsid w:val="009629AE"/>
    <w:rsid w:val="009629DB"/>
    <w:rsid w:val="00964A83"/>
    <w:rsid w:val="00964B22"/>
    <w:rsid w:val="009667A2"/>
    <w:rsid w:val="00966F68"/>
    <w:rsid w:val="009676F5"/>
    <w:rsid w:val="00967F78"/>
    <w:rsid w:val="00970F1D"/>
    <w:rsid w:val="0097115D"/>
    <w:rsid w:val="009713DE"/>
    <w:rsid w:val="00972FC0"/>
    <w:rsid w:val="00974CC4"/>
    <w:rsid w:val="0097555C"/>
    <w:rsid w:val="00975D71"/>
    <w:rsid w:val="00976A55"/>
    <w:rsid w:val="00980252"/>
    <w:rsid w:val="00980542"/>
    <w:rsid w:val="00980CD5"/>
    <w:rsid w:val="00981CE7"/>
    <w:rsid w:val="00982D21"/>
    <w:rsid w:val="00984915"/>
    <w:rsid w:val="00986F45"/>
    <w:rsid w:val="009872B2"/>
    <w:rsid w:val="00990A43"/>
    <w:rsid w:val="00990CD5"/>
    <w:rsid w:val="009919E7"/>
    <w:rsid w:val="0099219C"/>
    <w:rsid w:val="00992989"/>
    <w:rsid w:val="009929C8"/>
    <w:rsid w:val="00993241"/>
    <w:rsid w:val="00997281"/>
    <w:rsid w:val="009A08B6"/>
    <w:rsid w:val="009A17C8"/>
    <w:rsid w:val="009A1E68"/>
    <w:rsid w:val="009A3692"/>
    <w:rsid w:val="009A499C"/>
    <w:rsid w:val="009A5127"/>
    <w:rsid w:val="009A5547"/>
    <w:rsid w:val="009A688D"/>
    <w:rsid w:val="009A695F"/>
    <w:rsid w:val="009A7259"/>
    <w:rsid w:val="009A7CAB"/>
    <w:rsid w:val="009B020F"/>
    <w:rsid w:val="009B0584"/>
    <w:rsid w:val="009B58BE"/>
    <w:rsid w:val="009B5C2C"/>
    <w:rsid w:val="009C053F"/>
    <w:rsid w:val="009C1A09"/>
    <w:rsid w:val="009C1F8A"/>
    <w:rsid w:val="009C2965"/>
    <w:rsid w:val="009C4C42"/>
    <w:rsid w:val="009C6CBA"/>
    <w:rsid w:val="009C6E7A"/>
    <w:rsid w:val="009C7A13"/>
    <w:rsid w:val="009C7F03"/>
    <w:rsid w:val="009D2063"/>
    <w:rsid w:val="009D255F"/>
    <w:rsid w:val="009D2FA2"/>
    <w:rsid w:val="009D3F28"/>
    <w:rsid w:val="009D66B5"/>
    <w:rsid w:val="009E048A"/>
    <w:rsid w:val="009E31B8"/>
    <w:rsid w:val="009E4AAC"/>
    <w:rsid w:val="009E526E"/>
    <w:rsid w:val="009E5282"/>
    <w:rsid w:val="009E5942"/>
    <w:rsid w:val="009E61B6"/>
    <w:rsid w:val="009E70DC"/>
    <w:rsid w:val="009E7F5C"/>
    <w:rsid w:val="009F0115"/>
    <w:rsid w:val="009F17C4"/>
    <w:rsid w:val="009F1836"/>
    <w:rsid w:val="009F2CA1"/>
    <w:rsid w:val="009F3D33"/>
    <w:rsid w:val="009F4883"/>
    <w:rsid w:val="009F48D9"/>
    <w:rsid w:val="009F4BDE"/>
    <w:rsid w:val="009F5173"/>
    <w:rsid w:val="009F5563"/>
    <w:rsid w:val="009F5924"/>
    <w:rsid w:val="00A015D1"/>
    <w:rsid w:val="00A02588"/>
    <w:rsid w:val="00A02BB4"/>
    <w:rsid w:val="00A03186"/>
    <w:rsid w:val="00A054DF"/>
    <w:rsid w:val="00A0558C"/>
    <w:rsid w:val="00A0773C"/>
    <w:rsid w:val="00A114E6"/>
    <w:rsid w:val="00A13A5D"/>
    <w:rsid w:val="00A14063"/>
    <w:rsid w:val="00A15217"/>
    <w:rsid w:val="00A16A06"/>
    <w:rsid w:val="00A16A28"/>
    <w:rsid w:val="00A17AAD"/>
    <w:rsid w:val="00A17CA3"/>
    <w:rsid w:val="00A22329"/>
    <w:rsid w:val="00A224F9"/>
    <w:rsid w:val="00A235D0"/>
    <w:rsid w:val="00A23D17"/>
    <w:rsid w:val="00A250FE"/>
    <w:rsid w:val="00A2572B"/>
    <w:rsid w:val="00A260FA"/>
    <w:rsid w:val="00A26301"/>
    <w:rsid w:val="00A26CA1"/>
    <w:rsid w:val="00A26DAB"/>
    <w:rsid w:val="00A278AC"/>
    <w:rsid w:val="00A30096"/>
    <w:rsid w:val="00A30794"/>
    <w:rsid w:val="00A30AE2"/>
    <w:rsid w:val="00A319A8"/>
    <w:rsid w:val="00A32233"/>
    <w:rsid w:val="00A324D9"/>
    <w:rsid w:val="00A32704"/>
    <w:rsid w:val="00A32BEE"/>
    <w:rsid w:val="00A334DE"/>
    <w:rsid w:val="00A348F6"/>
    <w:rsid w:val="00A34AFC"/>
    <w:rsid w:val="00A3632C"/>
    <w:rsid w:val="00A367CC"/>
    <w:rsid w:val="00A369A1"/>
    <w:rsid w:val="00A4000A"/>
    <w:rsid w:val="00A408D1"/>
    <w:rsid w:val="00A41354"/>
    <w:rsid w:val="00A43002"/>
    <w:rsid w:val="00A433A3"/>
    <w:rsid w:val="00A44BC8"/>
    <w:rsid w:val="00A44DAA"/>
    <w:rsid w:val="00A4523C"/>
    <w:rsid w:val="00A4551E"/>
    <w:rsid w:val="00A45B45"/>
    <w:rsid w:val="00A52898"/>
    <w:rsid w:val="00A532A2"/>
    <w:rsid w:val="00A542A3"/>
    <w:rsid w:val="00A54377"/>
    <w:rsid w:val="00A55F87"/>
    <w:rsid w:val="00A5783E"/>
    <w:rsid w:val="00A61003"/>
    <w:rsid w:val="00A61182"/>
    <w:rsid w:val="00A6185B"/>
    <w:rsid w:val="00A61CB6"/>
    <w:rsid w:val="00A627B6"/>
    <w:rsid w:val="00A64812"/>
    <w:rsid w:val="00A65618"/>
    <w:rsid w:val="00A65B6E"/>
    <w:rsid w:val="00A65F9C"/>
    <w:rsid w:val="00A6651D"/>
    <w:rsid w:val="00A67F18"/>
    <w:rsid w:val="00A70297"/>
    <w:rsid w:val="00A704A9"/>
    <w:rsid w:val="00A70557"/>
    <w:rsid w:val="00A7098B"/>
    <w:rsid w:val="00A717F0"/>
    <w:rsid w:val="00A71E8F"/>
    <w:rsid w:val="00A72A3E"/>
    <w:rsid w:val="00A739B7"/>
    <w:rsid w:val="00A73A9A"/>
    <w:rsid w:val="00A73AFF"/>
    <w:rsid w:val="00A74508"/>
    <w:rsid w:val="00A76061"/>
    <w:rsid w:val="00A7661C"/>
    <w:rsid w:val="00A7699A"/>
    <w:rsid w:val="00A76A4F"/>
    <w:rsid w:val="00A76F4F"/>
    <w:rsid w:val="00A774BC"/>
    <w:rsid w:val="00A778FF"/>
    <w:rsid w:val="00A81A6E"/>
    <w:rsid w:val="00A823AE"/>
    <w:rsid w:val="00A826FD"/>
    <w:rsid w:val="00A84E18"/>
    <w:rsid w:val="00A8529D"/>
    <w:rsid w:val="00A868FD"/>
    <w:rsid w:val="00A87FD4"/>
    <w:rsid w:val="00A917EB"/>
    <w:rsid w:val="00A91AF4"/>
    <w:rsid w:val="00A93D13"/>
    <w:rsid w:val="00A93F46"/>
    <w:rsid w:val="00A943DA"/>
    <w:rsid w:val="00A952F3"/>
    <w:rsid w:val="00A95807"/>
    <w:rsid w:val="00A96395"/>
    <w:rsid w:val="00A96693"/>
    <w:rsid w:val="00AA18A2"/>
    <w:rsid w:val="00AA2245"/>
    <w:rsid w:val="00AA3A8A"/>
    <w:rsid w:val="00AA44D2"/>
    <w:rsid w:val="00AA50D3"/>
    <w:rsid w:val="00AA5B6A"/>
    <w:rsid w:val="00AA6899"/>
    <w:rsid w:val="00AA6A42"/>
    <w:rsid w:val="00AB2FF5"/>
    <w:rsid w:val="00AB30EB"/>
    <w:rsid w:val="00AB3C6A"/>
    <w:rsid w:val="00AB7D44"/>
    <w:rsid w:val="00AC0044"/>
    <w:rsid w:val="00AC0945"/>
    <w:rsid w:val="00AC0B82"/>
    <w:rsid w:val="00AC296A"/>
    <w:rsid w:val="00AC2D42"/>
    <w:rsid w:val="00AC4B90"/>
    <w:rsid w:val="00AC651B"/>
    <w:rsid w:val="00AC6658"/>
    <w:rsid w:val="00AD02AE"/>
    <w:rsid w:val="00AD06F8"/>
    <w:rsid w:val="00AD1BEF"/>
    <w:rsid w:val="00AD316A"/>
    <w:rsid w:val="00AD3B15"/>
    <w:rsid w:val="00AD3D96"/>
    <w:rsid w:val="00AD402A"/>
    <w:rsid w:val="00AD47F3"/>
    <w:rsid w:val="00AD7BDF"/>
    <w:rsid w:val="00AD7EB2"/>
    <w:rsid w:val="00AD7EEA"/>
    <w:rsid w:val="00AE4CB0"/>
    <w:rsid w:val="00AE631D"/>
    <w:rsid w:val="00AE7134"/>
    <w:rsid w:val="00AE74CE"/>
    <w:rsid w:val="00AF0C76"/>
    <w:rsid w:val="00AF0D0C"/>
    <w:rsid w:val="00AF41A2"/>
    <w:rsid w:val="00AF4EF0"/>
    <w:rsid w:val="00AF6167"/>
    <w:rsid w:val="00AF67BC"/>
    <w:rsid w:val="00AF6CB5"/>
    <w:rsid w:val="00AF71FF"/>
    <w:rsid w:val="00AF7227"/>
    <w:rsid w:val="00B01BA2"/>
    <w:rsid w:val="00B01BD6"/>
    <w:rsid w:val="00B01CD0"/>
    <w:rsid w:val="00B02D8A"/>
    <w:rsid w:val="00B03A5D"/>
    <w:rsid w:val="00B0431D"/>
    <w:rsid w:val="00B04E09"/>
    <w:rsid w:val="00B068E6"/>
    <w:rsid w:val="00B0766E"/>
    <w:rsid w:val="00B10AA6"/>
    <w:rsid w:val="00B114BA"/>
    <w:rsid w:val="00B11845"/>
    <w:rsid w:val="00B11B85"/>
    <w:rsid w:val="00B11C98"/>
    <w:rsid w:val="00B13141"/>
    <w:rsid w:val="00B1389F"/>
    <w:rsid w:val="00B147A6"/>
    <w:rsid w:val="00B161A9"/>
    <w:rsid w:val="00B166FD"/>
    <w:rsid w:val="00B17B5E"/>
    <w:rsid w:val="00B20491"/>
    <w:rsid w:val="00B220B5"/>
    <w:rsid w:val="00B2223C"/>
    <w:rsid w:val="00B226CF"/>
    <w:rsid w:val="00B241FD"/>
    <w:rsid w:val="00B242A3"/>
    <w:rsid w:val="00B24A68"/>
    <w:rsid w:val="00B273A2"/>
    <w:rsid w:val="00B27D3C"/>
    <w:rsid w:val="00B30923"/>
    <w:rsid w:val="00B338A0"/>
    <w:rsid w:val="00B33DF4"/>
    <w:rsid w:val="00B36124"/>
    <w:rsid w:val="00B3791F"/>
    <w:rsid w:val="00B4029E"/>
    <w:rsid w:val="00B40438"/>
    <w:rsid w:val="00B40C7D"/>
    <w:rsid w:val="00B41E70"/>
    <w:rsid w:val="00B42EBE"/>
    <w:rsid w:val="00B43FC8"/>
    <w:rsid w:val="00B4546D"/>
    <w:rsid w:val="00B456E8"/>
    <w:rsid w:val="00B512FC"/>
    <w:rsid w:val="00B51F2E"/>
    <w:rsid w:val="00B52321"/>
    <w:rsid w:val="00B53930"/>
    <w:rsid w:val="00B5434B"/>
    <w:rsid w:val="00B552A7"/>
    <w:rsid w:val="00B55ABC"/>
    <w:rsid w:val="00B564E6"/>
    <w:rsid w:val="00B62EFA"/>
    <w:rsid w:val="00B63EED"/>
    <w:rsid w:val="00B659AA"/>
    <w:rsid w:val="00B67136"/>
    <w:rsid w:val="00B67968"/>
    <w:rsid w:val="00B70E95"/>
    <w:rsid w:val="00B71106"/>
    <w:rsid w:val="00B72D1A"/>
    <w:rsid w:val="00B732F4"/>
    <w:rsid w:val="00B74506"/>
    <w:rsid w:val="00B77A9C"/>
    <w:rsid w:val="00B80E9D"/>
    <w:rsid w:val="00B81B35"/>
    <w:rsid w:val="00B81E15"/>
    <w:rsid w:val="00B83088"/>
    <w:rsid w:val="00B836A7"/>
    <w:rsid w:val="00B85C47"/>
    <w:rsid w:val="00B86910"/>
    <w:rsid w:val="00B8718B"/>
    <w:rsid w:val="00B875C0"/>
    <w:rsid w:val="00B87E35"/>
    <w:rsid w:val="00B915C7"/>
    <w:rsid w:val="00B916ED"/>
    <w:rsid w:val="00B923A7"/>
    <w:rsid w:val="00B93C0D"/>
    <w:rsid w:val="00B93DFE"/>
    <w:rsid w:val="00B9446C"/>
    <w:rsid w:val="00B953FF"/>
    <w:rsid w:val="00B95E59"/>
    <w:rsid w:val="00B96DA0"/>
    <w:rsid w:val="00B96DDE"/>
    <w:rsid w:val="00B9731A"/>
    <w:rsid w:val="00B97FD0"/>
    <w:rsid w:val="00BA0E6F"/>
    <w:rsid w:val="00BA14BA"/>
    <w:rsid w:val="00BA36FC"/>
    <w:rsid w:val="00BA3FAE"/>
    <w:rsid w:val="00BA4F13"/>
    <w:rsid w:val="00BA5D03"/>
    <w:rsid w:val="00BA5E67"/>
    <w:rsid w:val="00BA76A4"/>
    <w:rsid w:val="00BB1883"/>
    <w:rsid w:val="00BB1F9A"/>
    <w:rsid w:val="00BB20F4"/>
    <w:rsid w:val="00BB2338"/>
    <w:rsid w:val="00BB39EE"/>
    <w:rsid w:val="00BB4F2B"/>
    <w:rsid w:val="00BB5469"/>
    <w:rsid w:val="00BB5C4F"/>
    <w:rsid w:val="00BB7744"/>
    <w:rsid w:val="00BB78F6"/>
    <w:rsid w:val="00BC0CFC"/>
    <w:rsid w:val="00BC0E8B"/>
    <w:rsid w:val="00BC1F44"/>
    <w:rsid w:val="00BC2907"/>
    <w:rsid w:val="00BC2AA2"/>
    <w:rsid w:val="00BC2ABD"/>
    <w:rsid w:val="00BC39BA"/>
    <w:rsid w:val="00BC698D"/>
    <w:rsid w:val="00BC72C6"/>
    <w:rsid w:val="00BC7B26"/>
    <w:rsid w:val="00BD0DBF"/>
    <w:rsid w:val="00BD22B7"/>
    <w:rsid w:val="00BD3AB6"/>
    <w:rsid w:val="00BD5176"/>
    <w:rsid w:val="00BD60FF"/>
    <w:rsid w:val="00BE1894"/>
    <w:rsid w:val="00BE1A5B"/>
    <w:rsid w:val="00BE2F01"/>
    <w:rsid w:val="00BE37EC"/>
    <w:rsid w:val="00BE5DD4"/>
    <w:rsid w:val="00BE6491"/>
    <w:rsid w:val="00BE7A0F"/>
    <w:rsid w:val="00BF0523"/>
    <w:rsid w:val="00BF273A"/>
    <w:rsid w:val="00BF3424"/>
    <w:rsid w:val="00BF44A8"/>
    <w:rsid w:val="00BF59E7"/>
    <w:rsid w:val="00BF5EC6"/>
    <w:rsid w:val="00BF6BDE"/>
    <w:rsid w:val="00BF7D0E"/>
    <w:rsid w:val="00BF7E78"/>
    <w:rsid w:val="00C00500"/>
    <w:rsid w:val="00C02B98"/>
    <w:rsid w:val="00C05376"/>
    <w:rsid w:val="00C05E57"/>
    <w:rsid w:val="00C06FA5"/>
    <w:rsid w:val="00C07BAD"/>
    <w:rsid w:val="00C07CCA"/>
    <w:rsid w:val="00C1036A"/>
    <w:rsid w:val="00C11866"/>
    <w:rsid w:val="00C13E72"/>
    <w:rsid w:val="00C15A13"/>
    <w:rsid w:val="00C16370"/>
    <w:rsid w:val="00C16B6D"/>
    <w:rsid w:val="00C16C19"/>
    <w:rsid w:val="00C17059"/>
    <w:rsid w:val="00C17262"/>
    <w:rsid w:val="00C17ABB"/>
    <w:rsid w:val="00C200AA"/>
    <w:rsid w:val="00C200CA"/>
    <w:rsid w:val="00C20C09"/>
    <w:rsid w:val="00C2360C"/>
    <w:rsid w:val="00C24095"/>
    <w:rsid w:val="00C24C03"/>
    <w:rsid w:val="00C2569A"/>
    <w:rsid w:val="00C25D09"/>
    <w:rsid w:val="00C30902"/>
    <w:rsid w:val="00C31116"/>
    <w:rsid w:val="00C35649"/>
    <w:rsid w:val="00C35A16"/>
    <w:rsid w:val="00C35D86"/>
    <w:rsid w:val="00C402DE"/>
    <w:rsid w:val="00C40451"/>
    <w:rsid w:val="00C4088D"/>
    <w:rsid w:val="00C40936"/>
    <w:rsid w:val="00C41375"/>
    <w:rsid w:val="00C41A2B"/>
    <w:rsid w:val="00C41B5D"/>
    <w:rsid w:val="00C41B73"/>
    <w:rsid w:val="00C423D7"/>
    <w:rsid w:val="00C424D3"/>
    <w:rsid w:val="00C424DE"/>
    <w:rsid w:val="00C4362E"/>
    <w:rsid w:val="00C44248"/>
    <w:rsid w:val="00C44D23"/>
    <w:rsid w:val="00C44EAB"/>
    <w:rsid w:val="00C459CE"/>
    <w:rsid w:val="00C46DE0"/>
    <w:rsid w:val="00C46E79"/>
    <w:rsid w:val="00C47091"/>
    <w:rsid w:val="00C51706"/>
    <w:rsid w:val="00C51C28"/>
    <w:rsid w:val="00C53C75"/>
    <w:rsid w:val="00C5454F"/>
    <w:rsid w:val="00C55CB5"/>
    <w:rsid w:val="00C60339"/>
    <w:rsid w:val="00C60938"/>
    <w:rsid w:val="00C6094B"/>
    <w:rsid w:val="00C609CE"/>
    <w:rsid w:val="00C61D05"/>
    <w:rsid w:val="00C61F48"/>
    <w:rsid w:val="00C62CD8"/>
    <w:rsid w:val="00C64AD4"/>
    <w:rsid w:val="00C656DC"/>
    <w:rsid w:val="00C66DAC"/>
    <w:rsid w:val="00C70734"/>
    <w:rsid w:val="00C70FFC"/>
    <w:rsid w:val="00C71BD8"/>
    <w:rsid w:val="00C748FD"/>
    <w:rsid w:val="00C8049A"/>
    <w:rsid w:val="00C814C7"/>
    <w:rsid w:val="00C82054"/>
    <w:rsid w:val="00C83394"/>
    <w:rsid w:val="00C8455F"/>
    <w:rsid w:val="00C8507B"/>
    <w:rsid w:val="00C861D7"/>
    <w:rsid w:val="00C86785"/>
    <w:rsid w:val="00C879D6"/>
    <w:rsid w:val="00C87B02"/>
    <w:rsid w:val="00C90760"/>
    <w:rsid w:val="00C91B28"/>
    <w:rsid w:val="00C925D1"/>
    <w:rsid w:val="00C92606"/>
    <w:rsid w:val="00C92B75"/>
    <w:rsid w:val="00C9339A"/>
    <w:rsid w:val="00C93955"/>
    <w:rsid w:val="00C9450C"/>
    <w:rsid w:val="00C949CA"/>
    <w:rsid w:val="00C9538D"/>
    <w:rsid w:val="00C954C7"/>
    <w:rsid w:val="00C95BD6"/>
    <w:rsid w:val="00C96290"/>
    <w:rsid w:val="00C96292"/>
    <w:rsid w:val="00C96BB8"/>
    <w:rsid w:val="00CA1B9E"/>
    <w:rsid w:val="00CA1DF3"/>
    <w:rsid w:val="00CA2B15"/>
    <w:rsid w:val="00CA3624"/>
    <w:rsid w:val="00CA3EDC"/>
    <w:rsid w:val="00CA487E"/>
    <w:rsid w:val="00CA601A"/>
    <w:rsid w:val="00CA67BF"/>
    <w:rsid w:val="00CA6E26"/>
    <w:rsid w:val="00CB0A29"/>
    <w:rsid w:val="00CB0CEE"/>
    <w:rsid w:val="00CB3CE5"/>
    <w:rsid w:val="00CB3FEA"/>
    <w:rsid w:val="00CB46A6"/>
    <w:rsid w:val="00CB47CC"/>
    <w:rsid w:val="00CB5EA1"/>
    <w:rsid w:val="00CB6869"/>
    <w:rsid w:val="00CB70F2"/>
    <w:rsid w:val="00CB7354"/>
    <w:rsid w:val="00CC0922"/>
    <w:rsid w:val="00CC0E59"/>
    <w:rsid w:val="00CC17B5"/>
    <w:rsid w:val="00CC2450"/>
    <w:rsid w:val="00CC245A"/>
    <w:rsid w:val="00CC55CC"/>
    <w:rsid w:val="00CC5754"/>
    <w:rsid w:val="00CC5B7D"/>
    <w:rsid w:val="00CD0380"/>
    <w:rsid w:val="00CD063B"/>
    <w:rsid w:val="00CD0F10"/>
    <w:rsid w:val="00CD15A0"/>
    <w:rsid w:val="00CD1675"/>
    <w:rsid w:val="00CD2285"/>
    <w:rsid w:val="00CD3C33"/>
    <w:rsid w:val="00CD3E89"/>
    <w:rsid w:val="00CD44D9"/>
    <w:rsid w:val="00CD556D"/>
    <w:rsid w:val="00CE04FD"/>
    <w:rsid w:val="00CE1073"/>
    <w:rsid w:val="00CE13E8"/>
    <w:rsid w:val="00CE1B3B"/>
    <w:rsid w:val="00CE246A"/>
    <w:rsid w:val="00CE2C57"/>
    <w:rsid w:val="00CE3D39"/>
    <w:rsid w:val="00CE45A5"/>
    <w:rsid w:val="00CE49EA"/>
    <w:rsid w:val="00CE5997"/>
    <w:rsid w:val="00CE673C"/>
    <w:rsid w:val="00CE6752"/>
    <w:rsid w:val="00CE68F0"/>
    <w:rsid w:val="00CE70C8"/>
    <w:rsid w:val="00CE7FE8"/>
    <w:rsid w:val="00CF1547"/>
    <w:rsid w:val="00CF1599"/>
    <w:rsid w:val="00CF168B"/>
    <w:rsid w:val="00CF1EA8"/>
    <w:rsid w:val="00CF3602"/>
    <w:rsid w:val="00CF37F3"/>
    <w:rsid w:val="00CF562A"/>
    <w:rsid w:val="00CF5D17"/>
    <w:rsid w:val="00D02BCE"/>
    <w:rsid w:val="00D02C19"/>
    <w:rsid w:val="00D039CD"/>
    <w:rsid w:val="00D03F91"/>
    <w:rsid w:val="00D0618A"/>
    <w:rsid w:val="00D0682E"/>
    <w:rsid w:val="00D07798"/>
    <w:rsid w:val="00D102D6"/>
    <w:rsid w:val="00D1328F"/>
    <w:rsid w:val="00D13501"/>
    <w:rsid w:val="00D13BBD"/>
    <w:rsid w:val="00D13FA4"/>
    <w:rsid w:val="00D14615"/>
    <w:rsid w:val="00D1492D"/>
    <w:rsid w:val="00D15030"/>
    <w:rsid w:val="00D161CE"/>
    <w:rsid w:val="00D167B2"/>
    <w:rsid w:val="00D16801"/>
    <w:rsid w:val="00D17753"/>
    <w:rsid w:val="00D17D50"/>
    <w:rsid w:val="00D20F23"/>
    <w:rsid w:val="00D21B83"/>
    <w:rsid w:val="00D256BD"/>
    <w:rsid w:val="00D26D23"/>
    <w:rsid w:val="00D27180"/>
    <w:rsid w:val="00D31267"/>
    <w:rsid w:val="00D31975"/>
    <w:rsid w:val="00D31E7C"/>
    <w:rsid w:val="00D324E9"/>
    <w:rsid w:val="00D34B67"/>
    <w:rsid w:val="00D4012C"/>
    <w:rsid w:val="00D40203"/>
    <w:rsid w:val="00D41833"/>
    <w:rsid w:val="00D42C77"/>
    <w:rsid w:val="00D437F1"/>
    <w:rsid w:val="00D439AE"/>
    <w:rsid w:val="00D47493"/>
    <w:rsid w:val="00D479D1"/>
    <w:rsid w:val="00D479F0"/>
    <w:rsid w:val="00D50BB5"/>
    <w:rsid w:val="00D50C65"/>
    <w:rsid w:val="00D50DED"/>
    <w:rsid w:val="00D53ADD"/>
    <w:rsid w:val="00D53C30"/>
    <w:rsid w:val="00D547DA"/>
    <w:rsid w:val="00D54F2D"/>
    <w:rsid w:val="00D551BC"/>
    <w:rsid w:val="00D5766C"/>
    <w:rsid w:val="00D577AD"/>
    <w:rsid w:val="00D5795A"/>
    <w:rsid w:val="00D60379"/>
    <w:rsid w:val="00D60812"/>
    <w:rsid w:val="00D6187C"/>
    <w:rsid w:val="00D61CD7"/>
    <w:rsid w:val="00D62110"/>
    <w:rsid w:val="00D630EF"/>
    <w:rsid w:val="00D643F6"/>
    <w:rsid w:val="00D66C33"/>
    <w:rsid w:val="00D66F0E"/>
    <w:rsid w:val="00D67D96"/>
    <w:rsid w:val="00D7119E"/>
    <w:rsid w:val="00D72256"/>
    <w:rsid w:val="00D75BB1"/>
    <w:rsid w:val="00D76560"/>
    <w:rsid w:val="00D773BD"/>
    <w:rsid w:val="00D774E2"/>
    <w:rsid w:val="00D779FC"/>
    <w:rsid w:val="00D80247"/>
    <w:rsid w:val="00D81C64"/>
    <w:rsid w:val="00D81EBF"/>
    <w:rsid w:val="00D8514E"/>
    <w:rsid w:val="00D85A42"/>
    <w:rsid w:val="00D8652F"/>
    <w:rsid w:val="00D8680A"/>
    <w:rsid w:val="00D86FDF"/>
    <w:rsid w:val="00D918B7"/>
    <w:rsid w:val="00D93958"/>
    <w:rsid w:val="00D958BA"/>
    <w:rsid w:val="00D95C18"/>
    <w:rsid w:val="00D97177"/>
    <w:rsid w:val="00D971B8"/>
    <w:rsid w:val="00DA06EB"/>
    <w:rsid w:val="00DA391F"/>
    <w:rsid w:val="00DA59DE"/>
    <w:rsid w:val="00DA6A61"/>
    <w:rsid w:val="00DA78BF"/>
    <w:rsid w:val="00DB23FD"/>
    <w:rsid w:val="00DB3669"/>
    <w:rsid w:val="00DB4519"/>
    <w:rsid w:val="00DB6471"/>
    <w:rsid w:val="00DB6DCE"/>
    <w:rsid w:val="00DC25AE"/>
    <w:rsid w:val="00DC26A2"/>
    <w:rsid w:val="00DC307F"/>
    <w:rsid w:val="00DC3DA7"/>
    <w:rsid w:val="00DC4BD3"/>
    <w:rsid w:val="00DC6411"/>
    <w:rsid w:val="00DC69A6"/>
    <w:rsid w:val="00DC7211"/>
    <w:rsid w:val="00DC72E0"/>
    <w:rsid w:val="00DD1D74"/>
    <w:rsid w:val="00DD2444"/>
    <w:rsid w:val="00DD3051"/>
    <w:rsid w:val="00DD3216"/>
    <w:rsid w:val="00DD322B"/>
    <w:rsid w:val="00DD5278"/>
    <w:rsid w:val="00DD5B09"/>
    <w:rsid w:val="00DD61AB"/>
    <w:rsid w:val="00DD6B4A"/>
    <w:rsid w:val="00DD7BC2"/>
    <w:rsid w:val="00DE0530"/>
    <w:rsid w:val="00DE128E"/>
    <w:rsid w:val="00DE29AA"/>
    <w:rsid w:val="00DE2E3E"/>
    <w:rsid w:val="00DE3C1D"/>
    <w:rsid w:val="00DE541B"/>
    <w:rsid w:val="00DE5439"/>
    <w:rsid w:val="00DE5EA2"/>
    <w:rsid w:val="00DE65B2"/>
    <w:rsid w:val="00DE6948"/>
    <w:rsid w:val="00DE7351"/>
    <w:rsid w:val="00DF00BD"/>
    <w:rsid w:val="00DF01C2"/>
    <w:rsid w:val="00DF0C4E"/>
    <w:rsid w:val="00DF2151"/>
    <w:rsid w:val="00DF300B"/>
    <w:rsid w:val="00DF3023"/>
    <w:rsid w:val="00DF5EA3"/>
    <w:rsid w:val="00DF6078"/>
    <w:rsid w:val="00DF6300"/>
    <w:rsid w:val="00DF752F"/>
    <w:rsid w:val="00E003CF"/>
    <w:rsid w:val="00E00B0B"/>
    <w:rsid w:val="00E040DC"/>
    <w:rsid w:val="00E041D9"/>
    <w:rsid w:val="00E04FAF"/>
    <w:rsid w:val="00E050CD"/>
    <w:rsid w:val="00E062DE"/>
    <w:rsid w:val="00E128DD"/>
    <w:rsid w:val="00E13F1A"/>
    <w:rsid w:val="00E207EB"/>
    <w:rsid w:val="00E214A2"/>
    <w:rsid w:val="00E214C6"/>
    <w:rsid w:val="00E21D9C"/>
    <w:rsid w:val="00E22DAA"/>
    <w:rsid w:val="00E2435E"/>
    <w:rsid w:val="00E24955"/>
    <w:rsid w:val="00E25659"/>
    <w:rsid w:val="00E26546"/>
    <w:rsid w:val="00E269D2"/>
    <w:rsid w:val="00E27B8C"/>
    <w:rsid w:val="00E304BD"/>
    <w:rsid w:val="00E30B81"/>
    <w:rsid w:val="00E316DA"/>
    <w:rsid w:val="00E34A2F"/>
    <w:rsid w:val="00E35739"/>
    <w:rsid w:val="00E35872"/>
    <w:rsid w:val="00E40143"/>
    <w:rsid w:val="00E40910"/>
    <w:rsid w:val="00E41D96"/>
    <w:rsid w:val="00E4250F"/>
    <w:rsid w:val="00E4284B"/>
    <w:rsid w:val="00E43C09"/>
    <w:rsid w:val="00E449B9"/>
    <w:rsid w:val="00E456A0"/>
    <w:rsid w:val="00E45A1C"/>
    <w:rsid w:val="00E4771A"/>
    <w:rsid w:val="00E50020"/>
    <w:rsid w:val="00E51357"/>
    <w:rsid w:val="00E51827"/>
    <w:rsid w:val="00E52223"/>
    <w:rsid w:val="00E54628"/>
    <w:rsid w:val="00E555B7"/>
    <w:rsid w:val="00E555E2"/>
    <w:rsid w:val="00E5560C"/>
    <w:rsid w:val="00E56368"/>
    <w:rsid w:val="00E60068"/>
    <w:rsid w:val="00E6011C"/>
    <w:rsid w:val="00E61AD0"/>
    <w:rsid w:val="00E634D7"/>
    <w:rsid w:val="00E647E3"/>
    <w:rsid w:val="00E647F8"/>
    <w:rsid w:val="00E6549E"/>
    <w:rsid w:val="00E65628"/>
    <w:rsid w:val="00E658AF"/>
    <w:rsid w:val="00E66230"/>
    <w:rsid w:val="00E66711"/>
    <w:rsid w:val="00E67187"/>
    <w:rsid w:val="00E70A91"/>
    <w:rsid w:val="00E73C29"/>
    <w:rsid w:val="00E745DD"/>
    <w:rsid w:val="00E76F7E"/>
    <w:rsid w:val="00E81687"/>
    <w:rsid w:val="00E81DAA"/>
    <w:rsid w:val="00E82655"/>
    <w:rsid w:val="00E834D5"/>
    <w:rsid w:val="00E85942"/>
    <w:rsid w:val="00E85EF8"/>
    <w:rsid w:val="00E8721F"/>
    <w:rsid w:val="00E902CC"/>
    <w:rsid w:val="00E90587"/>
    <w:rsid w:val="00E905A1"/>
    <w:rsid w:val="00E9073B"/>
    <w:rsid w:val="00E90D7F"/>
    <w:rsid w:val="00E919C9"/>
    <w:rsid w:val="00E92125"/>
    <w:rsid w:val="00E93284"/>
    <w:rsid w:val="00E94854"/>
    <w:rsid w:val="00E95F2A"/>
    <w:rsid w:val="00E96154"/>
    <w:rsid w:val="00E96794"/>
    <w:rsid w:val="00E97DE6"/>
    <w:rsid w:val="00EA291F"/>
    <w:rsid w:val="00EA414E"/>
    <w:rsid w:val="00EA46E1"/>
    <w:rsid w:val="00EA4A1D"/>
    <w:rsid w:val="00EA4EC6"/>
    <w:rsid w:val="00EA594D"/>
    <w:rsid w:val="00EA59B1"/>
    <w:rsid w:val="00EA5D55"/>
    <w:rsid w:val="00EA655C"/>
    <w:rsid w:val="00EA7386"/>
    <w:rsid w:val="00EA7896"/>
    <w:rsid w:val="00EA7D2D"/>
    <w:rsid w:val="00EB0B3E"/>
    <w:rsid w:val="00EB15DA"/>
    <w:rsid w:val="00EB27E9"/>
    <w:rsid w:val="00EB2DEE"/>
    <w:rsid w:val="00EB5922"/>
    <w:rsid w:val="00EB5C51"/>
    <w:rsid w:val="00EB65FD"/>
    <w:rsid w:val="00EB6796"/>
    <w:rsid w:val="00EB6E5F"/>
    <w:rsid w:val="00EC0CBF"/>
    <w:rsid w:val="00EC14DF"/>
    <w:rsid w:val="00EC21B0"/>
    <w:rsid w:val="00EC2923"/>
    <w:rsid w:val="00EC29F7"/>
    <w:rsid w:val="00EC4744"/>
    <w:rsid w:val="00EC4D5C"/>
    <w:rsid w:val="00EC6A17"/>
    <w:rsid w:val="00EC6B62"/>
    <w:rsid w:val="00EC6E73"/>
    <w:rsid w:val="00EC74E4"/>
    <w:rsid w:val="00ED05D8"/>
    <w:rsid w:val="00ED0926"/>
    <w:rsid w:val="00ED10DD"/>
    <w:rsid w:val="00ED15FC"/>
    <w:rsid w:val="00ED25C3"/>
    <w:rsid w:val="00ED48FF"/>
    <w:rsid w:val="00ED4F1D"/>
    <w:rsid w:val="00ED50BF"/>
    <w:rsid w:val="00ED65E0"/>
    <w:rsid w:val="00ED6B8E"/>
    <w:rsid w:val="00ED6D95"/>
    <w:rsid w:val="00ED6F02"/>
    <w:rsid w:val="00ED72C1"/>
    <w:rsid w:val="00EE1C1D"/>
    <w:rsid w:val="00EE3DC2"/>
    <w:rsid w:val="00EE3E01"/>
    <w:rsid w:val="00EE44C8"/>
    <w:rsid w:val="00EE4DCA"/>
    <w:rsid w:val="00EE5189"/>
    <w:rsid w:val="00EE545E"/>
    <w:rsid w:val="00EE59E7"/>
    <w:rsid w:val="00EE6BA5"/>
    <w:rsid w:val="00EE7350"/>
    <w:rsid w:val="00EE766B"/>
    <w:rsid w:val="00EE77CD"/>
    <w:rsid w:val="00EE7C36"/>
    <w:rsid w:val="00EF02C4"/>
    <w:rsid w:val="00EF1ECE"/>
    <w:rsid w:val="00EF201E"/>
    <w:rsid w:val="00EF610A"/>
    <w:rsid w:val="00EF68EE"/>
    <w:rsid w:val="00EF77AD"/>
    <w:rsid w:val="00F01400"/>
    <w:rsid w:val="00F0192F"/>
    <w:rsid w:val="00F05AA4"/>
    <w:rsid w:val="00F05DE3"/>
    <w:rsid w:val="00F06512"/>
    <w:rsid w:val="00F10108"/>
    <w:rsid w:val="00F1072A"/>
    <w:rsid w:val="00F14B47"/>
    <w:rsid w:val="00F154E9"/>
    <w:rsid w:val="00F165C5"/>
    <w:rsid w:val="00F17D24"/>
    <w:rsid w:val="00F23814"/>
    <w:rsid w:val="00F23AC8"/>
    <w:rsid w:val="00F2598E"/>
    <w:rsid w:val="00F26372"/>
    <w:rsid w:val="00F26462"/>
    <w:rsid w:val="00F3061D"/>
    <w:rsid w:val="00F32065"/>
    <w:rsid w:val="00F35186"/>
    <w:rsid w:val="00F37217"/>
    <w:rsid w:val="00F40CD7"/>
    <w:rsid w:val="00F40D52"/>
    <w:rsid w:val="00F40D6D"/>
    <w:rsid w:val="00F41BB6"/>
    <w:rsid w:val="00F420A4"/>
    <w:rsid w:val="00F42173"/>
    <w:rsid w:val="00F43948"/>
    <w:rsid w:val="00F43B2E"/>
    <w:rsid w:val="00F44458"/>
    <w:rsid w:val="00F44BDA"/>
    <w:rsid w:val="00F46B51"/>
    <w:rsid w:val="00F46E5F"/>
    <w:rsid w:val="00F47E44"/>
    <w:rsid w:val="00F506C7"/>
    <w:rsid w:val="00F50BB2"/>
    <w:rsid w:val="00F50ECD"/>
    <w:rsid w:val="00F52E21"/>
    <w:rsid w:val="00F544E4"/>
    <w:rsid w:val="00F548BB"/>
    <w:rsid w:val="00F54FCD"/>
    <w:rsid w:val="00F559EF"/>
    <w:rsid w:val="00F561B7"/>
    <w:rsid w:val="00F565E1"/>
    <w:rsid w:val="00F56AE7"/>
    <w:rsid w:val="00F60A3C"/>
    <w:rsid w:val="00F60C61"/>
    <w:rsid w:val="00F6237C"/>
    <w:rsid w:val="00F62D4C"/>
    <w:rsid w:val="00F62E24"/>
    <w:rsid w:val="00F652DB"/>
    <w:rsid w:val="00F65A0C"/>
    <w:rsid w:val="00F66E4D"/>
    <w:rsid w:val="00F7114A"/>
    <w:rsid w:val="00F7116F"/>
    <w:rsid w:val="00F7120A"/>
    <w:rsid w:val="00F71B38"/>
    <w:rsid w:val="00F722B4"/>
    <w:rsid w:val="00F72364"/>
    <w:rsid w:val="00F734AA"/>
    <w:rsid w:val="00F7391E"/>
    <w:rsid w:val="00F75541"/>
    <w:rsid w:val="00F75E56"/>
    <w:rsid w:val="00F772CE"/>
    <w:rsid w:val="00F772D4"/>
    <w:rsid w:val="00F80D22"/>
    <w:rsid w:val="00F81771"/>
    <w:rsid w:val="00F81E67"/>
    <w:rsid w:val="00F82959"/>
    <w:rsid w:val="00F8331E"/>
    <w:rsid w:val="00F839CD"/>
    <w:rsid w:val="00F83CCF"/>
    <w:rsid w:val="00F8449A"/>
    <w:rsid w:val="00F84581"/>
    <w:rsid w:val="00F85552"/>
    <w:rsid w:val="00F856F0"/>
    <w:rsid w:val="00F86BE9"/>
    <w:rsid w:val="00F8728D"/>
    <w:rsid w:val="00F87CF3"/>
    <w:rsid w:val="00F917BF"/>
    <w:rsid w:val="00F91B79"/>
    <w:rsid w:val="00F92FF8"/>
    <w:rsid w:val="00F93D21"/>
    <w:rsid w:val="00F95783"/>
    <w:rsid w:val="00F96DFD"/>
    <w:rsid w:val="00F97AC4"/>
    <w:rsid w:val="00F97EC8"/>
    <w:rsid w:val="00FA307F"/>
    <w:rsid w:val="00FA32B7"/>
    <w:rsid w:val="00FA5348"/>
    <w:rsid w:val="00FA7038"/>
    <w:rsid w:val="00FB1206"/>
    <w:rsid w:val="00FB150C"/>
    <w:rsid w:val="00FB1AF0"/>
    <w:rsid w:val="00FB2168"/>
    <w:rsid w:val="00FB2399"/>
    <w:rsid w:val="00FB281B"/>
    <w:rsid w:val="00FB3B79"/>
    <w:rsid w:val="00FB685E"/>
    <w:rsid w:val="00FB6AD2"/>
    <w:rsid w:val="00FB75E4"/>
    <w:rsid w:val="00FB7616"/>
    <w:rsid w:val="00FB79C0"/>
    <w:rsid w:val="00FC1388"/>
    <w:rsid w:val="00FC28CD"/>
    <w:rsid w:val="00FC2E48"/>
    <w:rsid w:val="00FC30BF"/>
    <w:rsid w:val="00FC3144"/>
    <w:rsid w:val="00FC3EE0"/>
    <w:rsid w:val="00FC4003"/>
    <w:rsid w:val="00FC4006"/>
    <w:rsid w:val="00FC4F13"/>
    <w:rsid w:val="00FC5A03"/>
    <w:rsid w:val="00FC6B73"/>
    <w:rsid w:val="00FD346C"/>
    <w:rsid w:val="00FD3B47"/>
    <w:rsid w:val="00FD3FF5"/>
    <w:rsid w:val="00FD50AD"/>
    <w:rsid w:val="00FD57B4"/>
    <w:rsid w:val="00FD5A2F"/>
    <w:rsid w:val="00FE0482"/>
    <w:rsid w:val="00FE0E4B"/>
    <w:rsid w:val="00FE1325"/>
    <w:rsid w:val="00FE197C"/>
    <w:rsid w:val="00FE1986"/>
    <w:rsid w:val="00FE25A3"/>
    <w:rsid w:val="00FE378D"/>
    <w:rsid w:val="00FE37FA"/>
    <w:rsid w:val="00FE5A3E"/>
    <w:rsid w:val="00FE68EE"/>
    <w:rsid w:val="00FF079F"/>
    <w:rsid w:val="00FF1039"/>
    <w:rsid w:val="00FF17BE"/>
    <w:rsid w:val="00FF1B7C"/>
    <w:rsid w:val="00FF1DF3"/>
    <w:rsid w:val="00FF2437"/>
    <w:rsid w:val="00FF2BC6"/>
    <w:rsid w:val="00FF466B"/>
    <w:rsid w:val="00FF5D96"/>
    <w:rsid w:val="00FF79B4"/>
    <w:rsid w:val="00FF7E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799950-5A6B-4FC5-8D51-440D928F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69A"/>
    <w:rPr>
      <w:sz w:val="24"/>
      <w:szCs w:val="24"/>
    </w:rPr>
  </w:style>
  <w:style w:type="paragraph" w:styleId="Ttulo1">
    <w:name w:val="heading 1"/>
    <w:basedOn w:val="Normal"/>
    <w:next w:val="Normal"/>
    <w:link w:val="Ttulo1Char"/>
    <w:uiPriority w:val="99"/>
    <w:qFormat/>
    <w:rsid w:val="00C2569A"/>
    <w:pPr>
      <w:keepNext/>
      <w:outlineLvl w:val="0"/>
    </w:pPr>
    <w:rPr>
      <w:b/>
      <w:bCs/>
    </w:rPr>
  </w:style>
  <w:style w:type="paragraph" w:styleId="Ttulo2">
    <w:name w:val="heading 2"/>
    <w:basedOn w:val="Normal"/>
    <w:next w:val="Normal"/>
    <w:link w:val="Ttulo2Char"/>
    <w:uiPriority w:val="99"/>
    <w:qFormat/>
    <w:rsid w:val="00C2569A"/>
    <w:pPr>
      <w:keepNext/>
      <w:jc w:val="both"/>
      <w:outlineLvl w:val="1"/>
    </w:pPr>
    <w:rPr>
      <w:szCs w:val="20"/>
    </w:rPr>
  </w:style>
  <w:style w:type="paragraph" w:styleId="Ttulo3">
    <w:name w:val="heading 3"/>
    <w:basedOn w:val="Normal"/>
    <w:next w:val="Normal"/>
    <w:link w:val="Ttulo3Char"/>
    <w:uiPriority w:val="99"/>
    <w:qFormat/>
    <w:rsid w:val="00C2569A"/>
    <w:pPr>
      <w:keepNext/>
      <w:ind w:firstLine="136"/>
      <w:outlineLvl w:val="2"/>
    </w:pPr>
    <w:rPr>
      <w:rFonts w:ascii="Arial" w:hAnsi="Arial" w:cs="Arial"/>
      <w:i/>
      <w:iCs/>
      <w:sz w:val="16"/>
      <w:szCs w:val="14"/>
    </w:rPr>
  </w:style>
  <w:style w:type="paragraph" w:styleId="Ttulo4">
    <w:name w:val="heading 4"/>
    <w:basedOn w:val="Normal"/>
    <w:next w:val="Normal"/>
    <w:link w:val="Ttulo4Char"/>
    <w:uiPriority w:val="99"/>
    <w:qFormat/>
    <w:rsid w:val="00C2569A"/>
    <w:pPr>
      <w:keepNext/>
      <w:ind w:firstLine="136"/>
      <w:jc w:val="center"/>
      <w:outlineLvl w:val="3"/>
    </w:pPr>
    <w:rPr>
      <w:rFonts w:ascii="Arial" w:hAnsi="Arial" w:cs="Arial"/>
      <w:b/>
      <w:bCs/>
      <w:i/>
      <w:iCs/>
      <w:sz w:val="16"/>
      <w:szCs w:val="14"/>
      <w:lang w:val="en-US"/>
    </w:rPr>
  </w:style>
  <w:style w:type="paragraph" w:styleId="Ttulo5">
    <w:name w:val="heading 5"/>
    <w:basedOn w:val="Normal"/>
    <w:next w:val="Normal"/>
    <w:link w:val="Ttulo5Char"/>
    <w:uiPriority w:val="99"/>
    <w:qFormat/>
    <w:rsid w:val="00C2569A"/>
    <w:pPr>
      <w:keepNext/>
      <w:autoSpaceDE w:val="0"/>
      <w:autoSpaceDN w:val="0"/>
      <w:adjustRightInd w:val="0"/>
      <w:jc w:val="both"/>
      <w:outlineLvl w:val="4"/>
    </w:pPr>
    <w:rPr>
      <w:b/>
    </w:rPr>
  </w:style>
  <w:style w:type="paragraph" w:styleId="Ttulo6">
    <w:name w:val="heading 6"/>
    <w:basedOn w:val="Normal"/>
    <w:next w:val="Normal"/>
    <w:link w:val="Ttulo6Char"/>
    <w:uiPriority w:val="99"/>
    <w:qFormat/>
    <w:rsid w:val="00C2569A"/>
    <w:pPr>
      <w:keepNext/>
      <w:outlineLvl w:val="5"/>
    </w:pPr>
    <w:rPr>
      <w:rFonts w:ascii="Arial" w:hAnsi="Arial" w:cs="Arial"/>
      <w:b/>
      <w:bCs/>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214F0"/>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1214F0"/>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1214F0"/>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1214F0"/>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1214F0"/>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1214F0"/>
    <w:rPr>
      <w:rFonts w:ascii="Calibri" w:hAnsi="Calibri" w:cs="Times New Roman"/>
      <w:b/>
      <w:bCs/>
    </w:rPr>
  </w:style>
  <w:style w:type="paragraph" w:styleId="Recuodecorpodetexto3">
    <w:name w:val="Body Text Indent 3"/>
    <w:basedOn w:val="Normal"/>
    <w:link w:val="Recuodecorpodetexto3Char"/>
    <w:uiPriority w:val="99"/>
    <w:rsid w:val="00C2569A"/>
    <w:pPr>
      <w:ind w:left="3060"/>
    </w:pPr>
    <w:rPr>
      <w:b/>
      <w:bCs/>
      <w:i/>
      <w:iCs/>
    </w:rPr>
  </w:style>
  <w:style w:type="character" w:customStyle="1" w:styleId="Recuodecorpodetexto3Char">
    <w:name w:val="Recuo de corpo de texto 3 Char"/>
    <w:basedOn w:val="Fontepargpadro"/>
    <w:link w:val="Recuodecorpodetexto3"/>
    <w:uiPriority w:val="99"/>
    <w:semiHidden/>
    <w:locked/>
    <w:rsid w:val="001214F0"/>
    <w:rPr>
      <w:rFonts w:cs="Times New Roman"/>
      <w:sz w:val="16"/>
      <w:szCs w:val="16"/>
    </w:rPr>
  </w:style>
  <w:style w:type="paragraph" w:styleId="Cabealho">
    <w:name w:val="header"/>
    <w:basedOn w:val="Normal"/>
    <w:link w:val="CabealhoChar"/>
    <w:uiPriority w:val="99"/>
    <w:rsid w:val="00C2569A"/>
    <w:pPr>
      <w:widowControl w:val="0"/>
      <w:tabs>
        <w:tab w:val="center" w:pos="4419"/>
        <w:tab w:val="right" w:pos="8838"/>
      </w:tabs>
    </w:pPr>
    <w:rPr>
      <w:sz w:val="20"/>
      <w:szCs w:val="20"/>
      <w:lang w:eastAsia="en-US"/>
    </w:rPr>
  </w:style>
  <w:style w:type="character" w:customStyle="1" w:styleId="CabealhoChar">
    <w:name w:val="Cabeçalho Char"/>
    <w:basedOn w:val="Fontepargpadro"/>
    <w:link w:val="Cabealho"/>
    <w:uiPriority w:val="99"/>
    <w:semiHidden/>
    <w:locked/>
    <w:rsid w:val="001214F0"/>
    <w:rPr>
      <w:rFonts w:cs="Times New Roman"/>
      <w:sz w:val="24"/>
      <w:szCs w:val="24"/>
    </w:rPr>
  </w:style>
  <w:style w:type="paragraph" w:styleId="Recuodecorpodetexto">
    <w:name w:val="Body Text Indent"/>
    <w:basedOn w:val="Normal"/>
    <w:link w:val="RecuodecorpodetextoChar"/>
    <w:rsid w:val="00C2569A"/>
    <w:pPr>
      <w:ind w:firstLine="708"/>
      <w:jc w:val="both"/>
    </w:pPr>
  </w:style>
  <w:style w:type="character" w:customStyle="1" w:styleId="RecuodecorpodetextoChar">
    <w:name w:val="Recuo de corpo de texto Char"/>
    <w:basedOn w:val="Fontepargpadro"/>
    <w:link w:val="Recuodecorpodetexto"/>
    <w:locked/>
    <w:rsid w:val="00563922"/>
    <w:rPr>
      <w:rFonts w:cs="Times New Roman"/>
      <w:sz w:val="24"/>
      <w:szCs w:val="24"/>
    </w:rPr>
  </w:style>
  <w:style w:type="paragraph" w:styleId="Recuodecorpodetexto2">
    <w:name w:val="Body Text Indent 2"/>
    <w:basedOn w:val="Normal"/>
    <w:link w:val="Recuodecorpodetexto2Char"/>
    <w:uiPriority w:val="99"/>
    <w:rsid w:val="00C2569A"/>
    <w:pPr>
      <w:spacing w:after="120"/>
      <w:ind w:firstLine="709"/>
      <w:jc w:val="both"/>
    </w:pPr>
    <w:rPr>
      <w:szCs w:val="20"/>
    </w:rPr>
  </w:style>
  <w:style w:type="character" w:customStyle="1" w:styleId="Recuodecorpodetexto2Char">
    <w:name w:val="Recuo de corpo de texto 2 Char"/>
    <w:basedOn w:val="Fontepargpadro"/>
    <w:link w:val="Recuodecorpodetexto2"/>
    <w:uiPriority w:val="99"/>
    <w:locked/>
    <w:rsid w:val="00332895"/>
    <w:rPr>
      <w:rFonts w:cs="Times New Roman"/>
      <w:sz w:val="24"/>
    </w:rPr>
  </w:style>
  <w:style w:type="paragraph" w:customStyle="1" w:styleId="xl29">
    <w:name w:val="xl29"/>
    <w:basedOn w:val="Normal"/>
    <w:uiPriority w:val="99"/>
    <w:rsid w:val="00C2569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0">
    <w:name w:val="xl30"/>
    <w:basedOn w:val="Normal"/>
    <w:uiPriority w:val="99"/>
    <w:rsid w:val="00C2569A"/>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1">
    <w:name w:val="xl31"/>
    <w:basedOn w:val="Normal"/>
    <w:uiPriority w:val="99"/>
    <w:rsid w:val="00C2569A"/>
    <w:pPr>
      <w:pBdr>
        <w:top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2">
    <w:name w:val="xl32"/>
    <w:basedOn w:val="Normal"/>
    <w:uiPriority w:val="99"/>
    <w:rsid w:val="00C2569A"/>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3">
    <w:name w:val="xl33"/>
    <w:basedOn w:val="Normal"/>
    <w:uiPriority w:val="99"/>
    <w:rsid w:val="00C2569A"/>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4">
    <w:name w:val="xl34"/>
    <w:basedOn w:val="Normal"/>
    <w:uiPriority w:val="99"/>
    <w:rsid w:val="00C2569A"/>
    <w:pPr>
      <w:pBdr>
        <w:bottom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5">
    <w:name w:val="xl35"/>
    <w:basedOn w:val="Normal"/>
    <w:uiPriority w:val="99"/>
    <w:rsid w:val="00C2569A"/>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6">
    <w:name w:val="xl36"/>
    <w:basedOn w:val="Normal"/>
    <w:uiPriority w:val="99"/>
    <w:rsid w:val="00C256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7">
    <w:name w:val="xl37"/>
    <w:basedOn w:val="Normal"/>
    <w:uiPriority w:val="99"/>
    <w:rsid w:val="00C256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8">
    <w:name w:val="xl38"/>
    <w:basedOn w:val="Normal"/>
    <w:uiPriority w:val="99"/>
    <w:rsid w:val="00C2569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9">
    <w:name w:val="xl39"/>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40">
    <w:name w:val="xl40"/>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41">
    <w:name w:val="xl41"/>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42">
    <w:name w:val="xl42"/>
    <w:basedOn w:val="Normal"/>
    <w:uiPriority w:val="99"/>
    <w:rsid w:val="00C2569A"/>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sz w:val="14"/>
      <w:szCs w:val="14"/>
    </w:rPr>
  </w:style>
  <w:style w:type="paragraph" w:customStyle="1" w:styleId="xl43">
    <w:name w:val="xl43"/>
    <w:basedOn w:val="Normal"/>
    <w:uiPriority w:val="99"/>
    <w:rsid w:val="00C2569A"/>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sz w:val="14"/>
      <w:szCs w:val="14"/>
    </w:rPr>
  </w:style>
  <w:style w:type="paragraph" w:customStyle="1" w:styleId="xl44">
    <w:name w:val="xl44"/>
    <w:basedOn w:val="Normal"/>
    <w:uiPriority w:val="99"/>
    <w:rsid w:val="00C2569A"/>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4"/>
      <w:szCs w:val="14"/>
    </w:rPr>
  </w:style>
  <w:style w:type="paragraph" w:customStyle="1" w:styleId="xl27">
    <w:name w:val="xl27"/>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28">
    <w:name w:val="xl28"/>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styleId="Rodap">
    <w:name w:val="footer"/>
    <w:basedOn w:val="Normal"/>
    <w:link w:val="RodapChar"/>
    <w:uiPriority w:val="99"/>
    <w:rsid w:val="00C2569A"/>
    <w:pPr>
      <w:tabs>
        <w:tab w:val="center" w:pos="4419"/>
        <w:tab w:val="right" w:pos="8838"/>
      </w:tabs>
    </w:pPr>
  </w:style>
  <w:style w:type="character" w:customStyle="1" w:styleId="RodapChar">
    <w:name w:val="Rodapé Char"/>
    <w:basedOn w:val="Fontepargpadro"/>
    <w:link w:val="Rodap"/>
    <w:uiPriority w:val="99"/>
    <w:semiHidden/>
    <w:locked/>
    <w:rsid w:val="001214F0"/>
    <w:rPr>
      <w:rFonts w:cs="Times New Roman"/>
      <w:sz w:val="24"/>
      <w:szCs w:val="24"/>
    </w:rPr>
  </w:style>
  <w:style w:type="character" w:styleId="Nmerodepgina">
    <w:name w:val="page number"/>
    <w:basedOn w:val="Fontepargpadro"/>
    <w:uiPriority w:val="99"/>
    <w:rsid w:val="00C2569A"/>
    <w:rPr>
      <w:rFonts w:cs="Times New Roman"/>
    </w:rPr>
  </w:style>
  <w:style w:type="paragraph" w:styleId="Corpodetexto">
    <w:name w:val="Body Text"/>
    <w:basedOn w:val="Normal"/>
    <w:link w:val="CorpodetextoChar"/>
    <w:uiPriority w:val="99"/>
    <w:rsid w:val="00C2569A"/>
    <w:pPr>
      <w:jc w:val="both"/>
    </w:pPr>
    <w:rPr>
      <w:szCs w:val="20"/>
    </w:rPr>
  </w:style>
  <w:style w:type="character" w:customStyle="1" w:styleId="CorpodetextoChar">
    <w:name w:val="Corpo de texto Char"/>
    <w:basedOn w:val="Fontepargpadro"/>
    <w:link w:val="Corpodetexto"/>
    <w:uiPriority w:val="99"/>
    <w:semiHidden/>
    <w:locked/>
    <w:rsid w:val="001214F0"/>
    <w:rPr>
      <w:rFonts w:cs="Times New Roman"/>
      <w:sz w:val="24"/>
      <w:szCs w:val="24"/>
    </w:rPr>
  </w:style>
  <w:style w:type="paragraph" w:styleId="Textodenotaderodap">
    <w:name w:val="footnote text"/>
    <w:basedOn w:val="Normal"/>
    <w:link w:val="TextodenotaderodapChar"/>
    <w:uiPriority w:val="99"/>
    <w:semiHidden/>
    <w:rsid w:val="00C2569A"/>
    <w:rPr>
      <w:sz w:val="20"/>
      <w:szCs w:val="20"/>
    </w:rPr>
  </w:style>
  <w:style w:type="character" w:customStyle="1" w:styleId="TextodenotaderodapChar">
    <w:name w:val="Texto de nota de rodapé Char"/>
    <w:basedOn w:val="Fontepargpadro"/>
    <w:link w:val="Textodenotaderodap"/>
    <w:uiPriority w:val="99"/>
    <w:semiHidden/>
    <w:locked/>
    <w:rsid w:val="001214F0"/>
    <w:rPr>
      <w:rFonts w:cs="Times New Roman"/>
      <w:sz w:val="20"/>
      <w:szCs w:val="20"/>
    </w:rPr>
  </w:style>
  <w:style w:type="paragraph" w:customStyle="1" w:styleId="xl24">
    <w:name w:val="xl24"/>
    <w:basedOn w:val="Normal"/>
    <w:uiPriority w:val="99"/>
    <w:rsid w:val="00C2569A"/>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color w:val="000000"/>
      <w:sz w:val="14"/>
      <w:szCs w:val="14"/>
    </w:rPr>
  </w:style>
  <w:style w:type="paragraph" w:customStyle="1" w:styleId="xl25">
    <w:name w:val="xl25"/>
    <w:basedOn w:val="Normal"/>
    <w:uiPriority w:val="99"/>
    <w:rsid w:val="00C2569A"/>
    <w:pPr>
      <w:pBdr>
        <w:top w:val="single" w:sz="4" w:space="0" w:color="auto"/>
        <w:bottom w:val="single" w:sz="4" w:space="0" w:color="auto"/>
      </w:pBdr>
      <w:spacing w:before="100" w:beforeAutospacing="1" w:after="100" w:afterAutospacing="1"/>
      <w:jc w:val="center"/>
    </w:pPr>
    <w:rPr>
      <w:rFonts w:ascii="Arial" w:eastAsia="Arial Unicode MS" w:hAnsi="Arial" w:cs="Arial"/>
      <w:b/>
      <w:bCs/>
      <w:i/>
      <w:iCs/>
      <w:color w:val="000000"/>
      <w:sz w:val="18"/>
      <w:szCs w:val="18"/>
    </w:rPr>
  </w:style>
  <w:style w:type="paragraph" w:customStyle="1" w:styleId="xl26">
    <w:name w:val="xl26"/>
    <w:basedOn w:val="Normal"/>
    <w:uiPriority w:val="99"/>
    <w:rsid w:val="00C2569A"/>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i/>
      <w:iCs/>
      <w:color w:val="000000"/>
      <w:sz w:val="18"/>
      <w:szCs w:val="18"/>
    </w:rPr>
  </w:style>
  <w:style w:type="paragraph" w:customStyle="1" w:styleId="xl45">
    <w:name w:val="xl45"/>
    <w:basedOn w:val="Normal"/>
    <w:uiPriority w:val="99"/>
    <w:rsid w:val="00C2569A"/>
    <w:pPr>
      <w:pBdr>
        <w:bottom w:val="single" w:sz="4" w:space="0" w:color="auto"/>
      </w:pBdr>
      <w:spacing w:before="100" w:beforeAutospacing="1" w:after="100" w:afterAutospacing="1"/>
    </w:pPr>
    <w:rPr>
      <w:rFonts w:ascii="Arial" w:eastAsia="Arial Unicode MS" w:hAnsi="Arial" w:cs="Arial"/>
      <w:color w:val="000000"/>
      <w:sz w:val="16"/>
      <w:szCs w:val="16"/>
    </w:rPr>
  </w:style>
  <w:style w:type="paragraph" w:customStyle="1" w:styleId="xl46">
    <w:name w:val="xl46"/>
    <w:basedOn w:val="Normal"/>
    <w:uiPriority w:val="99"/>
    <w:rsid w:val="00C2569A"/>
    <w:pPr>
      <w:pBdr>
        <w:bottom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47">
    <w:name w:val="xl47"/>
    <w:basedOn w:val="Normal"/>
    <w:uiPriority w:val="99"/>
    <w:rsid w:val="00C2569A"/>
    <w:pPr>
      <w:pBdr>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8">
    <w:name w:val="xl48"/>
    <w:basedOn w:val="Normal"/>
    <w:uiPriority w:val="99"/>
    <w:rsid w:val="00C2569A"/>
    <w:pPr>
      <w:pBdr>
        <w:bottom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9">
    <w:name w:val="xl49"/>
    <w:basedOn w:val="Normal"/>
    <w:uiPriority w:val="99"/>
    <w:rsid w:val="00C2569A"/>
    <w:pPr>
      <w:pBdr>
        <w:bottom w:val="single" w:sz="4" w:space="0" w:color="auto"/>
      </w:pBdr>
      <w:spacing w:before="100" w:beforeAutospacing="1" w:after="100" w:afterAutospacing="1"/>
      <w:jc w:val="right"/>
      <w:textAlignment w:val="center"/>
    </w:pPr>
    <w:rPr>
      <w:rFonts w:ascii="Arial" w:eastAsia="Arial Unicode MS" w:hAnsi="Arial" w:cs="Arial"/>
      <w:sz w:val="16"/>
      <w:szCs w:val="16"/>
    </w:rPr>
  </w:style>
  <w:style w:type="paragraph" w:customStyle="1" w:styleId="xl50">
    <w:name w:val="xl50"/>
    <w:basedOn w:val="Normal"/>
    <w:uiPriority w:val="99"/>
    <w:rsid w:val="00C2569A"/>
    <w:pPr>
      <w:pBdr>
        <w:top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51">
    <w:name w:val="xl51"/>
    <w:basedOn w:val="Normal"/>
    <w:uiPriority w:val="99"/>
    <w:rsid w:val="00C2569A"/>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2">
    <w:name w:val="xl52"/>
    <w:basedOn w:val="Normal"/>
    <w:uiPriority w:val="99"/>
    <w:rsid w:val="00C2569A"/>
    <w:pPr>
      <w:pBdr>
        <w:top w:val="single" w:sz="4" w:space="0" w:color="auto"/>
        <w:bottom w:val="single" w:sz="4" w:space="0" w:color="auto"/>
      </w:pBdr>
      <w:spacing w:before="100" w:beforeAutospacing="1" w:after="100" w:afterAutospacing="1"/>
      <w:jc w:val="right"/>
      <w:textAlignment w:val="center"/>
    </w:pPr>
    <w:rPr>
      <w:rFonts w:ascii="Arial" w:eastAsia="Arial Unicode MS" w:hAnsi="Arial" w:cs="Arial"/>
      <w:sz w:val="16"/>
      <w:szCs w:val="16"/>
    </w:rPr>
  </w:style>
  <w:style w:type="paragraph" w:customStyle="1" w:styleId="xl53">
    <w:name w:val="xl53"/>
    <w:basedOn w:val="Normal"/>
    <w:uiPriority w:val="99"/>
    <w:rsid w:val="00C2569A"/>
    <w:pPr>
      <w:pBdr>
        <w:top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54">
    <w:name w:val="xl54"/>
    <w:basedOn w:val="Normal"/>
    <w:uiPriority w:val="99"/>
    <w:rsid w:val="00C2569A"/>
    <w:pPr>
      <w:spacing w:before="100" w:beforeAutospacing="1" w:after="100" w:afterAutospacing="1"/>
      <w:jc w:val="center"/>
    </w:pPr>
    <w:rPr>
      <w:rFonts w:ascii="Arial" w:eastAsia="Arial Unicode MS" w:hAnsi="Arial" w:cs="Arial"/>
      <w:sz w:val="16"/>
      <w:szCs w:val="16"/>
    </w:rPr>
  </w:style>
  <w:style w:type="paragraph" w:customStyle="1" w:styleId="xl55">
    <w:name w:val="xl55"/>
    <w:basedOn w:val="Normal"/>
    <w:uiPriority w:val="99"/>
    <w:rsid w:val="00C2569A"/>
    <w:pPr>
      <w:spacing w:before="100" w:beforeAutospacing="1" w:after="100" w:afterAutospacing="1"/>
    </w:pPr>
    <w:rPr>
      <w:rFonts w:eastAsia="Arial Unicode MS"/>
    </w:rPr>
  </w:style>
  <w:style w:type="paragraph" w:styleId="Textodebalo">
    <w:name w:val="Balloon Text"/>
    <w:basedOn w:val="Normal"/>
    <w:link w:val="TextodebaloChar"/>
    <w:uiPriority w:val="99"/>
    <w:semiHidden/>
    <w:rsid w:val="00C2569A"/>
    <w:rPr>
      <w:rFonts w:ascii="Tahoma" w:hAnsi="Tahoma" w:cs="Tahoma"/>
      <w:sz w:val="16"/>
      <w:szCs w:val="16"/>
    </w:rPr>
  </w:style>
  <w:style w:type="character" w:customStyle="1" w:styleId="TextodebaloChar">
    <w:name w:val="Texto de balão Char"/>
    <w:basedOn w:val="Fontepargpadro"/>
    <w:link w:val="Textodebalo"/>
    <w:uiPriority w:val="99"/>
    <w:semiHidden/>
    <w:locked/>
    <w:rsid w:val="001214F0"/>
    <w:rPr>
      <w:rFonts w:cs="Times New Roman"/>
      <w:sz w:val="2"/>
    </w:rPr>
  </w:style>
  <w:style w:type="character" w:styleId="Hyperlink">
    <w:name w:val="Hyperlink"/>
    <w:basedOn w:val="Fontepargpadro"/>
    <w:uiPriority w:val="99"/>
    <w:rsid w:val="00C2569A"/>
    <w:rPr>
      <w:rFonts w:cs="Times New Roman"/>
      <w:color w:val="0000FF"/>
      <w:u w:val="single"/>
    </w:rPr>
  </w:style>
  <w:style w:type="character" w:styleId="HiperlinkVisitado">
    <w:name w:val="FollowedHyperlink"/>
    <w:basedOn w:val="Fontepargpadro"/>
    <w:uiPriority w:val="99"/>
    <w:rsid w:val="00C2569A"/>
    <w:rPr>
      <w:rFonts w:cs="Times New Roman"/>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261365">
      <w:bodyDiv w:val="1"/>
      <w:marLeft w:val="0"/>
      <w:marRight w:val="0"/>
      <w:marTop w:val="0"/>
      <w:marBottom w:val="0"/>
      <w:divBdr>
        <w:top w:val="none" w:sz="0" w:space="0" w:color="auto"/>
        <w:left w:val="none" w:sz="0" w:space="0" w:color="auto"/>
        <w:bottom w:val="none" w:sz="0" w:space="0" w:color="auto"/>
        <w:right w:val="none" w:sz="0" w:space="0" w:color="auto"/>
      </w:divBdr>
    </w:div>
    <w:div w:id="303974828">
      <w:bodyDiv w:val="1"/>
      <w:marLeft w:val="0"/>
      <w:marRight w:val="0"/>
      <w:marTop w:val="0"/>
      <w:marBottom w:val="0"/>
      <w:divBdr>
        <w:top w:val="none" w:sz="0" w:space="0" w:color="auto"/>
        <w:left w:val="none" w:sz="0" w:space="0" w:color="auto"/>
        <w:bottom w:val="none" w:sz="0" w:space="0" w:color="auto"/>
        <w:right w:val="none" w:sz="0" w:space="0" w:color="auto"/>
      </w:divBdr>
    </w:div>
    <w:div w:id="531378346">
      <w:bodyDiv w:val="1"/>
      <w:marLeft w:val="0"/>
      <w:marRight w:val="0"/>
      <w:marTop w:val="0"/>
      <w:marBottom w:val="0"/>
      <w:divBdr>
        <w:top w:val="none" w:sz="0" w:space="0" w:color="auto"/>
        <w:left w:val="none" w:sz="0" w:space="0" w:color="auto"/>
        <w:bottom w:val="none" w:sz="0" w:space="0" w:color="auto"/>
        <w:right w:val="none" w:sz="0" w:space="0" w:color="auto"/>
      </w:divBdr>
    </w:div>
    <w:div w:id="901676486">
      <w:marLeft w:val="0"/>
      <w:marRight w:val="0"/>
      <w:marTop w:val="0"/>
      <w:marBottom w:val="0"/>
      <w:divBdr>
        <w:top w:val="none" w:sz="0" w:space="0" w:color="auto"/>
        <w:left w:val="none" w:sz="0" w:space="0" w:color="auto"/>
        <w:bottom w:val="none" w:sz="0" w:space="0" w:color="auto"/>
        <w:right w:val="none" w:sz="0" w:space="0" w:color="auto"/>
      </w:divBdr>
    </w:div>
    <w:div w:id="901676487">
      <w:marLeft w:val="0"/>
      <w:marRight w:val="0"/>
      <w:marTop w:val="0"/>
      <w:marBottom w:val="0"/>
      <w:divBdr>
        <w:top w:val="none" w:sz="0" w:space="0" w:color="auto"/>
        <w:left w:val="none" w:sz="0" w:space="0" w:color="auto"/>
        <w:bottom w:val="none" w:sz="0" w:space="0" w:color="auto"/>
        <w:right w:val="none" w:sz="0" w:space="0" w:color="auto"/>
      </w:divBdr>
    </w:div>
    <w:div w:id="901676488">
      <w:marLeft w:val="0"/>
      <w:marRight w:val="0"/>
      <w:marTop w:val="0"/>
      <w:marBottom w:val="0"/>
      <w:divBdr>
        <w:top w:val="none" w:sz="0" w:space="0" w:color="auto"/>
        <w:left w:val="none" w:sz="0" w:space="0" w:color="auto"/>
        <w:bottom w:val="none" w:sz="0" w:space="0" w:color="auto"/>
        <w:right w:val="none" w:sz="0" w:space="0" w:color="auto"/>
      </w:divBdr>
    </w:div>
    <w:div w:id="901676489">
      <w:marLeft w:val="0"/>
      <w:marRight w:val="0"/>
      <w:marTop w:val="0"/>
      <w:marBottom w:val="0"/>
      <w:divBdr>
        <w:top w:val="none" w:sz="0" w:space="0" w:color="auto"/>
        <w:left w:val="none" w:sz="0" w:space="0" w:color="auto"/>
        <w:bottom w:val="none" w:sz="0" w:space="0" w:color="auto"/>
        <w:right w:val="none" w:sz="0" w:space="0" w:color="auto"/>
      </w:divBdr>
    </w:div>
    <w:div w:id="901676490">
      <w:marLeft w:val="0"/>
      <w:marRight w:val="0"/>
      <w:marTop w:val="0"/>
      <w:marBottom w:val="0"/>
      <w:divBdr>
        <w:top w:val="none" w:sz="0" w:space="0" w:color="auto"/>
        <w:left w:val="none" w:sz="0" w:space="0" w:color="auto"/>
        <w:bottom w:val="none" w:sz="0" w:space="0" w:color="auto"/>
        <w:right w:val="none" w:sz="0" w:space="0" w:color="auto"/>
      </w:divBdr>
    </w:div>
    <w:div w:id="901676491">
      <w:marLeft w:val="0"/>
      <w:marRight w:val="0"/>
      <w:marTop w:val="0"/>
      <w:marBottom w:val="0"/>
      <w:divBdr>
        <w:top w:val="none" w:sz="0" w:space="0" w:color="auto"/>
        <w:left w:val="none" w:sz="0" w:space="0" w:color="auto"/>
        <w:bottom w:val="none" w:sz="0" w:space="0" w:color="auto"/>
        <w:right w:val="none" w:sz="0" w:space="0" w:color="auto"/>
      </w:divBdr>
    </w:div>
    <w:div w:id="901676492">
      <w:marLeft w:val="0"/>
      <w:marRight w:val="0"/>
      <w:marTop w:val="0"/>
      <w:marBottom w:val="0"/>
      <w:divBdr>
        <w:top w:val="none" w:sz="0" w:space="0" w:color="auto"/>
        <w:left w:val="none" w:sz="0" w:space="0" w:color="auto"/>
        <w:bottom w:val="none" w:sz="0" w:space="0" w:color="auto"/>
        <w:right w:val="none" w:sz="0" w:space="0" w:color="auto"/>
      </w:divBdr>
    </w:div>
    <w:div w:id="901676493">
      <w:marLeft w:val="0"/>
      <w:marRight w:val="0"/>
      <w:marTop w:val="0"/>
      <w:marBottom w:val="0"/>
      <w:divBdr>
        <w:top w:val="none" w:sz="0" w:space="0" w:color="auto"/>
        <w:left w:val="none" w:sz="0" w:space="0" w:color="auto"/>
        <w:bottom w:val="none" w:sz="0" w:space="0" w:color="auto"/>
        <w:right w:val="none" w:sz="0" w:space="0" w:color="auto"/>
      </w:divBdr>
    </w:div>
    <w:div w:id="901676494">
      <w:marLeft w:val="0"/>
      <w:marRight w:val="0"/>
      <w:marTop w:val="0"/>
      <w:marBottom w:val="0"/>
      <w:divBdr>
        <w:top w:val="none" w:sz="0" w:space="0" w:color="auto"/>
        <w:left w:val="none" w:sz="0" w:space="0" w:color="auto"/>
        <w:bottom w:val="none" w:sz="0" w:space="0" w:color="auto"/>
        <w:right w:val="none" w:sz="0" w:space="0" w:color="auto"/>
      </w:divBdr>
    </w:div>
    <w:div w:id="901676495">
      <w:marLeft w:val="0"/>
      <w:marRight w:val="0"/>
      <w:marTop w:val="0"/>
      <w:marBottom w:val="0"/>
      <w:divBdr>
        <w:top w:val="none" w:sz="0" w:space="0" w:color="auto"/>
        <w:left w:val="none" w:sz="0" w:space="0" w:color="auto"/>
        <w:bottom w:val="none" w:sz="0" w:space="0" w:color="auto"/>
        <w:right w:val="none" w:sz="0" w:space="0" w:color="auto"/>
      </w:divBdr>
    </w:div>
    <w:div w:id="901676496">
      <w:marLeft w:val="0"/>
      <w:marRight w:val="0"/>
      <w:marTop w:val="0"/>
      <w:marBottom w:val="0"/>
      <w:divBdr>
        <w:top w:val="none" w:sz="0" w:space="0" w:color="auto"/>
        <w:left w:val="none" w:sz="0" w:space="0" w:color="auto"/>
        <w:bottom w:val="none" w:sz="0" w:space="0" w:color="auto"/>
        <w:right w:val="none" w:sz="0" w:space="0" w:color="auto"/>
      </w:divBdr>
    </w:div>
    <w:div w:id="901676497">
      <w:marLeft w:val="0"/>
      <w:marRight w:val="0"/>
      <w:marTop w:val="0"/>
      <w:marBottom w:val="0"/>
      <w:divBdr>
        <w:top w:val="none" w:sz="0" w:space="0" w:color="auto"/>
        <w:left w:val="none" w:sz="0" w:space="0" w:color="auto"/>
        <w:bottom w:val="none" w:sz="0" w:space="0" w:color="auto"/>
        <w:right w:val="none" w:sz="0" w:space="0" w:color="auto"/>
      </w:divBdr>
    </w:div>
    <w:div w:id="901676498">
      <w:marLeft w:val="0"/>
      <w:marRight w:val="0"/>
      <w:marTop w:val="0"/>
      <w:marBottom w:val="0"/>
      <w:divBdr>
        <w:top w:val="none" w:sz="0" w:space="0" w:color="auto"/>
        <w:left w:val="none" w:sz="0" w:space="0" w:color="auto"/>
        <w:bottom w:val="none" w:sz="0" w:space="0" w:color="auto"/>
        <w:right w:val="none" w:sz="0" w:space="0" w:color="auto"/>
      </w:divBdr>
    </w:div>
    <w:div w:id="901676499">
      <w:marLeft w:val="0"/>
      <w:marRight w:val="0"/>
      <w:marTop w:val="0"/>
      <w:marBottom w:val="0"/>
      <w:divBdr>
        <w:top w:val="none" w:sz="0" w:space="0" w:color="auto"/>
        <w:left w:val="none" w:sz="0" w:space="0" w:color="auto"/>
        <w:bottom w:val="none" w:sz="0" w:space="0" w:color="auto"/>
        <w:right w:val="none" w:sz="0" w:space="0" w:color="auto"/>
      </w:divBdr>
    </w:div>
    <w:div w:id="901676500">
      <w:marLeft w:val="0"/>
      <w:marRight w:val="0"/>
      <w:marTop w:val="0"/>
      <w:marBottom w:val="0"/>
      <w:divBdr>
        <w:top w:val="none" w:sz="0" w:space="0" w:color="auto"/>
        <w:left w:val="none" w:sz="0" w:space="0" w:color="auto"/>
        <w:bottom w:val="none" w:sz="0" w:space="0" w:color="auto"/>
        <w:right w:val="none" w:sz="0" w:space="0" w:color="auto"/>
      </w:divBdr>
    </w:div>
    <w:div w:id="901676501">
      <w:marLeft w:val="0"/>
      <w:marRight w:val="0"/>
      <w:marTop w:val="0"/>
      <w:marBottom w:val="0"/>
      <w:divBdr>
        <w:top w:val="none" w:sz="0" w:space="0" w:color="auto"/>
        <w:left w:val="none" w:sz="0" w:space="0" w:color="auto"/>
        <w:bottom w:val="none" w:sz="0" w:space="0" w:color="auto"/>
        <w:right w:val="none" w:sz="0" w:space="0" w:color="auto"/>
      </w:divBdr>
    </w:div>
    <w:div w:id="901676502">
      <w:marLeft w:val="0"/>
      <w:marRight w:val="0"/>
      <w:marTop w:val="0"/>
      <w:marBottom w:val="0"/>
      <w:divBdr>
        <w:top w:val="none" w:sz="0" w:space="0" w:color="auto"/>
        <w:left w:val="none" w:sz="0" w:space="0" w:color="auto"/>
        <w:bottom w:val="none" w:sz="0" w:space="0" w:color="auto"/>
        <w:right w:val="none" w:sz="0" w:space="0" w:color="auto"/>
      </w:divBdr>
    </w:div>
    <w:div w:id="901676503">
      <w:marLeft w:val="0"/>
      <w:marRight w:val="0"/>
      <w:marTop w:val="0"/>
      <w:marBottom w:val="0"/>
      <w:divBdr>
        <w:top w:val="none" w:sz="0" w:space="0" w:color="auto"/>
        <w:left w:val="none" w:sz="0" w:space="0" w:color="auto"/>
        <w:bottom w:val="none" w:sz="0" w:space="0" w:color="auto"/>
        <w:right w:val="none" w:sz="0" w:space="0" w:color="auto"/>
      </w:divBdr>
    </w:div>
    <w:div w:id="901676504">
      <w:marLeft w:val="0"/>
      <w:marRight w:val="0"/>
      <w:marTop w:val="0"/>
      <w:marBottom w:val="0"/>
      <w:divBdr>
        <w:top w:val="none" w:sz="0" w:space="0" w:color="auto"/>
        <w:left w:val="none" w:sz="0" w:space="0" w:color="auto"/>
        <w:bottom w:val="none" w:sz="0" w:space="0" w:color="auto"/>
        <w:right w:val="none" w:sz="0" w:space="0" w:color="auto"/>
      </w:divBdr>
    </w:div>
    <w:div w:id="901676505">
      <w:marLeft w:val="0"/>
      <w:marRight w:val="0"/>
      <w:marTop w:val="0"/>
      <w:marBottom w:val="0"/>
      <w:divBdr>
        <w:top w:val="none" w:sz="0" w:space="0" w:color="auto"/>
        <w:left w:val="none" w:sz="0" w:space="0" w:color="auto"/>
        <w:bottom w:val="none" w:sz="0" w:space="0" w:color="auto"/>
        <w:right w:val="none" w:sz="0" w:space="0" w:color="auto"/>
      </w:divBdr>
    </w:div>
    <w:div w:id="901676506">
      <w:marLeft w:val="0"/>
      <w:marRight w:val="0"/>
      <w:marTop w:val="0"/>
      <w:marBottom w:val="0"/>
      <w:divBdr>
        <w:top w:val="none" w:sz="0" w:space="0" w:color="auto"/>
        <w:left w:val="none" w:sz="0" w:space="0" w:color="auto"/>
        <w:bottom w:val="none" w:sz="0" w:space="0" w:color="auto"/>
        <w:right w:val="none" w:sz="0" w:space="0" w:color="auto"/>
      </w:divBdr>
    </w:div>
    <w:div w:id="901676507">
      <w:marLeft w:val="0"/>
      <w:marRight w:val="0"/>
      <w:marTop w:val="0"/>
      <w:marBottom w:val="0"/>
      <w:divBdr>
        <w:top w:val="none" w:sz="0" w:space="0" w:color="auto"/>
        <w:left w:val="none" w:sz="0" w:space="0" w:color="auto"/>
        <w:bottom w:val="none" w:sz="0" w:space="0" w:color="auto"/>
        <w:right w:val="none" w:sz="0" w:space="0" w:color="auto"/>
      </w:divBdr>
    </w:div>
    <w:div w:id="901676508">
      <w:marLeft w:val="0"/>
      <w:marRight w:val="0"/>
      <w:marTop w:val="0"/>
      <w:marBottom w:val="0"/>
      <w:divBdr>
        <w:top w:val="none" w:sz="0" w:space="0" w:color="auto"/>
        <w:left w:val="none" w:sz="0" w:space="0" w:color="auto"/>
        <w:bottom w:val="none" w:sz="0" w:space="0" w:color="auto"/>
        <w:right w:val="none" w:sz="0" w:space="0" w:color="auto"/>
      </w:divBdr>
    </w:div>
    <w:div w:id="901676509">
      <w:marLeft w:val="0"/>
      <w:marRight w:val="0"/>
      <w:marTop w:val="0"/>
      <w:marBottom w:val="0"/>
      <w:divBdr>
        <w:top w:val="none" w:sz="0" w:space="0" w:color="auto"/>
        <w:left w:val="none" w:sz="0" w:space="0" w:color="auto"/>
        <w:bottom w:val="none" w:sz="0" w:space="0" w:color="auto"/>
        <w:right w:val="none" w:sz="0" w:space="0" w:color="auto"/>
      </w:divBdr>
    </w:div>
    <w:div w:id="901676510">
      <w:marLeft w:val="0"/>
      <w:marRight w:val="0"/>
      <w:marTop w:val="0"/>
      <w:marBottom w:val="0"/>
      <w:divBdr>
        <w:top w:val="none" w:sz="0" w:space="0" w:color="auto"/>
        <w:left w:val="none" w:sz="0" w:space="0" w:color="auto"/>
        <w:bottom w:val="none" w:sz="0" w:space="0" w:color="auto"/>
        <w:right w:val="none" w:sz="0" w:space="0" w:color="auto"/>
      </w:divBdr>
    </w:div>
    <w:div w:id="901676511">
      <w:marLeft w:val="0"/>
      <w:marRight w:val="0"/>
      <w:marTop w:val="0"/>
      <w:marBottom w:val="0"/>
      <w:divBdr>
        <w:top w:val="none" w:sz="0" w:space="0" w:color="auto"/>
        <w:left w:val="none" w:sz="0" w:space="0" w:color="auto"/>
        <w:bottom w:val="none" w:sz="0" w:space="0" w:color="auto"/>
        <w:right w:val="none" w:sz="0" w:space="0" w:color="auto"/>
      </w:divBdr>
    </w:div>
    <w:div w:id="901676512">
      <w:marLeft w:val="0"/>
      <w:marRight w:val="0"/>
      <w:marTop w:val="0"/>
      <w:marBottom w:val="0"/>
      <w:divBdr>
        <w:top w:val="none" w:sz="0" w:space="0" w:color="auto"/>
        <w:left w:val="none" w:sz="0" w:space="0" w:color="auto"/>
        <w:bottom w:val="none" w:sz="0" w:space="0" w:color="auto"/>
        <w:right w:val="none" w:sz="0" w:space="0" w:color="auto"/>
      </w:divBdr>
    </w:div>
    <w:div w:id="901676513">
      <w:marLeft w:val="0"/>
      <w:marRight w:val="0"/>
      <w:marTop w:val="0"/>
      <w:marBottom w:val="0"/>
      <w:divBdr>
        <w:top w:val="none" w:sz="0" w:space="0" w:color="auto"/>
        <w:left w:val="none" w:sz="0" w:space="0" w:color="auto"/>
        <w:bottom w:val="none" w:sz="0" w:space="0" w:color="auto"/>
        <w:right w:val="none" w:sz="0" w:space="0" w:color="auto"/>
      </w:divBdr>
    </w:div>
    <w:div w:id="901676514">
      <w:marLeft w:val="0"/>
      <w:marRight w:val="0"/>
      <w:marTop w:val="0"/>
      <w:marBottom w:val="0"/>
      <w:divBdr>
        <w:top w:val="none" w:sz="0" w:space="0" w:color="auto"/>
        <w:left w:val="none" w:sz="0" w:space="0" w:color="auto"/>
        <w:bottom w:val="none" w:sz="0" w:space="0" w:color="auto"/>
        <w:right w:val="none" w:sz="0" w:space="0" w:color="auto"/>
      </w:divBdr>
    </w:div>
    <w:div w:id="901676515">
      <w:marLeft w:val="0"/>
      <w:marRight w:val="0"/>
      <w:marTop w:val="0"/>
      <w:marBottom w:val="0"/>
      <w:divBdr>
        <w:top w:val="none" w:sz="0" w:space="0" w:color="auto"/>
        <w:left w:val="none" w:sz="0" w:space="0" w:color="auto"/>
        <w:bottom w:val="none" w:sz="0" w:space="0" w:color="auto"/>
        <w:right w:val="none" w:sz="0" w:space="0" w:color="auto"/>
      </w:divBdr>
    </w:div>
    <w:div w:id="901676516">
      <w:marLeft w:val="0"/>
      <w:marRight w:val="0"/>
      <w:marTop w:val="0"/>
      <w:marBottom w:val="0"/>
      <w:divBdr>
        <w:top w:val="none" w:sz="0" w:space="0" w:color="auto"/>
        <w:left w:val="none" w:sz="0" w:space="0" w:color="auto"/>
        <w:bottom w:val="none" w:sz="0" w:space="0" w:color="auto"/>
        <w:right w:val="none" w:sz="0" w:space="0" w:color="auto"/>
      </w:divBdr>
    </w:div>
    <w:div w:id="901676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agrostat.agricultura.gov.br"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63AB4-3317-423C-BA1A-76487F34E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4477</Words>
  <Characters>24180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Resultados do mês</vt:lpstr>
    </vt:vector>
  </TitlesOfParts>
  <Company>.</Company>
  <LinksUpToDate>false</LinksUpToDate>
  <CharactersWithSpaces>28600</CharactersWithSpaces>
  <SharedDoc>false</SharedDoc>
  <HLinks>
    <vt:vector size="6" baseType="variant">
      <vt:variant>
        <vt:i4>6553635</vt:i4>
      </vt:variant>
      <vt:variant>
        <vt:i4>0</vt:i4>
      </vt:variant>
      <vt:variant>
        <vt:i4>0</vt:i4>
      </vt:variant>
      <vt:variant>
        <vt:i4>5</vt:i4>
      </vt:variant>
      <vt:variant>
        <vt:lpwstr>http://www.agrostat.agricultura.gov.br/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Resultados do mês</dc:title>
  <dc:subject/>
  <dc:creator>.</dc:creator>
  <cp:keywords/>
  <cp:lastModifiedBy>Gastao Giometti</cp:lastModifiedBy>
  <cp:revision>33</cp:revision>
  <cp:lastPrinted>2015-01-09T11:18:00Z</cp:lastPrinted>
  <dcterms:created xsi:type="dcterms:W3CDTF">2017-08-07T13:39:00Z</dcterms:created>
  <dcterms:modified xsi:type="dcterms:W3CDTF">2017-08-08T20:11:00Z</dcterms:modified>
</cp:coreProperties>
</file>