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D2" w:rsidRPr="00AC1F68" w:rsidRDefault="001361D2" w:rsidP="001361D2">
      <w:pPr>
        <w:ind w:right="-522"/>
        <w:outlineLvl w:val="0"/>
        <w:rPr>
          <w:rFonts w:asciiTheme="minorHAnsi" w:hAnsiTheme="minorHAnsi" w:cs="Arial"/>
          <w:b/>
        </w:rPr>
      </w:pPr>
    </w:p>
    <w:p w:rsidR="001361D2" w:rsidRPr="00AC1F68" w:rsidRDefault="001361D2" w:rsidP="001361D2">
      <w:pPr>
        <w:ind w:right="-522"/>
        <w:outlineLvl w:val="0"/>
        <w:rPr>
          <w:rFonts w:asciiTheme="minorHAnsi" w:hAnsiTheme="minorHAnsi" w:cs="Arial"/>
          <w:b/>
        </w:rPr>
      </w:pPr>
      <w:r w:rsidRPr="00AC1F68">
        <w:rPr>
          <w:rFonts w:asciiTheme="minorHAnsi" w:hAnsiTheme="minorHAnsi" w:cs="Arial"/>
          <w:b/>
        </w:rPr>
        <w:t xml:space="preserve">Nota nº </w:t>
      </w:r>
      <w:r w:rsidR="00AC1F68" w:rsidRPr="00AC1F68">
        <w:rPr>
          <w:rFonts w:asciiTheme="minorHAnsi" w:hAnsiTheme="minorHAnsi" w:cs="Arial"/>
          <w:b/>
        </w:rPr>
        <w:t>05</w:t>
      </w:r>
      <w:r w:rsidR="00A75E79" w:rsidRPr="00AC1F68">
        <w:rPr>
          <w:rFonts w:asciiTheme="minorHAnsi" w:hAnsiTheme="minorHAnsi" w:cs="Arial"/>
          <w:b/>
        </w:rPr>
        <w:t>-20</w:t>
      </w:r>
      <w:r w:rsidR="00CA212E" w:rsidRPr="00AC1F68">
        <w:rPr>
          <w:rFonts w:asciiTheme="minorHAnsi" w:hAnsiTheme="minorHAnsi" w:cs="Arial"/>
          <w:b/>
        </w:rPr>
        <w:t>20</w:t>
      </w:r>
      <w:r w:rsidRPr="00AC1F68">
        <w:rPr>
          <w:rFonts w:asciiTheme="minorHAnsi" w:hAnsiTheme="minorHAnsi" w:cs="Arial"/>
          <w:b/>
        </w:rPr>
        <w:t>/</w:t>
      </w:r>
      <w:r w:rsidR="00AB429E" w:rsidRPr="00AC1F68">
        <w:rPr>
          <w:rFonts w:asciiTheme="minorHAnsi" w:hAnsiTheme="minorHAnsi" w:cs="Arial"/>
          <w:b/>
        </w:rPr>
        <w:t>CG</w:t>
      </w:r>
      <w:r w:rsidR="00EF43A4" w:rsidRPr="00AC1F68">
        <w:rPr>
          <w:rFonts w:asciiTheme="minorHAnsi" w:hAnsiTheme="minorHAnsi" w:cs="Arial"/>
          <w:b/>
        </w:rPr>
        <w:t>A</w:t>
      </w:r>
      <w:r w:rsidR="00AB429E" w:rsidRPr="00AC1F68">
        <w:rPr>
          <w:rFonts w:asciiTheme="minorHAnsi" w:hAnsiTheme="minorHAnsi" w:cs="Arial"/>
          <w:b/>
        </w:rPr>
        <w:t>PI/DFI</w:t>
      </w:r>
      <w:r w:rsidRPr="00AC1F68">
        <w:rPr>
          <w:rFonts w:asciiTheme="minorHAnsi" w:hAnsiTheme="minorHAnsi" w:cs="Arial"/>
          <w:b/>
        </w:rPr>
        <w:t>/SPA</w:t>
      </w:r>
      <w:r w:rsidR="00474CA3" w:rsidRPr="00AC1F68">
        <w:rPr>
          <w:rFonts w:asciiTheme="minorHAnsi" w:hAnsiTheme="minorHAnsi" w:cs="Arial"/>
          <w:b/>
        </w:rPr>
        <w:t>/MAPA</w:t>
      </w:r>
    </w:p>
    <w:p w:rsidR="001361D2" w:rsidRPr="00AC1F68" w:rsidRDefault="001361D2" w:rsidP="00474CA3">
      <w:pPr>
        <w:rPr>
          <w:rFonts w:asciiTheme="minorHAnsi" w:hAnsiTheme="minorHAnsi" w:cs="Arial"/>
          <w:b/>
        </w:rPr>
      </w:pPr>
    </w:p>
    <w:p w:rsidR="001361D2" w:rsidRPr="00AC1F68" w:rsidRDefault="001361D2" w:rsidP="00474CA3">
      <w:pPr>
        <w:jc w:val="right"/>
        <w:outlineLvl w:val="0"/>
        <w:rPr>
          <w:rFonts w:asciiTheme="minorHAnsi" w:hAnsiTheme="minorHAnsi" w:cs="Arial"/>
        </w:rPr>
      </w:pPr>
      <w:r w:rsidRPr="00AC1F68">
        <w:rPr>
          <w:rFonts w:asciiTheme="minorHAnsi" w:hAnsiTheme="minorHAnsi" w:cs="Arial"/>
        </w:rPr>
        <w:t xml:space="preserve">Brasília, </w:t>
      </w:r>
      <w:r w:rsidR="00AC1F68" w:rsidRPr="00AC1F68">
        <w:rPr>
          <w:rFonts w:asciiTheme="minorHAnsi" w:hAnsiTheme="minorHAnsi" w:cs="Arial"/>
        </w:rPr>
        <w:t>16</w:t>
      </w:r>
      <w:r w:rsidRPr="00AC1F68">
        <w:rPr>
          <w:rFonts w:asciiTheme="minorHAnsi" w:hAnsiTheme="minorHAnsi" w:cs="Arial"/>
        </w:rPr>
        <w:t xml:space="preserve"> de </w:t>
      </w:r>
      <w:r w:rsidR="00AC1F68" w:rsidRPr="00AC1F68">
        <w:rPr>
          <w:rFonts w:asciiTheme="minorHAnsi" w:hAnsiTheme="minorHAnsi" w:cs="Arial"/>
        </w:rPr>
        <w:t>março</w:t>
      </w:r>
      <w:r w:rsidR="00DF05FF" w:rsidRPr="00AC1F68">
        <w:rPr>
          <w:rFonts w:asciiTheme="minorHAnsi" w:hAnsiTheme="minorHAnsi" w:cs="Arial"/>
        </w:rPr>
        <w:t xml:space="preserve"> </w:t>
      </w:r>
      <w:r w:rsidRPr="00AC1F68">
        <w:rPr>
          <w:rFonts w:asciiTheme="minorHAnsi" w:hAnsiTheme="minorHAnsi" w:cs="Arial"/>
        </w:rPr>
        <w:t>de 20</w:t>
      </w:r>
      <w:r w:rsidR="00CA212E" w:rsidRPr="00AC1F68">
        <w:rPr>
          <w:rFonts w:asciiTheme="minorHAnsi" w:hAnsiTheme="minorHAnsi" w:cs="Arial"/>
        </w:rPr>
        <w:t>20</w:t>
      </w:r>
      <w:r w:rsidRPr="00AC1F68">
        <w:rPr>
          <w:rFonts w:asciiTheme="minorHAnsi" w:hAnsiTheme="minorHAnsi" w:cs="Arial"/>
        </w:rPr>
        <w:t>.</w:t>
      </w:r>
    </w:p>
    <w:p w:rsidR="001361D2" w:rsidRPr="00AC1F68" w:rsidRDefault="001361D2" w:rsidP="00474CA3">
      <w:pPr>
        <w:jc w:val="right"/>
        <w:rPr>
          <w:rFonts w:asciiTheme="minorHAnsi" w:hAnsiTheme="minorHAnsi" w:cs="Arial"/>
        </w:rPr>
      </w:pPr>
    </w:p>
    <w:p w:rsidR="001361D2" w:rsidRPr="00AC1F68" w:rsidRDefault="001361D2" w:rsidP="00474CA3">
      <w:pPr>
        <w:jc w:val="right"/>
        <w:rPr>
          <w:rFonts w:asciiTheme="minorHAnsi" w:hAnsiTheme="minorHAnsi" w:cs="Arial"/>
        </w:rPr>
      </w:pPr>
    </w:p>
    <w:p w:rsidR="001361D2" w:rsidRPr="00AC1F68" w:rsidRDefault="001361D2" w:rsidP="00474CA3">
      <w:pPr>
        <w:rPr>
          <w:rFonts w:asciiTheme="minorHAnsi" w:hAnsiTheme="minorHAnsi" w:cs="Arial"/>
        </w:rPr>
      </w:pPr>
      <w:r w:rsidRPr="00AC1F68">
        <w:rPr>
          <w:rFonts w:asciiTheme="minorHAnsi" w:hAnsiTheme="minorHAnsi" w:cs="Arial"/>
        </w:rPr>
        <w:t>Assunto:</w:t>
      </w:r>
      <w:r w:rsidRPr="00AC1F68">
        <w:rPr>
          <w:rFonts w:asciiTheme="minorHAnsi" w:hAnsiTheme="minorHAnsi" w:cs="Arial"/>
          <w:b/>
        </w:rPr>
        <w:t xml:space="preserve"> </w:t>
      </w:r>
      <w:r w:rsidR="00AC1F68" w:rsidRPr="00AC1F68">
        <w:rPr>
          <w:rFonts w:asciiTheme="minorHAnsi" w:hAnsiTheme="minorHAnsi" w:cs="Arial"/>
          <w:b/>
        </w:rPr>
        <w:t>Valor da Produção Agropecuária é de R$ 683,2 bilhões em 2020</w:t>
      </w:r>
    </w:p>
    <w:p w:rsidR="001361D2" w:rsidRPr="00AC1F68" w:rsidRDefault="00AC1F68" w:rsidP="00AC1F68">
      <w:pPr>
        <w:spacing w:after="240"/>
        <w:rPr>
          <w:rFonts w:asciiTheme="minorHAnsi" w:hAnsiTheme="minorHAnsi" w:cs="Arial"/>
          <w:b/>
        </w:rPr>
      </w:pPr>
      <w:r w:rsidRPr="00AC1F68">
        <w:rPr>
          <w:rFonts w:asciiTheme="minorHAnsi" w:hAnsiTheme="minorHAnsi" w:cs="Arial"/>
          <w:b/>
        </w:rPr>
        <w:t xml:space="preserve">       (Soja, milho, café e laranja puxam o valor neste ano)</w:t>
      </w:r>
    </w:p>
    <w:p w:rsidR="00AC1F68" w:rsidRPr="00AC1F68" w:rsidRDefault="00AC1F68" w:rsidP="00AC1F68">
      <w:pPr>
        <w:spacing w:after="240"/>
        <w:ind w:firstLine="709"/>
        <w:jc w:val="both"/>
        <w:rPr>
          <w:rFonts w:asciiTheme="minorHAnsi" w:hAnsiTheme="minorHAnsi" w:cs="Arial"/>
        </w:rPr>
      </w:pPr>
      <w:r w:rsidRPr="00AC1F68">
        <w:rPr>
          <w:rFonts w:asciiTheme="minorHAnsi" w:hAnsiTheme="minorHAnsi" w:cs="Arial"/>
        </w:rPr>
        <w:t>A safra recorde de grãos, estimada em 249,0 milhões de toneladas pelo IBGE, e de 251,9 milhões de toneladas pela Conab, traz o valor da produção agropecuária (VBP) para R$ 683,2 bilhões, 8,2</w:t>
      </w:r>
      <w:r>
        <w:rPr>
          <w:rFonts w:asciiTheme="minorHAnsi" w:hAnsiTheme="minorHAnsi" w:cs="Arial"/>
        </w:rPr>
        <w:t>%</w:t>
      </w:r>
      <w:r w:rsidRPr="00AC1F68">
        <w:rPr>
          <w:rFonts w:asciiTheme="minorHAnsi" w:hAnsiTheme="minorHAnsi" w:cs="Arial"/>
        </w:rPr>
        <w:t xml:space="preserve"> reais acima</w:t>
      </w:r>
      <w:r>
        <w:rPr>
          <w:rFonts w:asciiTheme="minorHAnsi" w:hAnsiTheme="minorHAnsi" w:cs="Arial"/>
        </w:rPr>
        <w:t xml:space="preserve"> </w:t>
      </w:r>
      <w:r w:rsidRPr="00AC1F68">
        <w:rPr>
          <w:rFonts w:asciiTheme="minorHAnsi" w:hAnsiTheme="minorHAnsi" w:cs="Arial"/>
        </w:rPr>
        <w:t>de 2019. Esse valor está sendo previsto.</w:t>
      </w:r>
      <w:r>
        <w:rPr>
          <w:rFonts w:asciiTheme="minorHAnsi" w:hAnsiTheme="minorHAnsi" w:cs="Arial"/>
        </w:rPr>
        <w:t xml:space="preserve"> </w:t>
      </w:r>
      <w:r w:rsidRPr="00AC1F68">
        <w:rPr>
          <w:rFonts w:asciiTheme="minorHAnsi" w:hAnsiTheme="minorHAnsi" w:cs="Arial"/>
        </w:rPr>
        <w:t>Principalmente</w:t>
      </w:r>
      <w:r>
        <w:rPr>
          <w:rFonts w:asciiTheme="minorHAnsi" w:hAnsiTheme="minorHAnsi" w:cs="Arial"/>
        </w:rPr>
        <w:t xml:space="preserve"> </w:t>
      </w:r>
      <w:r w:rsidRPr="00AC1F68">
        <w:rPr>
          <w:rFonts w:asciiTheme="minorHAnsi" w:hAnsiTheme="minorHAnsi" w:cs="Arial"/>
        </w:rPr>
        <w:t xml:space="preserve">pelo excepcional comportamento da soja, milho, café e laranja. As lavouras analisadas apresentam valor estimado de R$ 448,4 bilhões, e a pecuária, </w:t>
      </w:r>
      <w:r w:rsidR="00077F4F">
        <w:rPr>
          <w:rFonts w:asciiTheme="minorHAnsi" w:hAnsiTheme="minorHAnsi" w:cs="Arial"/>
        </w:rPr>
        <w:t xml:space="preserve">R$ </w:t>
      </w:r>
      <w:r w:rsidRPr="00AC1F68">
        <w:rPr>
          <w:rFonts w:asciiTheme="minorHAnsi" w:hAnsiTheme="minorHAnsi" w:cs="Arial"/>
        </w:rPr>
        <w:t>234,8 bilhões. O crescimento</w:t>
      </w:r>
      <w:r w:rsidR="00077F4F">
        <w:rPr>
          <w:rFonts w:asciiTheme="minorHAnsi" w:hAnsiTheme="minorHAnsi" w:cs="Arial"/>
        </w:rPr>
        <w:t>,</w:t>
      </w:r>
      <w:r w:rsidRPr="00AC1F68">
        <w:rPr>
          <w:rFonts w:asciiTheme="minorHAnsi" w:hAnsiTheme="minorHAnsi" w:cs="Arial"/>
        </w:rPr>
        <w:t xml:space="preserve"> em relação ao ano passado, é de 8,9</w:t>
      </w:r>
      <w:r>
        <w:rPr>
          <w:rFonts w:asciiTheme="minorHAnsi" w:hAnsiTheme="minorHAnsi" w:cs="Arial"/>
        </w:rPr>
        <w:t>%</w:t>
      </w:r>
      <w:r w:rsidRPr="00AC1F68">
        <w:rPr>
          <w:rFonts w:asciiTheme="minorHAnsi" w:hAnsiTheme="minorHAnsi" w:cs="Arial"/>
        </w:rPr>
        <w:t xml:space="preserve"> nas lavouras e 8,2</w:t>
      </w:r>
      <w:r>
        <w:rPr>
          <w:rFonts w:asciiTheme="minorHAnsi" w:hAnsiTheme="minorHAnsi" w:cs="Arial"/>
        </w:rPr>
        <w:t>%</w:t>
      </w:r>
      <w:r w:rsidRPr="00AC1F68">
        <w:rPr>
          <w:rFonts w:asciiTheme="minorHAnsi" w:hAnsiTheme="minorHAnsi" w:cs="Arial"/>
        </w:rPr>
        <w:t xml:space="preserve"> na pecuária.</w:t>
      </w:r>
    </w:p>
    <w:p w:rsidR="00AC1F68" w:rsidRPr="00AC1F68" w:rsidRDefault="00AC1F68" w:rsidP="00AC1F68">
      <w:pPr>
        <w:spacing w:after="240"/>
        <w:ind w:firstLine="709"/>
        <w:jc w:val="both"/>
        <w:rPr>
          <w:rFonts w:asciiTheme="minorHAnsi" w:hAnsiTheme="minorHAnsi" w:cs="Arial"/>
        </w:rPr>
      </w:pPr>
      <w:r w:rsidRPr="00AC1F68">
        <w:rPr>
          <w:rFonts w:asciiTheme="minorHAnsi" w:hAnsiTheme="minorHAnsi" w:cs="Arial"/>
        </w:rPr>
        <w:t>A maior parte das lavouras analisadas apresenta crescimento do valor da produção. Entre est</w:t>
      </w:r>
      <w:r w:rsidR="00077F4F">
        <w:rPr>
          <w:rFonts w:asciiTheme="minorHAnsi" w:hAnsiTheme="minorHAnsi" w:cs="Arial"/>
        </w:rPr>
        <w:t>as, as de maior crescimento são</w:t>
      </w:r>
      <w:r w:rsidRPr="00AC1F68">
        <w:rPr>
          <w:rFonts w:asciiTheme="minorHAnsi" w:hAnsiTheme="minorHAnsi" w:cs="Arial"/>
        </w:rPr>
        <w:t xml:space="preserve"> o amendoim (11,8</w:t>
      </w:r>
      <w:r>
        <w:rPr>
          <w:rFonts w:asciiTheme="minorHAnsi" w:hAnsiTheme="minorHAnsi" w:cs="Arial"/>
        </w:rPr>
        <w:t>%</w:t>
      </w:r>
      <w:r w:rsidRPr="00AC1F68">
        <w:rPr>
          <w:rFonts w:asciiTheme="minorHAnsi" w:hAnsiTheme="minorHAnsi" w:cs="Arial"/>
        </w:rPr>
        <w:t xml:space="preserve">), cacau </w:t>
      </w:r>
      <w:r>
        <w:rPr>
          <w:rFonts w:asciiTheme="minorHAnsi" w:hAnsiTheme="minorHAnsi" w:cs="Arial"/>
        </w:rPr>
        <w:t>(</w:t>
      </w:r>
      <w:r w:rsidRPr="00AC1F68">
        <w:rPr>
          <w:rFonts w:asciiTheme="minorHAnsi" w:hAnsiTheme="minorHAnsi" w:cs="Arial"/>
        </w:rPr>
        <w:t>6,6</w:t>
      </w:r>
      <w:r>
        <w:rPr>
          <w:rFonts w:asciiTheme="minorHAnsi" w:hAnsiTheme="minorHAnsi" w:cs="Arial"/>
        </w:rPr>
        <w:t>%)</w:t>
      </w:r>
      <w:r w:rsidRPr="00AC1F68">
        <w:rPr>
          <w:rFonts w:asciiTheme="minorHAnsi" w:hAnsiTheme="minorHAnsi" w:cs="Arial"/>
        </w:rPr>
        <w:t xml:space="preserve">, café </w:t>
      </w:r>
      <w:r>
        <w:rPr>
          <w:rFonts w:asciiTheme="minorHAnsi" w:hAnsiTheme="minorHAnsi" w:cs="Arial"/>
        </w:rPr>
        <w:t>(</w:t>
      </w:r>
      <w:r w:rsidRPr="00AC1F68">
        <w:rPr>
          <w:rFonts w:asciiTheme="minorHAnsi" w:hAnsiTheme="minorHAnsi" w:cs="Arial"/>
        </w:rPr>
        <w:t>25,9</w:t>
      </w:r>
      <w:r>
        <w:rPr>
          <w:rFonts w:asciiTheme="minorHAnsi" w:hAnsiTheme="minorHAnsi" w:cs="Arial"/>
        </w:rPr>
        <w:t>%</w:t>
      </w:r>
      <w:r w:rsidRPr="00AC1F68">
        <w:rPr>
          <w:rFonts w:asciiTheme="minorHAnsi" w:hAnsiTheme="minorHAnsi" w:cs="Arial"/>
        </w:rPr>
        <w:t xml:space="preserve">), laranja </w:t>
      </w:r>
      <w:r>
        <w:rPr>
          <w:rFonts w:asciiTheme="minorHAnsi" w:hAnsiTheme="minorHAnsi" w:cs="Arial"/>
        </w:rPr>
        <w:t>(</w:t>
      </w:r>
      <w:r w:rsidRPr="00AC1F68">
        <w:rPr>
          <w:rFonts w:asciiTheme="minorHAnsi" w:hAnsiTheme="minorHAnsi" w:cs="Arial"/>
        </w:rPr>
        <w:t>9,7</w:t>
      </w:r>
      <w:r>
        <w:rPr>
          <w:rFonts w:asciiTheme="minorHAnsi" w:hAnsiTheme="minorHAnsi" w:cs="Arial"/>
        </w:rPr>
        <w:t>%)</w:t>
      </w:r>
      <w:r w:rsidRPr="00AC1F68">
        <w:rPr>
          <w:rFonts w:asciiTheme="minorHAnsi" w:hAnsiTheme="minorHAnsi" w:cs="Arial"/>
        </w:rPr>
        <w:t xml:space="preserve">, mandioca </w:t>
      </w:r>
      <w:r>
        <w:rPr>
          <w:rFonts w:asciiTheme="minorHAnsi" w:hAnsiTheme="minorHAnsi" w:cs="Arial"/>
        </w:rPr>
        <w:t>(</w:t>
      </w:r>
      <w:r w:rsidRPr="00AC1F68">
        <w:rPr>
          <w:rFonts w:asciiTheme="minorHAnsi" w:hAnsiTheme="minorHAnsi" w:cs="Arial"/>
        </w:rPr>
        <w:t>7,8</w:t>
      </w:r>
      <w:r>
        <w:rPr>
          <w:rFonts w:asciiTheme="minorHAnsi" w:hAnsiTheme="minorHAnsi" w:cs="Arial"/>
        </w:rPr>
        <w:t>%)</w:t>
      </w:r>
      <w:r w:rsidRPr="00AC1F68">
        <w:rPr>
          <w:rFonts w:asciiTheme="minorHAnsi" w:hAnsiTheme="minorHAnsi" w:cs="Arial"/>
        </w:rPr>
        <w:t xml:space="preserve">, milho </w:t>
      </w:r>
      <w:r>
        <w:rPr>
          <w:rFonts w:asciiTheme="minorHAnsi" w:hAnsiTheme="minorHAnsi" w:cs="Arial"/>
        </w:rPr>
        <w:t>(</w:t>
      </w:r>
      <w:r w:rsidRPr="00AC1F68">
        <w:rPr>
          <w:rFonts w:asciiTheme="minorHAnsi" w:hAnsiTheme="minorHAnsi" w:cs="Arial"/>
        </w:rPr>
        <w:t>15,2</w:t>
      </w:r>
      <w:r>
        <w:rPr>
          <w:rFonts w:asciiTheme="minorHAnsi" w:hAnsiTheme="minorHAnsi" w:cs="Arial"/>
        </w:rPr>
        <w:t>%)</w:t>
      </w:r>
      <w:r w:rsidRPr="00AC1F68">
        <w:rPr>
          <w:rFonts w:asciiTheme="minorHAnsi" w:hAnsiTheme="minorHAnsi" w:cs="Arial"/>
        </w:rPr>
        <w:t xml:space="preserve"> e soja </w:t>
      </w:r>
      <w:r>
        <w:rPr>
          <w:rFonts w:asciiTheme="minorHAnsi" w:hAnsiTheme="minorHAnsi" w:cs="Arial"/>
        </w:rPr>
        <w:t>(</w:t>
      </w:r>
      <w:r w:rsidRPr="00AC1F68">
        <w:rPr>
          <w:rFonts w:asciiTheme="minorHAnsi" w:hAnsiTheme="minorHAnsi" w:cs="Arial"/>
        </w:rPr>
        <w:t>15,5</w:t>
      </w:r>
      <w:r>
        <w:rPr>
          <w:rFonts w:asciiTheme="minorHAnsi" w:hAnsiTheme="minorHAnsi" w:cs="Arial"/>
        </w:rPr>
        <w:t>%)</w:t>
      </w:r>
      <w:r w:rsidRPr="00AC1F68">
        <w:rPr>
          <w:rFonts w:asciiTheme="minorHAnsi" w:hAnsiTheme="minorHAnsi" w:cs="Arial"/>
        </w:rPr>
        <w:t>.</w:t>
      </w:r>
      <w:r w:rsidR="00077F4F">
        <w:rPr>
          <w:rFonts w:asciiTheme="minorHAnsi" w:hAnsiTheme="minorHAnsi" w:cs="Arial"/>
        </w:rPr>
        <w:t xml:space="preserve"> </w:t>
      </w:r>
      <w:r w:rsidRPr="00AC1F68">
        <w:rPr>
          <w:rFonts w:asciiTheme="minorHAnsi" w:hAnsiTheme="minorHAnsi" w:cs="Arial"/>
        </w:rPr>
        <w:t>Os resultados de milho e soja devem-se aos preços maiores neste ano, e também às safras mais elevadas. O café teve forte recuperação</w:t>
      </w:r>
      <w:r>
        <w:rPr>
          <w:rFonts w:asciiTheme="minorHAnsi" w:hAnsiTheme="minorHAnsi" w:cs="Arial"/>
        </w:rPr>
        <w:t xml:space="preserve"> </w:t>
      </w:r>
      <w:r w:rsidRPr="00AC1F68">
        <w:rPr>
          <w:rFonts w:asciiTheme="minorHAnsi" w:hAnsiTheme="minorHAnsi" w:cs="Arial"/>
        </w:rPr>
        <w:t>- a safra do arábica é 22,3</w:t>
      </w:r>
      <w:r>
        <w:rPr>
          <w:rFonts w:asciiTheme="minorHAnsi" w:hAnsiTheme="minorHAnsi" w:cs="Arial"/>
        </w:rPr>
        <w:t>%</w:t>
      </w:r>
      <w:r w:rsidRPr="00AC1F68">
        <w:rPr>
          <w:rFonts w:asciiTheme="minorHAnsi" w:hAnsiTheme="minorHAnsi" w:cs="Arial"/>
        </w:rPr>
        <w:t xml:space="preserve"> maior, e os preços são 10,4% superiores aos do ano passado.</w:t>
      </w:r>
    </w:p>
    <w:p w:rsidR="00AC1F68" w:rsidRPr="00AC1F68" w:rsidRDefault="00AC1F68" w:rsidP="00AC1F68">
      <w:pPr>
        <w:spacing w:after="240"/>
        <w:ind w:firstLine="709"/>
        <w:jc w:val="both"/>
        <w:rPr>
          <w:rFonts w:asciiTheme="minorHAnsi" w:hAnsiTheme="minorHAnsi" w:cs="Arial"/>
        </w:rPr>
      </w:pPr>
      <w:r w:rsidRPr="00AC1F68">
        <w:rPr>
          <w:rFonts w:asciiTheme="minorHAnsi" w:hAnsiTheme="minorHAnsi" w:cs="Arial"/>
        </w:rPr>
        <w:t>Pior desempenho ocorre num número reduzido de produtos. Os que apresentam maiores quedas do VBP são banana, batata-inglesa e trigo. Outros, como feijão, tomate e uva, tiveram menor redução.</w:t>
      </w:r>
    </w:p>
    <w:p w:rsidR="00AC1F68" w:rsidRPr="00AC1F68" w:rsidRDefault="00AC1F68" w:rsidP="00AC1F68">
      <w:pPr>
        <w:spacing w:after="240"/>
        <w:ind w:firstLine="709"/>
        <w:jc w:val="both"/>
        <w:rPr>
          <w:rFonts w:asciiTheme="minorHAnsi" w:hAnsiTheme="minorHAnsi" w:cs="Arial"/>
        </w:rPr>
      </w:pPr>
      <w:r w:rsidRPr="00AC1F68">
        <w:rPr>
          <w:rFonts w:asciiTheme="minorHAnsi" w:hAnsiTheme="minorHAnsi" w:cs="Arial"/>
        </w:rPr>
        <w:t>Na pecuária, o pior resultado é o do leite que teve uma retração de 2,5</w:t>
      </w:r>
      <w:r>
        <w:rPr>
          <w:rFonts w:asciiTheme="minorHAnsi" w:hAnsiTheme="minorHAnsi" w:cs="Arial"/>
        </w:rPr>
        <w:t>%</w:t>
      </w:r>
      <w:r w:rsidRPr="00AC1F68">
        <w:rPr>
          <w:rFonts w:asciiTheme="minorHAnsi" w:hAnsiTheme="minorHAnsi" w:cs="Arial"/>
        </w:rPr>
        <w:t xml:space="preserve"> no valor. Por </w:t>
      </w:r>
      <w:r w:rsidR="00077F4F">
        <w:rPr>
          <w:rFonts w:asciiTheme="minorHAnsi" w:hAnsiTheme="minorHAnsi" w:cs="Arial"/>
        </w:rPr>
        <w:t>outro lado, carne bovina, suína</w:t>
      </w:r>
      <w:r w:rsidRPr="00AC1F68">
        <w:rPr>
          <w:rFonts w:asciiTheme="minorHAnsi" w:hAnsiTheme="minorHAnsi" w:cs="Arial"/>
        </w:rPr>
        <w:t xml:space="preserve"> e frango vêm apresentando bons resultados, em especial as duas primeiras. </w:t>
      </w:r>
      <w:r w:rsidR="00626D8E">
        <w:rPr>
          <w:rFonts w:asciiTheme="minorHAnsi" w:hAnsiTheme="minorHAnsi" w:cs="Arial"/>
        </w:rPr>
        <w:t xml:space="preserve">O </w:t>
      </w:r>
      <w:r w:rsidRPr="00AC1F68">
        <w:rPr>
          <w:rFonts w:asciiTheme="minorHAnsi" w:hAnsiTheme="minorHAnsi" w:cs="Arial"/>
        </w:rPr>
        <w:t xml:space="preserve"> faturamento de ovos não é tão bom como em 2019, mas apresenta resultados positivos</w:t>
      </w:r>
      <w:r w:rsidR="00626D8E">
        <w:rPr>
          <w:rFonts w:asciiTheme="minorHAnsi" w:hAnsiTheme="minorHAnsi" w:cs="Arial"/>
        </w:rPr>
        <w:t xml:space="preserve"> – alta de 4,7 % em relação a 2019</w:t>
      </w:r>
      <w:r w:rsidRPr="00AC1F68">
        <w:rPr>
          <w:rFonts w:asciiTheme="minorHAnsi" w:hAnsiTheme="minorHAnsi" w:cs="Arial"/>
        </w:rPr>
        <w:t>.</w:t>
      </w:r>
    </w:p>
    <w:p w:rsidR="00AC1F68" w:rsidRPr="00AC1F68" w:rsidRDefault="00AC1F68" w:rsidP="00AC1F68">
      <w:pPr>
        <w:spacing w:after="240"/>
        <w:ind w:firstLine="709"/>
        <w:jc w:val="both"/>
        <w:rPr>
          <w:rFonts w:asciiTheme="minorHAnsi" w:hAnsiTheme="minorHAnsi" w:cs="Arial"/>
        </w:rPr>
      </w:pPr>
      <w:r w:rsidRPr="00AC1F68">
        <w:rPr>
          <w:rFonts w:asciiTheme="minorHAnsi" w:hAnsiTheme="minorHAnsi" w:cs="Arial"/>
        </w:rPr>
        <w:t>Os resultados regionais mostram a liderança do Centro-Oeste com 31,8</w:t>
      </w:r>
      <w:r>
        <w:rPr>
          <w:rFonts w:asciiTheme="minorHAnsi" w:hAnsiTheme="minorHAnsi" w:cs="Arial"/>
        </w:rPr>
        <w:t>%</w:t>
      </w:r>
      <w:r w:rsidRPr="00AC1F68">
        <w:rPr>
          <w:rFonts w:asciiTheme="minorHAnsi" w:hAnsiTheme="minorHAnsi" w:cs="Arial"/>
        </w:rPr>
        <w:t xml:space="preserve"> do VBP total, seguida pelo Sul, 26,8</w:t>
      </w:r>
      <w:r>
        <w:rPr>
          <w:rFonts w:asciiTheme="minorHAnsi" w:hAnsiTheme="minorHAnsi" w:cs="Arial"/>
        </w:rPr>
        <w:t>%</w:t>
      </w:r>
      <w:r w:rsidRPr="00AC1F68">
        <w:rPr>
          <w:rFonts w:asciiTheme="minorHAnsi" w:hAnsiTheme="minorHAnsi" w:cs="Arial"/>
        </w:rPr>
        <w:t>, Sudeste, 25,2</w:t>
      </w:r>
      <w:r>
        <w:rPr>
          <w:rFonts w:asciiTheme="minorHAnsi" w:hAnsiTheme="minorHAnsi" w:cs="Arial"/>
        </w:rPr>
        <w:t>%</w:t>
      </w:r>
      <w:r w:rsidRPr="00AC1F68">
        <w:rPr>
          <w:rFonts w:asciiTheme="minorHAnsi" w:hAnsiTheme="minorHAnsi" w:cs="Arial"/>
        </w:rPr>
        <w:t>, Nordeste, 9,6</w:t>
      </w:r>
      <w:r>
        <w:rPr>
          <w:rFonts w:asciiTheme="minorHAnsi" w:hAnsiTheme="minorHAnsi" w:cs="Arial"/>
        </w:rPr>
        <w:t>%</w:t>
      </w:r>
      <w:r w:rsidRPr="00AC1F68">
        <w:rPr>
          <w:rFonts w:asciiTheme="minorHAnsi" w:hAnsiTheme="minorHAnsi" w:cs="Arial"/>
        </w:rPr>
        <w:t xml:space="preserve"> e Norte, 6,6</w:t>
      </w:r>
      <w:r>
        <w:rPr>
          <w:rFonts w:asciiTheme="minorHAnsi" w:hAnsiTheme="minorHAnsi" w:cs="Arial"/>
        </w:rPr>
        <w:t>%</w:t>
      </w:r>
      <w:r w:rsidRPr="00AC1F68">
        <w:rPr>
          <w:rFonts w:asciiTheme="minorHAnsi" w:hAnsiTheme="minorHAnsi" w:cs="Arial"/>
        </w:rPr>
        <w:t xml:space="preserve">. </w:t>
      </w:r>
    </w:p>
    <w:p w:rsidR="00AC1F68" w:rsidRPr="00AC1F68" w:rsidRDefault="00AC1F68" w:rsidP="00AC1F68">
      <w:pPr>
        <w:spacing w:after="240"/>
        <w:ind w:firstLine="709"/>
        <w:jc w:val="both"/>
        <w:rPr>
          <w:rFonts w:asciiTheme="minorHAnsi" w:hAnsiTheme="minorHAnsi" w:cs="Arial"/>
        </w:rPr>
      </w:pPr>
    </w:p>
    <w:p w:rsidR="00AC1F68" w:rsidRDefault="00AC1F68" w:rsidP="00AC1F68">
      <w:pPr>
        <w:spacing w:after="240"/>
        <w:ind w:firstLine="709"/>
        <w:jc w:val="both"/>
        <w:rPr>
          <w:rFonts w:asciiTheme="minorHAnsi" w:hAnsiTheme="minorHAnsi" w:cs="Arial"/>
        </w:rPr>
      </w:pPr>
    </w:p>
    <w:p w:rsidR="00AC1F68" w:rsidRDefault="00AC1F68" w:rsidP="00AC1F68">
      <w:pPr>
        <w:spacing w:after="240"/>
        <w:ind w:firstLine="709"/>
        <w:jc w:val="both"/>
        <w:rPr>
          <w:rFonts w:asciiTheme="minorHAnsi" w:hAnsiTheme="minorHAnsi" w:cs="Arial"/>
        </w:rPr>
      </w:pPr>
    </w:p>
    <w:p w:rsidR="00AC1F68" w:rsidRDefault="00AC1F68" w:rsidP="00AC1F68">
      <w:pPr>
        <w:spacing w:after="240"/>
        <w:ind w:firstLine="709"/>
        <w:jc w:val="both"/>
        <w:rPr>
          <w:rFonts w:asciiTheme="minorHAnsi" w:hAnsiTheme="minorHAnsi" w:cs="Arial"/>
        </w:rPr>
      </w:pPr>
    </w:p>
    <w:p w:rsidR="00AC1F68" w:rsidRDefault="00AC1F68" w:rsidP="00AC1F68">
      <w:pPr>
        <w:spacing w:after="240"/>
        <w:ind w:firstLine="709"/>
        <w:jc w:val="both"/>
        <w:rPr>
          <w:rFonts w:asciiTheme="minorHAnsi" w:hAnsiTheme="minorHAnsi" w:cs="Arial"/>
        </w:rPr>
      </w:pPr>
      <w:r w:rsidRPr="00AC1F68">
        <w:rPr>
          <w:rFonts w:asciiTheme="minorHAnsi" w:hAnsiTheme="minorHAnsi" w:cs="Arial"/>
        </w:rPr>
        <w:lastRenderedPageBreak/>
        <w:t>Participação dos Estados no Valor Bruto da Produção</w:t>
      </w:r>
    </w:p>
    <w:p w:rsidR="00AC1F68" w:rsidRPr="00AC1F68" w:rsidRDefault="00AC1F68" w:rsidP="00AC1F68">
      <w:pPr>
        <w:spacing w:after="240"/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72EE3627">
            <wp:extent cx="3703363" cy="41426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358" cy="4176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F68" w:rsidRPr="00AC1F68" w:rsidSect="00474CA3"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8A" w:rsidRDefault="0042258A">
      <w:r>
        <w:separator/>
      </w:r>
    </w:p>
  </w:endnote>
  <w:endnote w:type="continuationSeparator" w:id="0">
    <w:p w:rsidR="0042258A" w:rsidRDefault="0042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5" w:rsidRPr="003D33D5" w:rsidRDefault="003D33D5" w:rsidP="00011011">
    <w:pPr>
      <w:jc w:val="center"/>
      <w:rPr>
        <w:sz w:val="10"/>
        <w:szCs w:val="10"/>
      </w:rPr>
    </w:pPr>
  </w:p>
  <w:p w:rsidR="00BF2C12" w:rsidRPr="003D747F" w:rsidRDefault="00BF2C12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 xml:space="preserve">Esplanada dos Ministérios, Bloco D, Edifício Sede, </w:t>
    </w:r>
    <w:r w:rsidR="003D747F" w:rsidRPr="003D747F">
      <w:rPr>
        <w:rFonts w:ascii="Arial" w:hAnsi="Arial" w:cs="Arial"/>
        <w:sz w:val="20"/>
        <w:szCs w:val="20"/>
      </w:rPr>
      <w:t>5</w:t>
    </w:r>
    <w:r w:rsidRPr="003D747F">
      <w:rPr>
        <w:rFonts w:ascii="Arial" w:hAnsi="Arial" w:cs="Arial"/>
        <w:sz w:val="20"/>
        <w:szCs w:val="20"/>
      </w:rPr>
      <w:t xml:space="preserve">º andar, </w:t>
    </w:r>
    <w:r w:rsidR="003D747F" w:rsidRPr="003D747F">
      <w:rPr>
        <w:rFonts w:ascii="Arial" w:hAnsi="Arial" w:cs="Arial"/>
        <w:sz w:val="20"/>
        <w:szCs w:val="20"/>
      </w:rPr>
      <w:t>Brasília/DF</w:t>
    </w:r>
  </w:p>
  <w:p w:rsidR="00BF2C12" w:rsidRPr="003D747F" w:rsidRDefault="003D747F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spa</w:t>
    </w:r>
    <w:r w:rsidR="00BF2C12" w:rsidRPr="003D747F">
      <w:rPr>
        <w:rFonts w:ascii="Arial" w:hAnsi="Arial" w:cs="Arial"/>
        <w:sz w:val="20"/>
        <w:szCs w:val="20"/>
      </w:rPr>
      <w:t>@agricultura.gov.br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8A" w:rsidRDefault="0042258A">
      <w:r>
        <w:separator/>
      </w:r>
    </w:p>
  </w:footnote>
  <w:footnote w:type="continuationSeparator" w:id="0">
    <w:p w:rsidR="0042258A" w:rsidRDefault="0042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12" w:rsidRPr="003D747F" w:rsidRDefault="00BF2C12" w:rsidP="00326C85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:rsidR="0056612E" w:rsidRPr="003D747F" w:rsidRDefault="0056612E" w:rsidP="0056612E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:rsidR="0056612E" w:rsidRDefault="0056612E" w:rsidP="0056612E">
    <w:pPr>
      <w:jc w:val="center"/>
      <w:rPr>
        <w:rFonts w:ascii="Arial" w:hAnsi="Arial" w:cs="Arial"/>
        <w:sz w:val="22"/>
        <w:szCs w:val="22"/>
      </w:rPr>
    </w:pPr>
    <w:r w:rsidRPr="00E876A2">
      <w:rPr>
        <w:rFonts w:ascii="Arial" w:hAnsi="Arial" w:cs="Arial"/>
        <w:sz w:val="22"/>
        <w:szCs w:val="22"/>
      </w:rPr>
      <w:t xml:space="preserve">Departamento </w:t>
    </w:r>
    <w:r>
      <w:rPr>
        <w:rFonts w:ascii="Arial" w:hAnsi="Arial" w:cs="Arial"/>
        <w:sz w:val="22"/>
        <w:szCs w:val="22"/>
      </w:rPr>
      <w:t>de Financiamento e Informação - DFI</w:t>
    </w:r>
  </w:p>
  <w:p w:rsidR="00BF2C12" w:rsidRDefault="0056612E" w:rsidP="0056612E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 xml:space="preserve">Coordenação-Geral de </w:t>
    </w:r>
    <w:r w:rsidRPr="00AB429E">
      <w:rPr>
        <w:rFonts w:ascii="Arial" w:hAnsi="Arial" w:cs="Arial"/>
        <w:sz w:val="22"/>
        <w:szCs w:val="22"/>
      </w:rPr>
      <w:t>Avaliação de Política e Informação</w:t>
    </w:r>
    <w:r>
      <w:rPr>
        <w:rFonts w:ascii="Arial" w:hAnsi="Arial" w:cs="Arial"/>
        <w:sz w:val="22"/>
        <w:szCs w:val="22"/>
      </w:rPr>
      <w:t xml:space="preserve"> – CG</w:t>
    </w:r>
    <w:r w:rsidR="00CA212E">
      <w:rPr>
        <w:rFonts w:ascii="Arial" w:hAnsi="Arial" w:cs="Arial"/>
        <w:sz w:val="22"/>
        <w:szCs w:val="22"/>
      </w:rPr>
      <w:t>A</w:t>
    </w:r>
    <w:r>
      <w:rPr>
        <w:rFonts w:ascii="Arial" w:hAnsi="Arial" w:cs="Arial"/>
        <w:sz w:val="22"/>
        <w:szCs w:val="22"/>
      </w:rPr>
      <w:t>PI</w:t>
    </w:r>
  </w:p>
  <w:p w:rsidR="0056612E" w:rsidRPr="003D747F" w:rsidRDefault="0056612E" w:rsidP="0056612E">
    <w:pPr>
      <w:jc w:val="center"/>
      <w:rPr>
        <w:rFonts w:ascii="Arial" w:hAnsi="Arial" w:cs="Arial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71" w:rsidRDefault="00B87F71" w:rsidP="00B87F71">
    <w:pPr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448F112C" wp14:editId="3F92A51E">
          <wp:simplePos x="0" y="0"/>
          <wp:positionH relativeFrom="column">
            <wp:posOffset>2514600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6" name="Imagem 6" descr="LOGO_147_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47_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F71" w:rsidRDefault="00B87F71" w:rsidP="00B87F71">
    <w:pPr>
      <w:jc w:val="center"/>
      <w:rPr>
        <w:sz w:val="20"/>
        <w:szCs w:val="20"/>
      </w:rPr>
    </w:pPr>
  </w:p>
  <w:p w:rsidR="00B87F71" w:rsidRDefault="00B87F71" w:rsidP="00B87F71">
    <w:pPr>
      <w:jc w:val="center"/>
      <w:rPr>
        <w:sz w:val="20"/>
        <w:szCs w:val="20"/>
      </w:rPr>
    </w:pPr>
  </w:p>
  <w:p w:rsidR="00B87F71" w:rsidRDefault="00B87F71" w:rsidP="00B87F71">
    <w:pPr>
      <w:jc w:val="center"/>
      <w:rPr>
        <w:sz w:val="20"/>
        <w:szCs w:val="20"/>
      </w:rPr>
    </w:pPr>
  </w:p>
  <w:p w:rsidR="00B87F71" w:rsidRDefault="00B87F71" w:rsidP="00B87F71">
    <w:pPr>
      <w:jc w:val="center"/>
      <w:rPr>
        <w:sz w:val="20"/>
        <w:szCs w:val="20"/>
      </w:rPr>
    </w:pPr>
  </w:p>
  <w:p w:rsidR="00B87F71" w:rsidRDefault="00B87F71" w:rsidP="00B87F71">
    <w:pPr>
      <w:jc w:val="center"/>
      <w:rPr>
        <w:sz w:val="20"/>
        <w:szCs w:val="20"/>
      </w:rPr>
    </w:pPr>
  </w:p>
  <w:p w:rsidR="00B87F71" w:rsidRDefault="00B87F71" w:rsidP="00B87F71">
    <w:pPr>
      <w:jc w:val="center"/>
      <w:rPr>
        <w:sz w:val="20"/>
        <w:szCs w:val="20"/>
      </w:rPr>
    </w:pPr>
  </w:p>
  <w:p w:rsidR="00B87F71" w:rsidRPr="003D747F" w:rsidRDefault="00B87F71" w:rsidP="00B87F7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:rsidR="00B87F71" w:rsidRPr="003D747F" w:rsidRDefault="00B87F71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:rsidR="00E876A2" w:rsidRDefault="00E876A2" w:rsidP="00B87F71">
    <w:pPr>
      <w:jc w:val="center"/>
      <w:rPr>
        <w:rFonts w:ascii="Arial" w:hAnsi="Arial" w:cs="Arial"/>
        <w:sz w:val="22"/>
        <w:szCs w:val="22"/>
      </w:rPr>
    </w:pPr>
    <w:r w:rsidRPr="00E876A2">
      <w:rPr>
        <w:rFonts w:ascii="Arial" w:hAnsi="Arial" w:cs="Arial"/>
        <w:sz w:val="22"/>
        <w:szCs w:val="22"/>
      </w:rPr>
      <w:t xml:space="preserve">Departamento </w:t>
    </w:r>
    <w:r w:rsidR="00AB429E">
      <w:rPr>
        <w:rFonts w:ascii="Arial" w:hAnsi="Arial" w:cs="Arial"/>
        <w:sz w:val="22"/>
        <w:szCs w:val="22"/>
      </w:rPr>
      <w:t>de Financiamento e Informação - DFI</w:t>
    </w:r>
  </w:p>
  <w:p w:rsidR="00B87F71" w:rsidRPr="003D747F" w:rsidRDefault="00B87F71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 xml:space="preserve">Coordenação-Geral de </w:t>
    </w:r>
    <w:r w:rsidR="00AB429E" w:rsidRPr="00AB429E">
      <w:rPr>
        <w:rFonts w:ascii="Arial" w:hAnsi="Arial" w:cs="Arial"/>
        <w:sz w:val="22"/>
        <w:szCs w:val="22"/>
      </w:rPr>
      <w:t xml:space="preserve">Avaliação de Política </w:t>
    </w:r>
    <w:r w:rsidR="00876E61">
      <w:rPr>
        <w:rFonts w:ascii="Arial" w:hAnsi="Arial" w:cs="Arial"/>
        <w:sz w:val="22"/>
        <w:szCs w:val="22"/>
      </w:rPr>
      <w:t>da</w:t>
    </w:r>
    <w:r w:rsidR="00AB429E" w:rsidRPr="00AB429E">
      <w:rPr>
        <w:rFonts w:ascii="Arial" w:hAnsi="Arial" w:cs="Arial"/>
        <w:sz w:val="22"/>
        <w:szCs w:val="22"/>
      </w:rPr>
      <w:t xml:space="preserve"> Informação</w:t>
    </w:r>
    <w:r w:rsidR="00AB429E">
      <w:rPr>
        <w:rFonts w:ascii="Arial" w:hAnsi="Arial" w:cs="Arial"/>
        <w:sz w:val="22"/>
        <w:szCs w:val="22"/>
      </w:rPr>
      <w:t xml:space="preserve"> - CG</w:t>
    </w:r>
    <w:r w:rsidR="00CA7843">
      <w:rPr>
        <w:rFonts w:ascii="Arial" w:hAnsi="Arial" w:cs="Arial"/>
        <w:sz w:val="22"/>
        <w:szCs w:val="22"/>
      </w:rPr>
      <w:t>A</w:t>
    </w:r>
    <w:r w:rsidR="00AB429E">
      <w:rPr>
        <w:rFonts w:ascii="Arial" w:hAnsi="Arial" w:cs="Arial"/>
        <w:sz w:val="22"/>
        <w:szCs w:val="22"/>
      </w:rPr>
      <w:t>PI</w:t>
    </w:r>
  </w:p>
  <w:p w:rsidR="00B87F71" w:rsidRDefault="00B87F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187"/>
    <w:multiLevelType w:val="hybridMultilevel"/>
    <w:tmpl w:val="1172C62C"/>
    <w:lvl w:ilvl="0" w:tplc="0416000F">
      <w:start w:val="1"/>
      <w:numFmt w:val="decimal"/>
      <w:lvlText w:val="%1."/>
      <w:lvlJc w:val="left"/>
      <w:pPr>
        <w:ind w:left="2846" w:hanging="360"/>
      </w:pPr>
    </w:lvl>
    <w:lvl w:ilvl="1" w:tplc="04160019" w:tentative="1">
      <w:start w:val="1"/>
      <w:numFmt w:val="lowerLetter"/>
      <w:lvlText w:val="%2."/>
      <w:lvlJc w:val="left"/>
      <w:pPr>
        <w:ind w:left="3566" w:hanging="360"/>
      </w:pPr>
    </w:lvl>
    <w:lvl w:ilvl="2" w:tplc="0416001B" w:tentative="1">
      <w:start w:val="1"/>
      <w:numFmt w:val="lowerRoman"/>
      <w:lvlText w:val="%3."/>
      <w:lvlJc w:val="right"/>
      <w:pPr>
        <w:ind w:left="4286" w:hanging="180"/>
      </w:pPr>
    </w:lvl>
    <w:lvl w:ilvl="3" w:tplc="0416000F" w:tentative="1">
      <w:start w:val="1"/>
      <w:numFmt w:val="decimal"/>
      <w:lvlText w:val="%4."/>
      <w:lvlJc w:val="left"/>
      <w:pPr>
        <w:ind w:left="5006" w:hanging="360"/>
      </w:pPr>
    </w:lvl>
    <w:lvl w:ilvl="4" w:tplc="04160019" w:tentative="1">
      <w:start w:val="1"/>
      <w:numFmt w:val="lowerLetter"/>
      <w:lvlText w:val="%5."/>
      <w:lvlJc w:val="left"/>
      <w:pPr>
        <w:ind w:left="5726" w:hanging="360"/>
      </w:pPr>
    </w:lvl>
    <w:lvl w:ilvl="5" w:tplc="0416001B" w:tentative="1">
      <w:start w:val="1"/>
      <w:numFmt w:val="lowerRoman"/>
      <w:lvlText w:val="%6."/>
      <w:lvlJc w:val="right"/>
      <w:pPr>
        <w:ind w:left="6446" w:hanging="180"/>
      </w:pPr>
    </w:lvl>
    <w:lvl w:ilvl="6" w:tplc="0416000F" w:tentative="1">
      <w:start w:val="1"/>
      <w:numFmt w:val="decimal"/>
      <w:lvlText w:val="%7."/>
      <w:lvlJc w:val="left"/>
      <w:pPr>
        <w:ind w:left="7166" w:hanging="360"/>
      </w:pPr>
    </w:lvl>
    <w:lvl w:ilvl="7" w:tplc="04160019" w:tentative="1">
      <w:start w:val="1"/>
      <w:numFmt w:val="lowerLetter"/>
      <w:lvlText w:val="%8."/>
      <w:lvlJc w:val="left"/>
      <w:pPr>
        <w:ind w:left="7886" w:hanging="360"/>
      </w:pPr>
    </w:lvl>
    <w:lvl w:ilvl="8" w:tplc="0416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>
    <w:nsid w:val="08A4324E"/>
    <w:multiLevelType w:val="hybridMultilevel"/>
    <w:tmpl w:val="2B9C473A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52D4C52"/>
    <w:multiLevelType w:val="hybridMultilevel"/>
    <w:tmpl w:val="396A24FA"/>
    <w:lvl w:ilvl="0" w:tplc="0416000F">
      <w:start w:val="1"/>
      <w:numFmt w:val="decimal"/>
      <w:lvlText w:val="%1."/>
      <w:lvlJc w:val="left"/>
      <w:pPr>
        <w:ind w:left="3554" w:hanging="360"/>
      </w:pPr>
    </w:lvl>
    <w:lvl w:ilvl="1" w:tplc="04160019" w:tentative="1">
      <w:start w:val="1"/>
      <w:numFmt w:val="lowerLetter"/>
      <w:lvlText w:val="%2."/>
      <w:lvlJc w:val="left"/>
      <w:pPr>
        <w:ind w:left="4274" w:hanging="360"/>
      </w:pPr>
    </w:lvl>
    <w:lvl w:ilvl="2" w:tplc="0416001B" w:tentative="1">
      <w:start w:val="1"/>
      <w:numFmt w:val="lowerRoman"/>
      <w:lvlText w:val="%3."/>
      <w:lvlJc w:val="right"/>
      <w:pPr>
        <w:ind w:left="4994" w:hanging="180"/>
      </w:pPr>
    </w:lvl>
    <w:lvl w:ilvl="3" w:tplc="0416000F" w:tentative="1">
      <w:start w:val="1"/>
      <w:numFmt w:val="decimal"/>
      <w:lvlText w:val="%4."/>
      <w:lvlJc w:val="left"/>
      <w:pPr>
        <w:ind w:left="5714" w:hanging="360"/>
      </w:pPr>
    </w:lvl>
    <w:lvl w:ilvl="4" w:tplc="04160019" w:tentative="1">
      <w:start w:val="1"/>
      <w:numFmt w:val="lowerLetter"/>
      <w:lvlText w:val="%5."/>
      <w:lvlJc w:val="left"/>
      <w:pPr>
        <w:ind w:left="6434" w:hanging="360"/>
      </w:pPr>
    </w:lvl>
    <w:lvl w:ilvl="5" w:tplc="0416001B" w:tentative="1">
      <w:start w:val="1"/>
      <w:numFmt w:val="lowerRoman"/>
      <w:lvlText w:val="%6."/>
      <w:lvlJc w:val="right"/>
      <w:pPr>
        <w:ind w:left="7154" w:hanging="180"/>
      </w:pPr>
    </w:lvl>
    <w:lvl w:ilvl="6" w:tplc="0416000F" w:tentative="1">
      <w:start w:val="1"/>
      <w:numFmt w:val="decimal"/>
      <w:lvlText w:val="%7."/>
      <w:lvlJc w:val="left"/>
      <w:pPr>
        <w:ind w:left="7874" w:hanging="360"/>
      </w:pPr>
    </w:lvl>
    <w:lvl w:ilvl="7" w:tplc="04160019" w:tentative="1">
      <w:start w:val="1"/>
      <w:numFmt w:val="lowerLetter"/>
      <w:lvlText w:val="%8."/>
      <w:lvlJc w:val="left"/>
      <w:pPr>
        <w:ind w:left="8594" w:hanging="360"/>
      </w:pPr>
    </w:lvl>
    <w:lvl w:ilvl="8" w:tplc="0416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3">
    <w:nsid w:val="38A133F9"/>
    <w:multiLevelType w:val="hybridMultilevel"/>
    <w:tmpl w:val="398AC14C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AB"/>
    <w:rsid w:val="00000476"/>
    <w:rsid w:val="00002B61"/>
    <w:rsid w:val="00007450"/>
    <w:rsid w:val="00011011"/>
    <w:rsid w:val="00015B1E"/>
    <w:rsid w:val="00024D22"/>
    <w:rsid w:val="000265EC"/>
    <w:rsid w:val="0003104C"/>
    <w:rsid w:val="0004005A"/>
    <w:rsid w:val="0006103B"/>
    <w:rsid w:val="00077F4F"/>
    <w:rsid w:val="00081376"/>
    <w:rsid w:val="00082FC0"/>
    <w:rsid w:val="000A5DF0"/>
    <w:rsid w:val="000C2DD0"/>
    <w:rsid w:val="000C63B4"/>
    <w:rsid w:val="000D163C"/>
    <w:rsid w:val="000E1CDB"/>
    <w:rsid w:val="000E5751"/>
    <w:rsid w:val="000F776B"/>
    <w:rsid w:val="00133DF2"/>
    <w:rsid w:val="001361D2"/>
    <w:rsid w:val="00142399"/>
    <w:rsid w:val="00154DB0"/>
    <w:rsid w:val="00175A5B"/>
    <w:rsid w:val="00180DDA"/>
    <w:rsid w:val="00185E31"/>
    <w:rsid w:val="00192101"/>
    <w:rsid w:val="001966B1"/>
    <w:rsid w:val="001A04ED"/>
    <w:rsid w:val="001A3F0B"/>
    <w:rsid w:val="001A705E"/>
    <w:rsid w:val="001B7005"/>
    <w:rsid w:val="001B7F16"/>
    <w:rsid w:val="001C0B21"/>
    <w:rsid w:val="001D0386"/>
    <w:rsid w:val="001D1182"/>
    <w:rsid w:val="001E6275"/>
    <w:rsid w:val="0020309E"/>
    <w:rsid w:val="00204DD3"/>
    <w:rsid w:val="00207F60"/>
    <w:rsid w:val="00217539"/>
    <w:rsid w:val="00223A12"/>
    <w:rsid w:val="00223A27"/>
    <w:rsid w:val="00225545"/>
    <w:rsid w:val="002357EB"/>
    <w:rsid w:val="002365D9"/>
    <w:rsid w:val="002427F1"/>
    <w:rsid w:val="00244395"/>
    <w:rsid w:val="00246581"/>
    <w:rsid w:val="0025198E"/>
    <w:rsid w:val="00262853"/>
    <w:rsid w:val="00266344"/>
    <w:rsid w:val="00276EC7"/>
    <w:rsid w:val="00280ADC"/>
    <w:rsid w:val="00292910"/>
    <w:rsid w:val="002932FB"/>
    <w:rsid w:val="00295D72"/>
    <w:rsid w:val="002B5338"/>
    <w:rsid w:val="002C0100"/>
    <w:rsid w:val="002C3171"/>
    <w:rsid w:val="002C38D7"/>
    <w:rsid w:val="002D2864"/>
    <w:rsid w:val="002D755A"/>
    <w:rsid w:val="002F1D03"/>
    <w:rsid w:val="002F52CD"/>
    <w:rsid w:val="002F6BFC"/>
    <w:rsid w:val="002F79A7"/>
    <w:rsid w:val="003006E5"/>
    <w:rsid w:val="003039BE"/>
    <w:rsid w:val="003163AF"/>
    <w:rsid w:val="00326C85"/>
    <w:rsid w:val="00336EC9"/>
    <w:rsid w:val="003401E3"/>
    <w:rsid w:val="00346199"/>
    <w:rsid w:val="003915C8"/>
    <w:rsid w:val="003A3722"/>
    <w:rsid w:val="003D33D5"/>
    <w:rsid w:val="003D747F"/>
    <w:rsid w:val="003E0AE1"/>
    <w:rsid w:val="003E2DBC"/>
    <w:rsid w:val="003E56D4"/>
    <w:rsid w:val="003E5AF9"/>
    <w:rsid w:val="003F7EFF"/>
    <w:rsid w:val="00403BB3"/>
    <w:rsid w:val="0040501B"/>
    <w:rsid w:val="0042258A"/>
    <w:rsid w:val="00427B0F"/>
    <w:rsid w:val="0043294D"/>
    <w:rsid w:val="00441C68"/>
    <w:rsid w:val="00442D8C"/>
    <w:rsid w:val="004454FD"/>
    <w:rsid w:val="00463812"/>
    <w:rsid w:val="00467DB2"/>
    <w:rsid w:val="00474CA3"/>
    <w:rsid w:val="004752ED"/>
    <w:rsid w:val="00485034"/>
    <w:rsid w:val="00486464"/>
    <w:rsid w:val="004A2DB8"/>
    <w:rsid w:val="004A4ACC"/>
    <w:rsid w:val="004A681A"/>
    <w:rsid w:val="004B3690"/>
    <w:rsid w:val="004B43A1"/>
    <w:rsid w:val="004C22F7"/>
    <w:rsid w:val="004D11B7"/>
    <w:rsid w:val="004D549E"/>
    <w:rsid w:val="004E10AB"/>
    <w:rsid w:val="004E24AF"/>
    <w:rsid w:val="004E4B65"/>
    <w:rsid w:val="004E65F0"/>
    <w:rsid w:val="004E6FE8"/>
    <w:rsid w:val="004F0582"/>
    <w:rsid w:val="004F5AED"/>
    <w:rsid w:val="004F6F8F"/>
    <w:rsid w:val="00506F06"/>
    <w:rsid w:val="00525330"/>
    <w:rsid w:val="00527330"/>
    <w:rsid w:val="00530468"/>
    <w:rsid w:val="005370AA"/>
    <w:rsid w:val="005405E7"/>
    <w:rsid w:val="0056612E"/>
    <w:rsid w:val="0056622D"/>
    <w:rsid w:val="0057089B"/>
    <w:rsid w:val="005801A7"/>
    <w:rsid w:val="005870DC"/>
    <w:rsid w:val="00594136"/>
    <w:rsid w:val="00597F17"/>
    <w:rsid w:val="005C59D5"/>
    <w:rsid w:val="005D1987"/>
    <w:rsid w:val="005D6FAD"/>
    <w:rsid w:val="00603393"/>
    <w:rsid w:val="006042E2"/>
    <w:rsid w:val="00615B17"/>
    <w:rsid w:val="006173A9"/>
    <w:rsid w:val="0062337E"/>
    <w:rsid w:val="00626D8E"/>
    <w:rsid w:val="00640E4B"/>
    <w:rsid w:val="0064156F"/>
    <w:rsid w:val="006451F3"/>
    <w:rsid w:val="006457DD"/>
    <w:rsid w:val="00661A49"/>
    <w:rsid w:val="00676C2E"/>
    <w:rsid w:val="00687C2F"/>
    <w:rsid w:val="006A6261"/>
    <w:rsid w:val="006B2B73"/>
    <w:rsid w:val="006C0AE6"/>
    <w:rsid w:val="006C75F4"/>
    <w:rsid w:val="006E5948"/>
    <w:rsid w:val="006F31C8"/>
    <w:rsid w:val="006F668B"/>
    <w:rsid w:val="007032A8"/>
    <w:rsid w:val="0072466D"/>
    <w:rsid w:val="00734879"/>
    <w:rsid w:val="007377E6"/>
    <w:rsid w:val="007637ED"/>
    <w:rsid w:val="00766F7D"/>
    <w:rsid w:val="00770E7B"/>
    <w:rsid w:val="00787C48"/>
    <w:rsid w:val="00797D36"/>
    <w:rsid w:val="007A4DFC"/>
    <w:rsid w:val="007C281E"/>
    <w:rsid w:val="007C30DD"/>
    <w:rsid w:val="007E0310"/>
    <w:rsid w:val="007E606B"/>
    <w:rsid w:val="007E6C75"/>
    <w:rsid w:val="007E72CE"/>
    <w:rsid w:val="007F13D5"/>
    <w:rsid w:val="007F4378"/>
    <w:rsid w:val="007F615A"/>
    <w:rsid w:val="00800FDE"/>
    <w:rsid w:val="008018AA"/>
    <w:rsid w:val="00806898"/>
    <w:rsid w:val="00814978"/>
    <w:rsid w:val="00831119"/>
    <w:rsid w:val="00853EA6"/>
    <w:rsid w:val="00876E61"/>
    <w:rsid w:val="00885176"/>
    <w:rsid w:val="00885B0C"/>
    <w:rsid w:val="00893F00"/>
    <w:rsid w:val="008A1C03"/>
    <w:rsid w:val="008B38C7"/>
    <w:rsid w:val="008B64D1"/>
    <w:rsid w:val="008B7B91"/>
    <w:rsid w:val="008C5EF3"/>
    <w:rsid w:val="008D6700"/>
    <w:rsid w:val="008E71EC"/>
    <w:rsid w:val="008F63C4"/>
    <w:rsid w:val="0091306A"/>
    <w:rsid w:val="00931881"/>
    <w:rsid w:val="0093234C"/>
    <w:rsid w:val="00934CAA"/>
    <w:rsid w:val="00940644"/>
    <w:rsid w:val="00953355"/>
    <w:rsid w:val="0096613B"/>
    <w:rsid w:val="00975EDD"/>
    <w:rsid w:val="009828FB"/>
    <w:rsid w:val="00994A1F"/>
    <w:rsid w:val="009A5F57"/>
    <w:rsid w:val="009C1797"/>
    <w:rsid w:val="009C1CFC"/>
    <w:rsid w:val="009C6022"/>
    <w:rsid w:val="009D38E0"/>
    <w:rsid w:val="009F1350"/>
    <w:rsid w:val="00A000D2"/>
    <w:rsid w:val="00A24DB7"/>
    <w:rsid w:val="00A27E22"/>
    <w:rsid w:val="00A41434"/>
    <w:rsid w:val="00A627AD"/>
    <w:rsid w:val="00A7049A"/>
    <w:rsid w:val="00A75E79"/>
    <w:rsid w:val="00A87F88"/>
    <w:rsid w:val="00AB429E"/>
    <w:rsid w:val="00AB7023"/>
    <w:rsid w:val="00AC0536"/>
    <w:rsid w:val="00AC1F68"/>
    <w:rsid w:val="00AD103D"/>
    <w:rsid w:val="00AD2BDC"/>
    <w:rsid w:val="00AD7F54"/>
    <w:rsid w:val="00AE7855"/>
    <w:rsid w:val="00B077D7"/>
    <w:rsid w:val="00B26893"/>
    <w:rsid w:val="00B420F2"/>
    <w:rsid w:val="00B422A5"/>
    <w:rsid w:val="00B567EC"/>
    <w:rsid w:val="00B57DFE"/>
    <w:rsid w:val="00B741C3"/>
    <w:rsid w:val="00B7719A"/>
    <w:rsid w:val="00B81B66"/>
    <w:rsid w:val="00B84AE7"/>
    <w:rsid w:val="00B87F71"/>
    <w:rsid w:val="00B964BB"/>
    <w:rsid w:val="00BA2E53"/>
    <w:rsid w:val="00BB454C"/>
    <w:rsid w:val="00BB4A02"/>
    <w:rsid w:val="00BB5F0E"/>
    <w:rsid w:val="00BC5DB8"/>
    <w:rsid w:val="00BC7EEA"/>
    <w:rsid w:val="00BD1FD4"/>
    <w:rsid w:val="00BD64D4"/>
    <w:rsid w:val="00BE3F5A"/>
    <w:rsid w:val="00BE5BAD"/>
    <w:rsid w:val="00BF2C12"/>
    <w:rsid w:val="00C0317A"/>
    <w:rsid w:val="00C07076"/>
    <w:rsid w:val="00C22594"/>
    <w:rsid w:val="00C23FF3"/>
    <w:rsid w:val="00C346BE"/>
    <w:rsid w:val="00C41238"/>
    <w:rsid w:val="00C41421"/>
    <w:rsid w:val="00C518FF"/>
    <w:rsid w:val="00C5542C"/>
    <w:rsid w:val="00C606D5"/>
    <w:rsid w:val="00C65BF1"/>
    <w:rsid w:val="00C93607"/>
    <w:rsid w:val="00CA212E"/>
    <w:rsid w:val="00CA7843"/>
    <w:rsid w:val="00CB351A"/>
    <w:rsid w:val="00CB5957"/>
    <w:rsid w:val="00CB737D"/>
    <w:rsid w:val="00CE1F31"/>
    <w:rsid w:val="00D030A0"/>
    <w:rsid w:val="00D17C12"/>
    <w:rsid w:val="00D42683"/>
    <w:rsid w:val="00D46BA6"/>
    <w:rsid w:val="00D50C05"/>
    <w:rsid w:val="00D532CF"/>
    <w:rsid w:val="00D5693F"/>
    <w:rsid w:val="00D614D0"/>
    <w:rsid w:val="00D6441F"/>
    <w:rsid w:val="00D728EC"/>
    <w:rsid w:val="00D7732B"/>
    <w:rsid w:val="00D86160"/>
    <w:rsid w:val="00DA2122"/>
    <w:rsid w:val="00DB182C"/>
    <w:rsid w:val="00DB6371"/>
    <w:rsid w:val="00DC5F12"/>
    <w:rsid w:val="00DF05FF"/>
    <w:rsid w:val="00DF19FA"/>
    <w:rsid w:val="00DF2CE0"/>
    <w:rsid w:val="00DF480F"/>
    <w:rsid w:val="00E0144F"/>
    <w:rsid w:val="00E03A2D"/>
    <w:rsid w:val="00E1427D"/>
    <w:rsid w:val="00E3136D"/>
    <w:rsid w:val="00E36EFA"/>
    <w:rsid w:val="00E4437C"/>
    <w:rsid w:val="00E67377"/>
    <w:rsid w:val="00E8358C"/>
    <w:rsid w:val="00E876A2"/>
    <w:rsid w:val="00E87E37"/>
    <w:rsid w:val="00E93746"/>
    <w:rsid w:val="00E95F67"/>
    <w:rsid w:val="00E965CC"/>
    <w:rsid w:val="00EA2ABC"/>
    <w:rsid w:val="00EA360C"/>
    <w:rsid w:val="00EB3AB0"/>
    <w:rsid w:val="00EB476C"/>
    <w:rsid w:val="00EC3062"/>
    <w:rsid w:val="00EE46B1"/>
    <w:rsid w:val="00EE5410"/>
    <w:rsid w:val="00EF33C2"/>
    <w:rsid w:val="00EF4263"/>
    <w:rsid w:val="00EF43A4"/>
    <w:rsid w:val="00EF4798"/>
    <w:rsid w:val="00F16AE3"/>
    <w:rsid w:val="00F438B9"/>
    <w:rsid w:val="00F615DA"/>
    <w:rsid w:val="00F6189E"/>
    <w:rsid w:val="00F6368C"/>
    <w:rsid w:val="00F72965"/>
    <w:rsid w:val="00F73E09"/>
    <w:rsid w:val="00F833B8"/>
    <w:rsid w:val="00FA1EFF"/>
    <w:rsid w:val="00FB6B6E"/>
    <w:rsid w:val="00FC1290"/>
    <w:rsid w:val="00FE3E21"/>
    <w:rsid w:val="00FF1AC5"/>
    <w:rsid w:val="00FF5ACF"/>
    <w:rsid w:val="00FF6DAC"/>
    <w:rsid w:val="00FF6DCD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C1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26C85"/>
    <w:pPr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26C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6C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00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B476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2030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0309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semiHidden/>
    <w:rsid w:val="003D33D5"/>
    <w:rPr>
      <w:sz w:val="20"/>
      <w:szCs w:val="20"/>
    </w:rPr>
  </w:style>
  <w:style w:type="character" w:styleId="Refdenotaderodap">
    <w:name w:val="footnote reference"/>
    <w:basedOn w:val="Fontepargpadro"/>
    <w:semiHidden/>
    <w:rsid w:val="003D3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C1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26C85"/>
    <w:pPr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26C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6C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00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B476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2030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0309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semiHidden/>
    <w:rsid w:val="003D33D5"/>
    <w:rPr>
      <w:sz w:val="20"/>
      <w:szCs w:val="20"/>
    </w:rPr>
  </w:style>
  <w:style w:type="character" w:styleId="Refdenotaderodap">
    <w:name w:val="footnote reference"/>
    <w:basedOn w:val="Fontepargpadro"/>
    <w:semiHidden/>
    <w:rsid w:val="003D3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.bastos\Documents\Modelos%20Personalizados%20do%20Office\NOTA%20CGAPI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CGAPI 2020</Template>
  <TotalTime>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MEMO/COSIS/CGTI/SPOA/SE/MAPA – Nº         /2011</vt:lpstr>
    </vt:vector>
  </TitlesOfParts>
  <Company>MAPA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MEMO/COSIS/CGTI/SPOA/SE/MAPA – Nº         /2011</dc:title>
  <dc:creator>Eliana Teles Bastos</dc:creator>
  <cp:lastModifiedBy>Asus</cp:lastModifiedBy>
  <cp:revision>2</cp:revision>
  <cp:lastPrinted>2015-01-22T14:11:00Z</cp:lastPrinted>
  <dcterms:created xsi:type="dcterms:W3CDTF">2020-03-16T15:37:00Z</dcterms:created>
  <dcterms:modified xsi:type="dcterms:W3CDTF">2020-03-16T15:37:00Z</dcterms:modified>
</cp:coreProperties>
</file>