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02" w:rsidRPr="003C54E1" w:rsidRDefault="00C87B02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3C54E1">
        <w:rPr>
          <w:rFonts w:ascii="Arial" w:hAnsi="Arial" w:cs="Arial"/>
          <w:b/>
        </w:rPr>
        <w:t>MINISTÉRIO DA AGRICULTURA, PECUÁRIA E ABASTECIMENTO</w:t>
      </w:r>
    </w:p>
    <w:p w:rsidR="00C87B02" w:rsidRPr="003C54E1" w:rsidRDefault="00C87B02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3C54E1">
        <w:rPr>
          <w:rFonts w:ascii="Arial" w:hAnsi="Arial" w:cs="Arial"/>
          <w:b/>
        </w:rPr>
        <w:t>Secretaria de Relações Internacionais do Agronegócio</w:t>
      </w:r>
    </w:p>
    <w:p w:rsidR="00C87B02" w:rsidRPr="003C54E1" w:rsidRDefault="00C87B02">
      <w:pPr>
        <w:pStyle w:val="Ttulo1"/>
        <w:rPr>
          <w:rFonts w:ascii="Arial" w:hAnsi="Arial" w:cs="Arial"/>
          <w:sz w:val="20"/>
          <w:szCs w:val="20"/>
        </w:rPr>
      </w:pPr>
    </w:p>
    <w:p w:rsidR="00C87B02" w:rsidRDefault="00C87B02">
      <w:pPr>
        <w:pStyle w:val="Ttulo1"/>
        <w:rPr>
          <w:rFonts w:ascii="Arial" w:hAnsi="Arial" w:cs="Arial"/>
          <w:sz w:val="20"/>
          <w:szCs w:val="20"/>
        </w:rPr>
      </w:pPr>
      <w:r w:rsidRPr="003C54E1">
        <w:rPr>
          <w:rFonts w:ascii="Arial" w:hAnsi="Arial" w:cs="Arial"/>
          <w:sz w:val="20"/>
          <w:szCs w:val="20"/>
        </w:rPr>
        <w:t>Bal</w:t>
      </w:r>
      <w:r>
        <w:rPr>
          <w:rFonts w:ascii="Arial" w:hAnsi="Arial" w:cs="Arial"/>
          <w:sz w:val="20"/>
          <w:szCs w:val="20"/>
        </w:rPr>
        <w:t xml:space="preserve">ança Comercial do Agronegócio – </w:t>
      </w:r>
      <w:proofErr w:type="gramStart"/>
      <w:r w:rsidR="00171A0D">
        <w:rPr>
          <w:rFonts w:ascii="Arial" w:hAnsi="Arial" w:cs="Arial"/>
          <w:sz w:val="20"/>
          <w:szCs w:val="20"/>
        </w:rPr>
        <w:t>Agosto</w:t>
      </w:r>
      <w:proofErr w:type="gramEnd"/>
      <w:r w:rsidR="004215B4">
        <w:rPr>
          <w:rFonts w:ascii="Arial" w:hAnsi="Arial" w:cs="Arial"/>
          <w:sz w:val="20"/>
          <w:szCs w:val="20"/>
        </w:rPr>
        <w:t>/2017</w:t>
      </w:r>
    </w:p>
    <w:p w:rsidR="008035E6" w:rsidRDefault="008035E6" w:rsidP="008035E6"/>
    <w:p w:rsidR="008035E6" w:rsidRDefault="00171A0D" w:rsidP="008035E6">
      <w:r w:rsidRPr="00171A0D">
        <w:rPr>
          <w:noProof/>
        </w:rPr>
        <w:drawing>
          <wp:inline distT="0" distB="0" distL="0" distR="0" wp14:anchorId="27DA95F1" wp14:editId="7741155B">
            <wp:extent cx="6480175" cy="30518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B02" w:rsidRPr="003C54E1" w:rsidRDefault="00C87B02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E04FAF" w:rsidRDefault="00E04FAF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C87B02" w:rsidRDefault="00C87B02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3C54E1">
        <w:rPr>
          <w:rFonts w:ascii="Arial" w:hAnsi="Arial" w:cs="Arial"/>
          <w:sz w:val="20"/>
          <w:szCs w:val="20"/>
        </w:rPr>
        <w:t xml:space="preserve">I </w:t>
      </w:r>
      <w:r w:rsidR="001D51EE">
        <w:rPr>
          <w:rFonts w:ascii="Arial" w:hAnsi="Arial" w:cs="Arial"/>
          <w:sz w:val="20"/>
          <w:szCs w:val="20"/>
        </w:rPr>
        <w:t>–</w:t>
      </w:r>
      <w:r w:rsidRPr="003C54E1">
        <w:rPr>
          <w:rFonts w:ascii="Arial" w:hAnsi="Arial" w:cs="Arial"/>
          <w:sz w:val="20"/>
          <w:szCs w:val="20"/>
        </w:rPr>
        <w:t xml:space="preserve"> Resultados do mês</w:t>
      </w:r>
      <w:r w:rsidR="004215B4">
        <w:rPr>
          <w:rFonts w:ascii="Arial" w:hAnsi="Arial" w:cs="Arial"/>
          <w:sz w:val="20"/>
          <w:szCs w:val="20"/>
        </w:rPr>
        <w:t xml:space="preserve"> (comparativo </w:t>
      </w:r>
      <w:r w:rsidR="00171A0D">
        <w:rPr>
          <w:rFonts w:ascii="Arial" w:hAnsi="Arial" w:cs="Arial"/>
          <w:sz w:val="20"/>
          <w:szCs w:val="20"/>
        </w:rPr>
        <w:t>Agosto</w:t>
      </w:r>
      <w:r w:rsidR="004215B4">
        <w:rPr>
          <w:rFonts w:ascii="Arial" w:hAnsi="Arial" w:cs="Arial"/>
          <w:sz w:val="20"/>
          <w:szCs w:val="20"/>
        </w:rPr>
        <w:t>/2017</w:t>
      </w:r>
      <w:r w:rsidR="00D50BB5">
        <w:rPr>
          <w:rFonts w:ascii="Arial" w:hAnsi="Arial" w:cs="Arial"/>
          <w:sz w:val="20"/>
          <w:szCs w:val="20"/>
        </w:rPr>
        <w:t xml:space="preserve"> – </w:t>
      </w:r>
      <w:proofErr w:type="gramStart"/>
      <w:r w:rsidR="00171A0D">
        <w:rPr>
          <w:rFonts w:ascii="Arial" w:hAnsi="Arial" w:cs="Arial"/>
          <w:sz w:val="20"/>
          <w:szCs w:val="20"/>
        </w:rPr>
        <w:t>Agosto</w:t>
      </w:r>
      <w:proofErr w:type="gramEnd"/>
      <w:r w:rsidR="00171A0D">
        <w:rPr>
          <w:rFonts w:ascii="Arial" w:hAnsi="Arial" w:cs="Arial"/>
          <w:sz w:val="20"/>
          <w:szCs w:val="20"/>
        </w:rPr>
        <w:t>/</w:t>
      </w:r>
      <w:r w:rsidR="004215B4">
        <w:rPr>
          <w:rFonts w:ascii="Arial" w:hAnsi="Arial" w:cs="Arial"/>
          <w:sz w:val="20"/>
          <w:szCs w:val="20"/>
        </w:rPr>
        <w:t>2016</w:t>
      </w:r>
      <w:r w:rsidR="001D51EE">
        <w:rPr>
          <w:rFonts w:ascii="Arial" w:hAnsi="Arial" w:cs="Arial"/>
          <w:sz w:val="20"/>
          <w:szCs w:val="20"/>
        </w:rPr>
        <w:t>)</w:t>
      </w:r>
    </w:p>
    <w:p w:rsidR="00A16A28" w:rsidRDefault="00A16A28" w:rsidP="00A16A28"/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>Em agosto de 2017, as exportações do agronegócio brasileiro alcançaram o montante de US$ 9,04 bilhões, o que significou crescimento de 18,5% em comparação aos US$ 7,63 bilhões exportados em agosto de 2016. Com esse valor, o agronegócio representou 46,4% do total das vendas externas brasileiras no mês. As importações do agronegócio totalizaram US$ 1,19 bilhão em agosto, com retração de 3,9% em relação ao mesmo período do ano anterior. Como resultado, o saldo da balança comercial do agronegócio no mês de agosto de 2017 foi de US$ 7,85 bilhões (+22,8%).</w:t>
      </w:r>
    </w:p>
    <w:p w:rsidR="005F69F8" w:rsidRDefault="005F69F8" w:rsidP="005F69F8"/>
    <w:p w:rsidR="005F69F8" w:rsidRDefault="005F69F8" w:rsidP="005F69F8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1D51EE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– Setores do Agronegócio</w:t>
      </w:r>
    </w:p>
    <w:p w:rsidR="005F69F8" w:rsidRDefault="005F69F8" w:rsidP="005F69F8"/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>Os cinco principais setores do agronegócio no período foram: complexo soja, com participação de 30,7% das exportações; carnes, com 16,6%; complexo sucroalcooleiro, com 12,6%; produtos florestais, com 11,2%; e cereais, farinhas e preparações, com participação de 9,6%.  Em conjunto, as vendas externas dos cinco setores mencionados apresentaram participação de 80,8% do total exportado pelo agronegócio brasileiro em agosto de 2017.</w:t>
      </w:r>
    </w:p>
    <w:p w:rsidR="004731CC" w:rsidRPr="001C664D" w:rsidRDefault="004731CC" w:rsidP="004731CC">
      <w:pPr>
        <w:pStyle w:val="Recuodecorpodetexto"/>
        <w:rPr>
          <w:rFonts w:ascii="Arial" w:hAnsi="Arial" w:cs="Arial"/>
          <w:sz w:val="20"/>
          <w:szCs w:val="20"/>
        </w:rPr>
      </w:pP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>As exportações do complexo soja cresceram 27,9% em relação a agosto de 2016, com a cifra de US$ 2,78 bilhões. A maior parcela desse valor foi gerada pelas exportações de soja em grãos, que alcançaram quantidade recorde para o mês de agosto com 5,95 milhões de toneladas (+55,9%), o que resultou em uma cifra de US$ 2,23 bilhões (+40,5%). Apesar disso, o preço médio do produto caiu 9,9% no período, passando de US$ 417 para US$ 376 por tonelada. O farelo de soja foi o segundo principal produto negociado pelo setor, com receita de US$ 426,05 milhões (-7,8%) para 1,23 milhão de toneladas embarcadas (+12,2%) e preço médio no período de US$ 347 por tonelada (-17,8%). Já as vendas externas de óleo de soja totalizaram US$ 115,18 milhões (-2,3%), com alta no preço médio do produto (+8,3%) e queda na quantidade comercializada (-9,7%), com 154,50 mil toneladas.</w:t>
      </w:r>
    </w:p>
    <w:p w:rsidR="004731CC" w:rsidRPr="001C664D" w:rsidRDefault="004731CC" w:rsidP="004731CC">
      <w:pPr>
        <w:pStyle w:val="Recuodecorpodetexto"/>
        <w:rPr>
          <w:rFonts w:ascii="Arial" w:hAnsi="Arial" w:cs="Arial"/>
          <w:sz w:val="20"/>
          <w:szCs w:val="20"/>
        </w:rPr>
      </w:pP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 xml:space="preserve">As exportações de carnes totalizaram US$ 1,50 bilhão em agosto, um incremento de 20,0% ante o US$ 1,25 bilhão verificado no mesmo mês do ano anterior. Houve expansão de 16,5% no </w:t>
      </w:r>
      <w:r w:rsidR="0004621E">
        <w:rPr>
          <w:rFonts w:ascii="Arial" w:hAnsi="Arial" w:cs="Arial"/>
          <w:i/>
          <w:sz w:val="20"/>
          <w:szCs w:val="20"/>
        </w:rPr>
        <w:t>quantum</w:t>
      </w:r>
      <w:bookmarkStart w:id="0" w:name="_GoBack"/>
      <w:bookmarkEnd w:id="0"/>
      <w:r w:rsidRPr="001C664D">
        <w:rPr>
          <w:rFonts w:ascii="Arial" w:hAnsi="Arial" w:cs="Arial"/>
          <w:sz w:val="20"/>
          <w:szCs w:val="20"/>
        </w:rPr>
        <w:t xml:space="preserve"> comercializado, com 650,50 mil toneladas, e elevação do preço médio dos produtos do setor à taxa de 3,0%. O principal item negociado no mês foi a carne de frango, com US$ 678,70 milhões (+12,6%). Com a comercialização de 407,57 mil toneladas no mês, houve variação positiva de 14,1% em relação a agosto de 2016. Não obstante, o preço médio da carne de frango brasileira negociada no mercado internacional passou de US$ 1.668 por tonelada para US$ 1.665 por tonelada (-1,3%). Destaque-se ainda que as vendas de carne de frango </w:t>
      </w:r>
      <w:r w:rsidRPr="00F73C63">
        <w:rPr>
          <w:rFonts w:ascii="Arial" w:hAnsi="Arial" w:cs="Arial"/>
          <w:i/>
          <w:sz w:val="20"/>
          <w:szCs w:val="20"/>
        </w:rPr>
        <w:t>in natura</w:t>
      </w:r>
      <w:r w:rsidRPr="001C664D">
        <w:rPr>
          <w:rFonts w:ascii="Arial" w:hAnsi="Arial" w:cs="Arial"/>
          <w:sz w:val="20"/>
          <w:szCs w:val="20"/>
        </w:rPr>
        <w:t xml:space="preserve"> atingiram recordes em valor e quantidade para o mês de agosto (US$ 619,63 milhões e 382,72 mil toneladas). Já as exportações de carne bovina cresceram 35,1% em valor, totalizando US$ 606,56 milhões. Em quantidade, houve incremento de 34,4%, sendo embarcadas 145,73 mil toneladas. Já o preço médio subiu 0,5%, atingindo a cotação de US$ 4.162 por tonelada. As exportações de carne suína </w:t>
      </w:r>
      <w:r w:rsidRPr="00F73C63">
        <w:rPr>
          <w:rFonts w:ascii="Arial" w:hAnsi="Arial" w:cs="Arial"/>
          <w:i/>
          <w:sz w:val="20"/>
          <w:szCs w:val="20"/>
        </w:rPr>
        <w:t>in natura</w:t>
      </w:r>
      <w:r w:rsidRPr="001C664D">
        <w:rPr>
          <w:rFonts w:ascii="Arial" w:hAnsi="Arial" w:cs="Arial"/>
          <w:sz w:val="20"/>
          <w:szCs w:val="20"/>
        </w:rPr>
        <w:t xml:space="preserve"> alcançaram a cifra recorde para o mês de agosto de US$ 143,08 milhões (+12,7%), com </w:t>
      </w:r>
      <w:r w:rsidRPr="001C664D">
        <w:rPr>
          <w:rFonts w:ascii="Arial" w:hAnsi="Arial" w:cs="Arial"/>
          <w:sz w:val="20"/>
          <w:szCs w:val="20"/>
        </w:rPr>
        <w:lastRenderedPageBreak/>
        <w:t xml:space="preserve">aumento de 2,4% no </w:t>
      </w:r>
      <w:r w:rsidRPr="00F73C63">
        <w:rPr>
          <w:rFonts w:ascii="Arial" w:hAnsi="Arial" w:cs="Arial"/>
          <w:i/>
          <w:sz w:val="20"/>
          <w:szCs w:val="20"/>
        </w:rPr>
        <w:t>quantum</w:t>
      </w:r>
      <w:r w:rsidRPr="001C664D">
        <w:rPr>
          <w:rFonts w:ascii="Arial" w:hAnsi="Arial" w:cs="Arial"/>
          <w:sz w:val="20"/>
          <w:szCs w:val="20"/>
        </w:rPr>
        <w:t xml:space="preserve"> comercializado e elevação de 10,1% na cotação do produto brasileiro no período. Por fim, as exportações de carne de peru alcançaram o valor de US$ 23,93 milhões (-23,2%) com o embarque de 9,66 mil toneladas (-17,6%).</w:t>
      </w: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>A seguir, destacaram-se as vendas externas do complexo sucroalcooleiro, que atingiram o montante de US$ 1,14 bilhão, o que representou diminuição de 6,5% quando comparado com o valor exportado em agosto de 2016 (US$ 1,22 bilhão). As vendas de açúcar foram o destaque do setor, com o total de US$ 1,05 bilhão (-7,2%) e 2,77 milhões de toneladas negociadas (-6,7%). O álcool etílico obteve US$ 90,07 milhões de receita de exportação (+2,3%), com incremento de 4,9% na quantidade comercializada (141,47 mil toneladas) e retração do preço médio do produto, que atingiu a cotação de US$ 637</w:t>
      </w:r>
      <w:r w:rsidR="00F73C63">
        <w:rPr>
          <w:rFonts w:ascii="Arial" w:hAnsi="Arial" w:cs="Arial"/>
          <w:sz w:val="20"/>
          <w:szCs w:val="20"/>
        </w:rPr>
        <w:t xml:space="preserve"> </w:t>
      </w:r>
      <w:r w:rsidRPr="001C664D">
        <w:rPr>
          <w:rFonts w:ascii="Arial" w:hAnsi="Arial" w:cs="Arial"/>
          <w:sz w:val="20"/>
          <w:szCs w:val="20"/>
        </w:rPr>
        <w:t xml:space="preserve">por tonelada (-2,5%). </w:t>
      </w: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 xml:space="preserve">Em quarto lugar no </w:t>
      </w:r>
      <w:r w:rsidRPr="00F73C63">
        <w:rPr>
          <w:rFonts w:ascii="Arial" w:hAnsi="Arial" w:cs="Arial"/>
          <w:i/>
          <w:sz w:val="20"/>
          <w:szCs w:val="20"/>
        </w:rPr>
        <w:t>ranking</w:t>
      </w:r>
      <w:r w:rsidRPr="001C664D">
        <w:rPr>
          <w:rFonts w:ascii="Arial" w:hAnsi="Arial" w:cs="Arial"/>
          <w:sz w:val="20"/>
          <w:szCs w:val="20"/>
        </w:rPr>
        <w:t xml:space="preserve"> dos setores do agronegócio que mais exportaram em valor, os produtos florestais registraram a soma de US$ 1,02 bilhão, com crescimento de 18,9% em relação aos US$ 854,36 milhões obtidos em agosto do ano anterior. O principal produto negociado foi a celulose, com o valor e a quantidade recordes para o mês de agosto de US$ 569,40 milhões (+31,1%) e 1,18 milhão de toneladas (+8,8%). Em seguida destacaram-se as exportações de madeiras e suas obras, que cresceram 8,2% em valor (US$ 283,38 milhões) e decresceram 9,9% em volume (496,10 mil toneladas). As vendas externas de papel totalizaram US$ 162,20 milhões no mês (+2,5%), com a comercialização de 177,73 mil toneladas (-1,5%). </w:t>
      </w: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 xml:space="preserve">Completando os cinco principais setores do agronegócio em agosto de 2017, o setor de cereais, farinhas e preparações obteve receita de exportação de US$ 869,71 milhões no mês, o que significou expansão de 86,6% em comparação a agosto de 2016, quando atingiu-se a soma de US$ 466,05 milhões. Em quantidade, houve aumento de 105,0%, enquanto a cotação média das exportações brasileiras dos produtos do setor sofreu queda de 9,0%. As vendas de milho representaram 94,0% do total comercializado pelo setor e atingiram o patamar recorde para o mês de agosto de US$ 817,55 milhões (+89,3%), enquanto a quantidade também, recorde do cereal cresceu 105,0% (5,26 milhões de toneladas) em relação a igual período do ano anterior. </w:t>
      </w: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731CC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>No que se refere às importações do agronegócio, como já mencionado, atingiu-se a soma de US$ 1,19 bilhão. Os principais produtos adquiridos no mês foram: trigo (US$ 130,31 milhões e +14,8%); papel (US$ 83,73 milhões e +22,6%); álcool etílico (US$ 64,27 milhões e +70,2%); vestuário e outros produtos têxteis de algodão (US$ 51,42 milhões e +41,5%); vinho (US$ 42,45 milhões e +33,1%); salmões vivos (US$ 39,87 milhões e -13,1%); borracha natural (US$ 35,71 milhões e +24,5%); malte (US$ 32,35 milhões e +62,5%); arroz (US$ 31,97 milhões e -27,1%); batatas preparadas (US$ 31,65 milhões e +36,3%); azeite de oliva (US$ 27,26 milhões e +6,3%); e leite em pó (US$ 24,36 milhões e -43,2%).</w:t>
      </w:r>
    </w:p>
    <w:p w:rsidR="00AE6DA6" w:rsidRPr="001C664D" w:rsidRDefault="00AE6DA6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850D44" w:rsidRDefault="00850D44" w:rsidP="005F69F8"/>
    <w:p w:rsidR="004731CC" w:rsidRDefault="004731CC" w:rsidP="005F69F8">
      <w:r w:rsidRPr="004731CC">
        <w:rPr>
          <w:noProof/>
        </w:rPr>
        <w:drawing>
          <wp:inline distT="0" distB="0" distL="0" distR="0" wp14:anchorId="125DF69D" wp14:editId="7FAFBA92">
            <wp:extent cx="6480175" cy="38550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9F8" w:rsidRPr="00AF59CE" w:rsidRDefault="005F69F8" w:rsidP="005F69F8">
      <w:pPr>
        <w:jc w:val="both"/>
        <w:rPr>
          <w:rFonts w:ascii="Arial" w:hAnsi="Arial" w:cs="Arial"/>
          <w:sz w:val="20"/>
          <w:szCs w:val="20"/>
        </w:rPr>
      </w:pPr>
      <w:r w:rsidRPr="00AF59CE">
        <w:rPr>
          <w:rFonts w:ascii="Arial" w:hAnsi="Arial" w:cs="Arial"/>
          <w:sz w:val="20"/>
          <w:szCs w:val="20"/>
        </w:rPr>
        <w:t xml:space="preserve"> </w:t>
      </w:r>
    </w:p>
    <w:p w:rsidR="00AE6DA6" w:rsidRDefault="00AE6DA6" w:rsidP="001D51E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1D51EE" w:rsidRDefault="001D51EE" w:rsidP="001D51E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1D51EE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>b</w:t>
      </w:r>
      <w:proofErr w:type="spellEnd"/>
      <w:r>
        <w:rPr>
          <w:rFonts w:ascii="Arial" w:hAnsi="Arial" w:cs="Arial"/>
          <w:sz w:val="20"/>
          <w:szCs w:val="20"/>
        </w:rPr>
        <w:t xml:space="preserve"> – Blocos Econômicos e Regiões Geográficas</w:t>
      </w:r>
    </w:p>
    <w:p w:rsidR="00C46E79" w:rsidRDefault="00C46E79" w:rsidP="00515548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 xml:space="preserve">Em relação às exportações do agronegócio por blocos econômicos e regiões geográficas em maio, a Ásia foi o principal destino dos produtos brasileiros, com a soma de US$ 4,16 bilhões. O crescimento de 35,4% em relação a agosto de 2016 foi causado pela expansão das vendas de soja em grãos (+US$ 843,30 milhões), milho (+US$ 147,72 milhões) e carne bovina (+US$ 104,33 milhões). Com isso, a participação asiática nas vendas externas de produtos agropecuários brasileiros subiu de 40,3% para 46,0%. </w:t>
      </w: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 xml:space="preserve">Já o segundo principal destino das exportações brasileiras, a União Europeia, perdeu participação no período em destaque, caindo de 19,0% para 16,8%, em virtude do crescimento das vendas abaixo da média do período (+4,3%, atingindo US$ 1,52 bilhão). Os principais produtos exportados para a UE em agosto de 2017 foram: café verde (US$ 211,90 milhões); farelo de soja (US$ 205,53 milhões); celulose (US$ 199,07 milhões); milho (US$ 172,81 milhões); suco de laranja (US$ 125,97 milhões); e fumo não manufaturado (US$ 118,69 milhões). </w:t>
      </w: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731CC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 xml:space="preserve">Além dos dois principais destinos, destaca-se na Tabela 2 o aumento de 54,2% nas vendas para a África (US$ 857,25 milhões), o de 38,5% para os demais países da América (US$ 31,36 milhões) e o incremento de 16,1% das exportações para os países da Aladi (US$ 330,0 milhões). </w:t>
      </w:r>
    </w:p>
    <w:p w:rsidR="004731CC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B2FF5" w:rsidRDefault="00AB2FF5" w:rsidP="00515548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731CC" w:rsidRPr="00515548" w:rsidRDefault="004731CC" w:rsidP="004731CC">
      <w:pPr>
        <w:jc w:val="both"/>
        <w:rPr>
          <w:rFonts w:ascii="Arial" w:hAnsi="Arial" w:cs="Arial"/>
          <w:sz w:val="20"/>
          <w:szCs w:val="20"/>
        </w:rPr>
      </w:pPr>
      <w:r w:rsidRPr="004731CC">
        <w:rPr>
          <w:noProof/>
        </w:rPr>
        <w:drawing>
          <wp:inline distT="0" distB="0" distL="0" distR="0" wp14:anchorId="77CF36BA" wp14:editId="744A6492">
            <wp:extent cx="6480175" cy="234823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1EE" w:rsidRDefault="001D51EE" w:rsidP="00E207EB">
      <w:pPr>
        <w:jc w:val="both"/>
        <w:rPr>
          <w:rFonts w:ascii="Arial" w:hAnsi="Arial" w:cs="Arial"/>
          <w:sz w:val="20"/>
          <w:szCs w:val="20"/>
        </w:rPr>
      </w:pPr>
    </w:p>
    <w:p w:rsidR="00E207EB" w:rsidRDefault="00E207EB" w:rsidP="00515548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1D51EE" w:rsidRDefault="001D51EE" w:rsidP="001D51E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1D51EE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>c</w:t>
      </w:r>
      <w:proofErr w:type="spellEnd"/>
      <w:r>
        <w:rPr>
          <w:rFonts w:ascii="Arial" w:hAnsi="Arial" w:cs="Arial"/>
          <w:sz w:val="20"/>
          <w:szCs w:val="20"/>
        </w:rPr>
        <w:t xml:space="preserve"> – Países</w:t>
      </w:r>
    </w:p>
    <w:p w:rsidR="00AB2FF5" w:rsidRDefault="00AB2FF5" w:rsidP="00AB2FF5"/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 xml:space="preserve">No que tange aos países parceiros do agronegócio brasileiro, a China permanece como o principal destino das exportações nacionais, com a cifra de US$ 2,31 bilhões. Em relação a agosto de 2016, verificou-se expansão de 50,8% no valor exportado e crescimento da participação chinesa de 20,1% para 25,6%. O principal produto negociado com esse parceiro asiático foi a soja em grãos, com US$ 1,82 bilhão, o que representou 78,8% de todas as exportações do agronegócio brasileiro para a China em agosto. Em relação à quantidade, no mês foram embarcadas mais de 4,8 milhões de toneladas do grão para o parceiro asiático. Além disso, a China foi o principal destino da celulose brasileira no período, atingindo a cifra de US$ 183,87 milhões e 369,13 mil toneladas comercializadas. </w:t>
      </w: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>O segundo principal destino das exportações do agronegócio de agosto foram os Estados Unidos, com US$ 615,53 milhões, o que representou decréscimo de 1,1% em comparação aos US$ 622,54 milhões do mesmo mês de 2016. Vale destacar, que essa queda foi causada principalmente pela diminuição dos embarques de café verde (-US$ 22,40 milhões), fumo não manufaturado (-US$ 17,87 milhões), e carne bovina industrializada (-US$ 10,22 milhões). Dessa forma, a participação desse parceiro comercial caiu de 8,2% para 6,8%.</w:t>
      </w: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>As exportações para os Países Baixos, terceiro principal comprador de agosto de 2017, caíram de US$ 437,75 milhões para US$ 404,46 milhões (-7,6%), em grande parte pela diminuição do comércio de soja em grãos (-US$ 52,99 milhões), de farelo de soja (-US$ 28,01 milhões) e de carne de peru industrializada (-US$ 6,64 milhões). Com essa retração, a participação dos Países Baixos nas exportações do agronegócio brasileiro passou de 5,7 para 4,5%.</w:t>
      </w:r>
    </w:p>
    <w:p w:rsidR="004731CC" w:rsidRPr="001C664D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731CC" w:rsidRPr="004446F3" w:rsidRDefault="004731CC" w:rsidP="004731CC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1C664D">
        <w:rPr>
          <w:rFonts w:ascii="Arial" w:hAnsi="Arial" w:cs="Arial"/>
          <w:sz w:val="20"/>
          <w:szCs w:val="20"/>
        </w:rPr>
        <w:t xml:space="preserve">Em relação ao dinamismo das exportações, os principais destaques do mês de agosto, conforme evidenciado na Tabela 3, foram: Egito (US$ 350,65 milhões e +89,4%); Japão (US$ 276,15 milhões e +66,6%); Coreia do Sul (US$ 232,96 milhões e +56,3%); Taiwan (US$ 153,34 milhões e +51,2%); Espanha (US$ 169,24 milhões e +48,5%); </w:t>
      </w:r>
      <w:r w:rsidRPr="001C664D">
        <w:rPr>
          <w:rFonts w:ascii="Arial" w:hAnsi="Arial" w:cs="Arial"/>
          <w:sz w:val="20"/>
          <w:szCs w:val="20"/>
        </w:rPr>
        <w:lastRenderedPageBreak/>
        <w:t>Indonésia (US$ 166,36 milhões e +36,6%); Emirados Árabes Unidos (US$ 192,05 milhões +36,5%); e Bélgica (US$ 183,84 milhões e +30,1%).</w:t>
      </w:r>
    </w:p>
    <w:p w:rsidR="004731CC" w:rsidRDefault="004731CC" w:rsidP="00AB2FF5"/>
    <w:p w:rsidR="004731CC" w:rsidRDefault="004731CC" w:rsidP="00AB2FF5"/>
    <w:p w:rsidR="004731CC" w:rsidRDefault="004731CC" w:rsidP="00AB2FF5">
      <w:r w:rsidRPr="004731CC">
        <w:rPr>
          <w:noProof/>
        </w:rPr>
        <w:drawing>
          <wp:inline distT="0" distB="0" distL="0" distR="0" wp14:anchorId="06F78BA0" wp14:editId="56F08890">
            <wp:extent cx="6480175" cy="3879215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1CC" w:rsidRDefault="004731CC" w:rsidP="00AB2FF5"/>
    <w:p w:rsidR="004731CC" w:rsidRDefault="004731CC" w:rsidP="00AB2FF5"/>
    <w:p w:rsidR="00917C96" w:rsidRDefault="00917C96" w:rsidP="001D51EE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 – Resultados do Ano (</w:t>
      </w:r>
      <w:r w:rsidRPr="003E4A98">
        <w:rPr>
          <w:rFonts w:ascii="Arial" w:hAnsi="Arial" w:cs="Arial"/>
          <w:b/>
          <w:sz w:val="20"/>
          <w:szCs w:val="20"/>
        </w:rPr>
        <w:t>comparativo Janeiro-</w:t>
      </w:r>
      <w:r>
        <w:rPr>
          <w:rFonts w:ascii="Arial" w:hAnsi="Arial" w:cs="Arial"/>
          <w:b/>
          <w:sz w:val="20"/>
          <w:szCs w:val="20"/>
        </w:rPr>
        <w:t>Agosto</w:t>
      </w:r>
      <w:r w:rsidRPr="003E4A98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7</w:t>
      </w:r>
      <w:r w:rsidRPr="003E4A98">
        <w:rPr>
          <w:rFonts w:ascii="Arial" w:hAnsi="Arial" w:cs="Arial"/>
          <w:b/>
          <w:sz w:val="20"/>
          <w:szCs w:val="20"/>
        </w:rPr>
        <w:t xml:space="preserve"> – </w:t>
      </w:r>
      <w:proofErr w:type="gramStart"/>
      <w:r w:rsidRPr="003E4A98">
        <w:rPr>
          <w:rFonts w:ascii="Arial" w:hAnsi="Arial" w:cs="Arial"/>
          <w:b/>
          <w:sz w:val="20"/>
          <w:szCs w:val="20"/>
        </w:rPr>
        <w:t>Janeiro</w:t>
      </w:r>
      <w:proofErr w:type="gramEnd"/>
      <w:r w:rsidRPr="003E4A98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Agosto/2016)</w:t>
      </w:r>
    </w:p>
    <w:p w:rsidR="00AE6DA6" w:rsidRDefault="00AE6DA6" w:rsidP="00AE6D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AE6DA6">
        <w:rPr>
          <w:rFonts w:ascii="Arial" w:hAnsi="Arial" w:cs="Arial"/>
          <w:sz w:val="20"/>
          <w:szCs w:val="20"/>
        </w:rPr>
        <w:t>As exportações do agronegócio subiram de US$ 60,44 bilhões entre janeiro e agosto de 2016 para US$ 65,43 bilhões entre janeiro e agosto de 2017, uma expansão de 8,3% entre os períodos. As importações também apresentaram elevação, passando de US$ 8,48 bilhões entre janeiro e agosto de 2016 para US$ 9,54 bilhões entre janeiro e agosto de 2017 (+12,5%). O resultado da expansão tanto das exportações como das importações foi uma elevação do saldo da balança comercial do agronegócio, que passou de US$ 51,96 bilhões para US$ 55,89 bilhões no período em análise. Mesmo com a elevação nas exportações, a participação das exportações do agronegócio caiu de 48,9% para 44,8% das exportações totais no período, em função de um incremento mais forte das exportações dos demais produtos (+27,5%).</w:t>
      </w:r>
    </w:p>
    <w:p w:rsidR="00AE6DA6" w:rsidRDefault="00AE6DA6" w:rsidP="00AE6D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E6DA6" w:rsidRDefault="00AE6DA6" w:rsidP="00AE6DA6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II.a</w:t>
      </w:r>
      <w:proofErr w:type="spellEnd"/>
      <w:r>
        <w:rPr>
          <w:rFonts w:ascii="Arial" w:hAnsi="Arial" w:cs="Arial"/>
          <w:sz w:val="20"/>
          <w:szCs w:val="20"/>
        </w:rPr>
        <w:t xml:space="preserve"> – Setores do Agronegócio</w:t>
      </w:r>
    </w:p>
    <w:p w:rsidR="00AE6DA6" w:rsidRDefault="00AE6DA6" w:rsidP="00AE6DA6"/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AE6DA6">
        <w:rPr>
          <w:rFonts w:ascii="Arial" w:hAnsi="Arial" w:cs="Arial"/>
          <w:sz w:val="20"/>
          <w:szCs w:val="20"/>
        </w:rPr>
        <w:t>Os cinco principais setores exportadores do agronegócio foram: complexo soja (participação de 39,4%; +2,3 pontos percentuais), carnes (participação de 15,5%; -0,1 pontos percentuais), complexo sucroalcooleiro (participação de 12,4%; +1,1 pontos percentuais), produtos florestais (participação de 11,3%; +0,2 pontos percentuais) e café (participação de 5,2%; -0,1 pontos percentuais). Estes cinco setores mencionados foram responsáveis por 80,4% das exportações entre janeiro e agosto 2016, porcentagem que aumentou para 83,8% entre janeiro e agosto de 2017. Ou seja, houve uma concentração da pauta exportadora brasileira no período. O complexo soja e o complexo sucroalcooleiro foram os principais setores responsáveis pelo incremento de participação dos cinco principais setores na pauta. Todos os outros vinte setores participaram com 16,2% das exportações totais entre janeiro e agosto de 2017, uma queda de 3,4 pontos percentuais em relação ao mesmo período de 2016.</w:t>
      </w: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AE6DA6">
        <w:rPr>
          <w:rFonts w:ascii="Arial" w:hAnsi="Arial" w:cs="Arial"/>
          <w:sz w:val="20"/>
          <w:szCs w:val="20"/>
        </w:rPr>
        <w:t xml:space="preserve">As exportações de produtos do complexo soja chegaram a US$ 25,79 bilhões entre janeiro e agosto de 2017, um valor que só foi menor em relação ao recorde obtido em 2014 (US$ 27,25 bilhões), ano em que os preços internacionais dos produtos do complexo soja eram maiores. A soja em grão foi o principal produto de exportação do setor, com vendas externas de US$ 21,44 bilhões e volume embarcado de 56,9 milhões de toneladas. Ambas as cifras mencionadas, tanto o valor exportado quanto o volume embarcado, foram recorde para o período analisado. Por sua vez, as exportações de farelo de soja caíram de US$ 3,87 bilhões entre janeiro e agosto de 2016 para US$ 3,55 bilhões entre janeiro e agosto de 2017 (-8,4%). As vendas externas de óleo de soja, por outro lado, subiram de </w:t>
      </w:r>
      <w:r w:rsidRPr="00AE6DA6">
        <w:rPr>
          <w:rFonts w:ascii="Arial" w:hAnsi="Arial" w:cs="Arial"/>
          <w:sz w:val="20"/>
          <w:szCs w:val="20"/>
        </w:rPr>
        <w:lastRenderedPageBreak/>
        <w:t>US$ 660,15 milhões entre janeiro e agosto de 2016 para US$ 800,79 milhões entre janeiro e agosto de 2017 (+21,3%).</w:t>
      </w: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AE6DA6">
        <w:rPr>
          <w:rFonts w:ascii="Arial" w:hAnsi="Arial" w:cs="Arial"/>
          <w:sz w:val="20"/>
          <w:szCs w:val="20"/>
        </w:rPr>
        <w:t xml:space="preserve">O segundo principal setor exportador do agronegócio foi o de carnes, que teve incremento de vendas externas de 7,8%, com o aumento das exportações de US$ 9,41 bilhões entre janeiro e agosto de 2016 para US$ 10,14 bilhões entre janeiro e agosto de 2017. No geral, as carnes não apresentaram elevação no volume exportado (-1,7%), mas, em função da elevação dos preços médios de exportação (+9,6%), houve incremento no valor exportado pelo setor (+7,8%). </w:t>
      </w: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AE6DA6">
        <w:rPr>
          <w:rFonts w:ascii="Arial" w:hAnsi="Arial" w:cs="Arial"/>
          <w:sz w:val="20"/>
          <w:szCs w:val="20"/>
        </w:rPr>
        <w:t>A carne de frango foi a principal carne exportada no período. Foram US$ 4,82 bilhões em vendas externas entre janeiro e agosto, cifra que foi 6,1% maior que os US$ 4,54 bilhões exportados entre janeiro e agosto de 2016. Esse valor significou 47,5% do valor total exportado de carnes pelo Brasil. As vendas externas de carne bovina foram de US$ 3,77 bilhões (+5,3%), com volume exportado praticamente constante, mas aumento de 5,3% no preço médio de exportação. As vendas de carne suína também tiveram o mesmo comportamento, registrando US$ 1,10 bilhão em exportações (+24,2%), com elevação de 26,8% no preço médio de exportação, mas queda de 2,1% na quantidade exportada.</w:t>
      </w: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AE6DA6">
        <w:rPr>
          <w:rFonts w:ascii="Arial" w:hAnsi="Arial" w:cs="Arial"/>
          <w:sz w:val="20"/>
          <w:szCs w:val="20"/>
        </w:rPr>
        <w:t>Dentre os cinco principais setores exportadores do agronegócio, o setor sucroalcooleiro foi o que apresentou a maior elevação no valor exportado, que passou de US$ 6,84 bilhões entre janeiro e agosto de 2016 para US$ 8,14 bilhões entre janeiro e agosto de 2017 (+19,0%). À semelhança com o setor de carne, o resultado positivo foi obtido em função da elevação do preço médio de exportação dos produtos do setor, que subiram 22,8%, uma vez que o volume médio de exportações caiu 3,1%. O açúcar é o principal produto do setor, com vendas externas de US$ 7,60 bilhões (+24,2%), o que significou 93,4% do valor exportado pelo setor. O outro produto do setor foi o álcool, com exportações de US$ 528,80 milhões (-25,9%).</w:t>
      </w: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AE6DA6">
        <w:rPr>
          <w:rFonts w:ascii="Arial" w:hAnsi="Arial" w:cs="Arial"/>
          <w:sz w:val="20"/>
          <w:szCs w:val="20"/>
        </w:rPr>
        <w:t xml:space="preserve">Os produtos florestais, quarto principal setor em exportações, bateram recorde tanto no valor exportado, que foi de US$ 7,38 bilhões (+10,0%), quanto no volume de vendas, que atingiu 14,74 milhões de toneladas (+4,5%). O principal produto do setor foi a celulose, que foi responsável por US$ 4,08 bilhões em exportações (+12,3%), recorde para o período de análise. Além do recorde em valor, a quantidade exportada também atingiu volume recorde para o período de janeiro a agosto. Foram 9,34 milhões de toneladas exportadas de celulose (+5,0%). Também foram exportados no setor: madeira e suas obras (US$ 2,05 bilhões; +12,6%) e papel (US$ 1,25 bilhão; 0%). </w:t>
      </w: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AE6DA6">
        <w:rPr>
          <w:rFonts w:ascii="Arial" w:hAnsi="Arial" w:cs="Arial"/>
          <w:sz w:val="20"/>
          <w:szCs w:val="20"/>
        </w:rPr>
        <w:t>As vendas externas de café tiveram comportamento semelhante às vendas de carnes e dos produtos do complexo sucroalcooleiro. Houve queda no volume médio de exportações (-7,3%), mas elevação no preço médio de exportação (+14,3%). As vendas externas de café verde foram de US$ 2,94 bilhões (+4,8%), enquanto as exportações de café solúvel foram de US$ 390,69 milhões (+10,4%).</w:t>
      </w: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P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AE6DA6">
        <w:rPr>
          <w:rFonts w:ascii="Arial" w:hAnsi="Arial" w:cs="Arial"/>
          <w:sz w:val="20"/>
          <w:szCs w:val="20"/>
        </w:rPr>
        <w:t>No que se refere às importações, houve elevação das compras de US$ 8,48 bilhões entre janeiro e agosto de 2016 para US$ 9,54 bilhões entre janeiro e agosto de 2017 (+12,5). Os dez principais produtos importados foram: trigo (US$ 796,12 milhões; +3,7%), álcool etílico (US$ 741,12 milhões; +276,1%), papel (US$ 546,89 milhões; +13,5%), salmões (US$ 347,51 milhões; +30,0%), vestuário e outros produtos têxteis (US$ 334,71; +3,0%), borracha natural (US$ 269,90 milhões; +44,1%), leite em pó (US$ 265,40 milhões; 3,4%); óleo de palma (US$ 248,43 milhões; +18,9%), malte (US$ 243,30 milhões; -6,6%) e arroz (US$ 241,57 milhões; +50,6%).</w:t>
      </w:r>
    </w:p>
    <w:p w:rsidR="00AE6DA6" w:rsidRDefault="00AE6DA6" w:rsidP="00AE6DA6">
      <w:pPr>
        <w:jc w:val="both"/>
      </w:pPr>
    </w:p>
    <w:p w:rsidR="00AE6DA6" w:rsidRDefault="00AE6DA6" w:rsidP="00AE6DA6">
      <w:pPr>
        <w:jc w:val="both"/>
      </w:pPr>
      <w:r w:rsidRPr="006E142C">
        <w:rPr>
          <w:noProof/>
        </w:rPr>
        <w:lastRenderedPageBreak/>
        <w:drawing>
          <wp:inline distT="0" distB="0" distL="0" distR="0" wp14:anchorId="771C2BBF" wp14:editId="0EC72C3C">
            <wp:extent cx="6480175" cy="38550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A6" w:rsidRPr="00E34A2F" w:rsidRDefault="00AE6DA6" w:rsidP="00AE6DA6"/>
    <w:p w:rsidR="00AE6DA6" w:rsidRDefault="00AE6DA6" w:rsidP="00AE6DA6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bookmarkStart w:id="1" w:name="OLE_LINK1"/>
      <w:proofErr w:type="spellStart"/>
      <w:r w:rsidRPr="001D51E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Pr="001D51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b</w:t>
      </w:r>
      <w:proofErr w:type="spellEnd"/>
      <w:r>
        <w:rPr>
          <w:rFonts w:ascii="Arial" w:hAnsi="Arial" w:cs="Arial"/>
          <w:sz w:val="20"/>
          <w:szCs w:val="20"/>
        </w:rPr>
        <w:t xml:space="preserve"> – Blocos Econômicos e Regiões Geográficas</w:t>
      </w:r>
    </w:p>
    <w:p w:rsidR="00AE6DA6" w:rsidRDefault="00AE6DA6" w:rsidP="00AE6DA6">
      <w:pPr>
        <w:jc w:val="both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Ásia aumentou sua participação nas exportações do agronegócio brasileiro, passando de 47,4% entre janeiro e agosto de 2016 para 48,3% entre janeiro e agosto de 2017 do valor exportado pelo Brasil em produtos do setor. Foi uma expansão de 0,9 pontos percentuais na comparação entre os períodos, fruto da expansão de 10,4% no valor exportado à região, que chegou a US$ 31,61 bilhões. </w:t>
      </w: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Outras duas regiões também foram destaque na elevação da participação: África (de 6,1% para 7,2%) e Oriente Médio (de 8,6% para 9,0%). </w:t>
      </w: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caso da África, as exportações subiram de US$ 3,69 bilhões entre janeiro e agosto de 2016 para US$ 4,73 bilhões (+28,2%). As vendas externas de açúcar para o continente africano subiram de US$ 1,78 bilhão entre janeiro e agosto de 2016 para US$ 2,80 bilhões entre janeiro e agosto de 2017. O valor exportado de açúcar significou 59,2% do valor total exportado pelo Brasil em produtos do agronegócio para o período em análise. </w:t>
      </w: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Oriente Médio, por sua vez, registrou aquisições de US$ 5,18 bilhões entre janeiro e agosto de 2016 para atingir US$ 5,88 bilhões entre janeiro e agosto de 2017. Grande parte da elevação nas exportações também pode ser explicada pelas vendas externas de açúcar, que subiram de US$ 1,21 bilhão entre janeiro e agosto de 2016 para US$ 1,75 bilhão entre janeiro e agosto de 2017. </w:t>
      </w:r>
    </w:p>
    <w:p w:rsidR="00AE6DA6" w:rsidRPr="00515548" w:rsidRDefault="00AE6DA6" w:rsidP="00AE6DA6">
      <w:pPr>
        <w:jc w:val="both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6E142C">
        <w:rPr>
          <w:noProof/>
        </w:rPr>
        <w:drawing>
          <wp:inline distT="0" distB="0" distL="0" distR="0" wp14:anchorId="09F8B85E" wp14:editId="25C594F7">
            <wp:extent cx="6480175" cy="23482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A6" w:rsidRDefault="00AE6DA6" w:rsidP="00AE6DA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I</w:t>
      </w:r>
      <w:r w:rsidRPr="001D51EE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>c</w:t>
      </w:r>
      <w:proofErr w:type="spellEnd"/>
      <w:r>
        <w:rPr>
          <w:rFonts w:ascii="Arial" w:hAnsi="Arial" w:cs="Arial"/>
          <w:sz w:val="20"/>
          <w:szCs w:val="20"/>
        </w:rPr>
        <w:t xml:space="preserve"> – Países</w:t>
      </w:r>
    </w:p>
    <w:p w:rsidR="00AE6DA6" w:rsidRDefault="00AE6DA6" w:rsidP="00AE6D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3862C2">
        <w:rPr>
          <w:rFonts w:ascii="Arial" w:hAnsi="Arial" w:cs="Arial"/>
          <w:sz w:val="20"/>
          <w:szCs w:val="20"/>
        </w:rPr>
        <w:t>A China</w:t>
      </w:r>
      <w:r>
        <w:rPr>
          <w:rFonts w:ascii="Arial" w:hAnsi="Arial" w:cs="Arial"/>
          <w:sz w:val="20"/>
          <w:szCs w:val="20"/>
        </w:rPr>
        <w:t xml:space="preserve"> continua sendo o destaque nas exportações brasileiras do agronegócio. O país asiático aumentou suas compras de US$ 17,43 bilhões entre janeiro e agosto de 2016 para US$ 20,55 bilhões entre janeiro e agosto de 2017 (+17,9%). Com tal expansão, a participação do país subiu de 28,8% para 31,4%, ou uma elevação de 2,6 pontos percentuais. </w:t>
      </w: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crescimento das exportações à China ocorreu, fundamentalmente, em virtude das exportações de soja em grão (+24,4%), que passaram de US$ 13,41 bilhões entre janeiro e agosto de 2016 (36,2 milhões de toneladas) para US$ 16,69 bilhões entre janeiro e agosto de 2017 (44,3 milhões de toneladas). Essa forte alta fez a soja em grão subir de 77,0% do valor das exportações à China entre janeiro e agosto de 2016 para 81,2% do valor exportado entre janeiro e agosto de 2017.</w:t>
      </w: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Pr="003862C2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Diversos outros parceiros, dentre os vinte principais parceiros comerciais brasileiros do agronegócio, também apresentaram crescimento acima de dois dígitos. Eles são apresentados na Tabela 6, abaixo.</w:t>
      </w:r>
    </w:p>
    <w:bookmarkEnd w:id="1"/>
    <w:p w:rsidR="001E649C" w:rsidRDefault="001E649C" w:rsidP="001E649C"/>
    <w:p w:rsidR="006E142C" w:rsidRDefault="006E142C" w:rsidP="001E649C">
      <w:r w:rsidRPr="006E142C">
        <w:rPr>
          <w:noProof/>
        </w:rPr>
        <w:drawing>
          <wp:inline distT="0" distB="0" distL="0" distR="0" wp14:anchorId="5D4991C4" wp14:editId="2662D6D5">
            <wp:extent cx="6480175" cy="38792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5B4" w:rsidRDefault="004215B4" w:rsidP="007D7D4C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4215B4" w:rsidRDefault="004215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 – Resultados de Setembro de 2016</w:t>
      </w:r>
      <w:r w:rsidRPr="005211A7">
        <w:rPr>
          <w:rFonts w:ascii="Arial" w:hAnsi="Arial" w:cs="Arial"/>
          <w:b/>
          <w:sz w:val="20"/>
          <w:szCs w:val="20"/>
        </w:rPr>
        <w:t xml:space="preserve"> a </w:t>
      </w:r>
      <w:proofErr w:type="gramStart"/>
      <w:r>
        <w:rPr>
          <w:rFonts w:ascii="Arial" w:hAnsi="Arial" w:cs="Arial"/>
          <w:b/>
          <w:sz w:val="20"/>
          <w:szCs w:val="20"/>
        </w:rPr>
        <w:t>Agosto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 2017 (Acumulado 12 meses)</w:t>
      </w:r>
    </w:p>
    <w:p w:rsidR="00AE6DA6" w:rsidRDefault="00AE6DA6" w:rsidP="00AE6D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E6DA6" w:rsidRPr="008779A2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8779A2">
        <w:rPr>
          <w:rFonts w:ascii="Arial" w:hAnsi="Arial" w:cs="Arial"/>
          <w:sz w:val="20"/>
          <w:szCs w:val="20"/>
        </w:rPr>
        <w:t>Nos últimos doze meses, entre setembro de 2016 e agosto de 2017, as exportações brasileiras de produtos do agronegócio somaram US$ 89,92 bilhões, o que representou crescimento de 1,1% em comparação aos US$ 88,96 bilhões comercializados nos doze meses imediatamente anteriores (setembro de 2015 a agosto de 2016). O setor representou 43,3% do total das vendas externas do Brasil no período. Também houve ampliação em relação às importações de produtos agropecuários últimos doze meses, de US$ 12,38 para US$ 14,69 bilhões (+18,7%). Como resultado, a balança comercial do agronegócio apresentou saldo positivo de US$ 75,23 bilhões no período.</w:t>
      </w:r>
    </w:p>
    <w:p w:rsidR="00AE6DA6" w:rsidRDefault="00AE6DA6" w:rsidP="00AE6D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E6DA6" w:rsidRDefault="00AE6DA6" w:rsidP="00AE6DA6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III.a</w:t>
      </w:r>
      <w:proofErr w:type="spellEnd"/>
      <w:r>
        <w:rPr>
          <w:rFonts w:ascii="Arial" w:hAnsi="Arial" w:cs="Arial"/>
          <w:sz w:val="20"/>
          <w:szCs w:val="20"/>
        </w:rPr>
        <w:t xml:space="preserve"> – Setores do Agronegócio</w:t>
      </w:r>
    </w:p>
    <w:p w:rsidR="00AE6DA6" w:rsidRDefault="00AE6DA6" w:rsidP="00AE6DA6"/>
    <w:p w:rsidR="00AE6DA6" w:rsidRPr="00BE6028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BE6028">
        <w:rPr>
          <w:rFonts w:ascii="Arial" w:hAnsi="Arial" w:cs="Arial"/>
          <w:sz w:val="20"/>
          <w:szCs w:val="20"/>
        </w:rPr>
        <w:t>Em termos de valor exportado, os principais setores nos últimos doze meses</w:t>
      </w:r>
      <w:r>
        <w:rPr>
          <w:rFonts w:ascii="Arial" w:hAnsi="Arial" w:cs="Arial"/>
          <w:sz w:val="20"/>
          <w:szCs w:val="20"/>
        </w:rPr>
        <w:t xml:space="preserve"> foram</w:t>
      </w:r>
      <w:r w:rsidRPr="00BE6028">
        <w:rPr>
          <w:rFonts w:ascii="Arial" w:hAnsi="Arial" w:cs="Arial"/>
          <w:sz w:val="20"/>
          <w:szCs w:val="20"/>
        </w:rPr>
        <w:t xml:space="preserve">: complexo soja, com US$ 28,77 bilhões e participação de 32,0% das exportações do agronegócio; o setor de carnes, com US$ 14,94 bilhões e 16,6%; complexo sucroalcooleiro, com US$ 12,64 bilhões e 14,1%; produtos florestais, com US$ 10,91 bilhões e participação de 12,1%; e café, com US$ 5,66 bilhões e </w:t>
      </w:r>
      <w:r w:rsidRPr="00BE6028">
        <w:rPr>
          <w:rFonts w:ascii="Arial" w:hAnsi="Arial" w:cs="Arial"/>
          <w:i/>
          <w:sz w:val="20"/>
          <w:szCs w:val="20"/>
        </w:rPr>
        <w:t>share</w:t>
      </w:r>
      <w:r w:rsidRPr="00BE6028">
        <w:rPr>
          <w:rFonts w:ascii="Arial" w:hAnsi="Arial" w:cs="Arial"/>
          <w:sz w:val="20"/>
          <w:szCs w:val="20"/>
        </w:rPr>
        <w:t xml:space="preserve"> de 6,3%.</w:t>
      </w:r>
    </w:p>
    <w:p w:rsidR="00AE6DA6" w:rsidRPr="00BE6028" w:rsidRDefault="00AE6DA6" w:rsidP="00AE6DA6">
      <w:pPr>
        <w:jc w:val="both"/>
        <w:rPr>
          <w:rFonts w:ascii="Arial" w:hAnsi="Arial" w:cs="Arial"/>
          <w:sz w:val="20"/>
          <w:szCs w:val="20"/>
        </w:rPr>
      </w:pPr>
    </w:p>
    <w:p w:rsidR="00AE6DA6" w:rsidRPr="00EB4543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125CDC">
        <w:rPr>
          <w:rFonts w:ascii="Arial" w:hAnsi="Arial" w:cs="Arial"/>
          <w:sz w:val="20"/>
          <w:szCs w:val="20"/>
        </w:rPr>
        <w:t xml:space="preserve">As vendas do complexo soja registraram ampliação de 3,2% em valor e 1,9% em quantidade. O principal item negociado no período foi a soja e grãos, com o montante de US$ 22,86 bilhões (+8,0% ante os doze meses anteriores). </w:t>
      </w:r>
      <w:r w:rsidRPr="00EB4543">
        <w:rPr>
          <w:rFonts w:ascii="Arial" w:hAnsi="Arial" w:cs="Arial"/>
          <w:sz w:val="20"/>
          <w:szCs w:val="20"/>
        </w:rPr>
        <w:t xml:space="preserve">Foram embarcadas 60,30 milhões de toneladas, ou seja 6,5% superiores aos doze meses anteriores. Em relação ao preço médio no período, também houve aumento: +1,5%, alcançando a </w:t>
      </w:r>
      <w:r>
        <w:rPr>
          <w:rFonts w:ascii="Arial" w:hAnsi="Arial" w:cs="Arial"/>
          <w:sz w:val="20"/>
          <w:szCs w:val="20"/>
        </w:rPr>
        <w:t>cotação de US$ 379</w:t>
      </w:r>
      <w:r w:rsidRPr="00EB4543">
        <w:rPr>
          <w:rFonts w:ascii="Arial" w:hAnsi="Arial" w:cs="Arial"/>
          <w:sz w:val="20"/>
          <w:szCs w:val="20"/>
        </w:rPr>
        <w:t xml:space="preserve"> por </w:t>
      </w:r>
      <w:r w:rsidRPr="00EB4543">
        <w:rPr>
          <w:rFonts w:ascii="Arial" w:hAnsi="Arial" w:cs="Arial"/>
          <w:sz w:val="20"/>
          <w:szCs w:val="20"/>
        </w:rPr>
        <w:lastRenderedPageBreak/>
        <w:t>tonelada. O segundo produto de destaque do setor foi o farelo de soja, com a cifra de US$ 4,87 bilhões (-13,9%) e 13,51 milhões de toneladas comercializadas -13,4%), em um contexto de queda do preço médio (-0,6%). Por fim, as vendas externas de óleo de soja totalizaram US$ 1,04 bilhão (-2,8%) e 1,36 milhão de toneladas (-13,1%).</w:t>
      </w:r>
    </w:p>
    <w:p w:rsidR="00AE6DA6" w:rsidRPr="00EB4543" w:rsidRDefault="00AE6DA6" w:rsidP="00AE6DA6">
      <w:pPr>
        <w:jc w:val="both"/>
        <w:rPr>
          <w:rFonts w:ascii="Arial" w:hAnsi="Arial" w:cs="Arial"/>
          <w:sz w:val="20"/>
          <w:szCs w:val="20"/>
        </w:rPr>
      </w:pPr>
    </w:p>
    <w:p w:rsidR="00AE6DA6" w:rsidRPr="000E5107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0E5107">
        <w:rPr>
          <w:rFonts w:ascii="Arial" w:hAnsi="Arial" w:cs="Arial"/>
          <w:sz w:val="20"/>
          <w:szCs w:val="20"/>
        </w:rPr>
        <w:t xml:space="preserve">As carnes ocuparam a segunda posição no </w:t>
      </w:r>
      <w:r w:rsidRPr="000E5107">
        <w:rPr>
          <w:rFonts w:ascii="Arial" w:hAnsi="Arial" w:cs="Arial"/>
          <w:i/>
          <w:sz w:val="20"/>
          <w:szCs w:val="20"/>
        </w:rPr>
        <w:t>ranking</w:t>
      </w:r>
      <w:r w:rsidRPr="000E5107">
        <w:rPr>
          <w:rFonts w:ascii="Arial" w:hAnsi="Arial" w:cs="Arial"/>
          <w:sz w:val="20"/>
          <w:szCs w:val="20"/>
        </w:rPr>
        <w:t xml:space="preserve"> de setores do agronegócio em valor exportado entre setembro de 2016 e agosto de 2017. Foram vendidos US$ 14,94 bilhões (+3,6%) e 6,63 milhões de toneladas (-2,9%). A carne de frango foi o principal produto exportado pelo setor, com o montante de US$ 7,04 bilhões e ampliação de 3,1% em relação aos US$ 6,83 bilhões exportados nos 12 meses anteriores. No que se refere ao </w:t>
      </w:r>
      <w:r w:rsidRPr="000E5107">
        <w:rPr>
          <w:rFonts w:ascii="Arial" w:hAnsi="Arial" w:cs="Arial"/>
          <w:i/>
          <w:sz w:val="20"/>
          <w:szCs w:val="20"/>
        </w:rPr>
        <w:t>quantum</w:t>
      </w:r>
      <w:r w:rsidRPr="000E5107">
        <w:rPr>
          <w:rFonts w:ascii="Arial" w:hAnsi="Arial" w:cs="Arial"/>
          <w:sz w:val="20"/>
          <w:szCs w:val="20"/>
        </w:rPr>
        <w:t xml:space="preserve"> exportado, verificou-se retração de 3,8%, passando de 4,40 milhões de toneladas para 4,23 milhões de toneladas. Em seguida se destaca a carne bovina, com vendas externas de US$ 5,53 bilhões (-2,7%) para um total de 1,40 milhão de toneladas comercializadas -5,5%). As exportações de carne suína aumentaram 26,3% no período, alcançando a cifra recorde de US$ 1,68 bilhão. Houve, ainda, crescimento da quantidade exportada do produto (+4,4%), de 680,30 mil toneladas para 710,32 mil toneladas. O preço médio de exportação aumentou para todos os produtos do setor, com variação média positiva de 6,6%.</w:t>
      </w:r>
    </w:p>
    <w:p w:rsidR="00AE6DA6" w:rsidRPr="000E5107" w:rsidRDefault="00AE6DA6" w:rsidP="00AE6DA6">
      <w:pPr>
        <w:jc w:val="both"/>
        <w:rPr>
          <w:rFonts w:ascii="Arial" w:hAnsi="Arial" w:cs="Arial"/>
          <w:sz w:val="20"/>
          <w:szCs w:val="20"/>
        </w:rPr>
      </w:pPr>
    </w:p>
    <w:p w:rsidR="00AE6DA6" w:rsidRPr="00F15BA9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F15BA9">
        <w:rPr>
          <w:rFonts w:ascii="Arial" w:hAnsi="Arial" w:cs="Arial"/>
          <w:sz w:val="20"/>
          <w:szCs w:val="20"/>
        </w:rPr>
        <w:t xml:space="preserve">Em seguida, cabe ressaltar o setor sucroalcooleiro, com US$ 12,64 bilhões em exportações, o que representou aumento de 25,7% sobre os US$ 10,06 bilhões exportados anteriormente. O principal produto exportado pelo setor foi o açúcar, com o montante de US$ 11,92 bilhões para a quantidade de </w:t>
      </w:r>
      <w:r>
        <w:rPr>
          <w:rFonts w:ascii="Arial" w:hAnsi="Arial" w:cs="Arial"/>
          <w:sz w:val="20"/>
          <w:szCs w:val="20"/>
        </w:rPr>
        <w:t>28,76</w:t>
      </w:r>
      <w:r w:rsidRPr="00F15BA9">
        <w:rPr>
          <w:rFonts w:ascii="Arial" w:hAnsi="Arial" w:cs="Arial"/>
          <w:sz w:val="20"/>
          <w:szCs w:val="20"/>
        </w:rPr>
        <w:t xml:space="preserve"> milhões de toneladas embarcadas. Em relação ao período anterior tais cifras significaram crescimento de 33,3% em valor e 3,1% em quantidade. As vendas externas de álcool, por sua vez, foram de US$ 711,80 milhões, isto é, quase 36% inferiores ante os doze meses anteriores. Essa queda se deve à redução na quantidade embarcada, que caiu quase pela metade (-47,7%), apesar do aumento no preço médio do produto (+22,7%). </w:t>
      </w:r>
    </w:p>
    <w:p w:rsidR="00AE6DA6" w:rsidRPr="00F15BA9" w:rsidRDefault="00AE6DA6" w:rsidP="00AE6DA6">
      <w:pPr>
        <w:jc w:val="both"/>
        <w:rPr>
          <w:rFonts w:ascii="Arial" w:hAnsi="Arial" w:cs="Arial"/>
          <w:sz w:val="20"/>
          <w:szCs w:val="20"/>
        </w:rPr>
      </w:pPr>
    </w:p>
    <w:p w:rsidR="00AE6DA6" w:rsidRPr="00021071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021071">
        <w:rPr>
          <w:rFonts w:ascii="Arial" w:hAnsi="Arial" w:cs="Arial"/>
          <w:sz w:val="20"/>
          <w:szCs w:val="20"/>
        </w:rPr>
        <w:t xml:space="preserve">Na quarta posição surgem os produtos florestais, com US$ 10,91 bilhões, o que representou 6,0% de crescimento nos últimos doze meses. A celulose foi o destaque, com receita recorde de US$ 6,02 bilhões, valor 5,9% superior ao alcançado entre setembro de 2015 e agosto de 2016, que foi de US$ 5,68 bilhões. Em relação ao </w:t>
      </w:r>
      <w:r w:rsidRPr="00021071">
        <w:rPr>
          <w:rFonts w:ascii="Arial" w:hAnsi="Arial" w:cs="Arial"/>
          <w:i/>
          <w:sz w:val="20"/>
          <w:szCs w:val="20"/>
        </w:rPr>
        <w:t>quantum</w:t>
      </w:r>
      <w:r w:rsidRPr="00021071">
        <w:rPr>
          <w:rFonts w:ascii="Arial" w:hAnsi="Arial" w:cs="Arial"/>
          <w:sz w:val="20"/>
          <w:szCs w:val="20"/>
        </w:rPr>
        <w:t>, registrou-se expansão de 6,7% no período, atingindo 13,97 milhões de toneladas. As vendas externas de madeiras e suas obras foram de US$ 3,02 bilhões (+12,8%) e 5,93 milhões de toneladas (+8,7%). Por fim, as exportações de papel totalizaram US$ 1,87 bilhão, decrescendo 3,1% em comparação aos doze meses anteriores.</w:t>
      </w:r>
    </w:p>
    <w:p w:rsidR="00AE6DA6" w:rsidRPr="00021071" w:rsidRDefault="00AE6DA6" w:rsidP="00AE6DA6">
      <w:pPr>
        <w:jc w:val="both"/>
        <w:rPr>
          <w:rFonts w:ascii="Arial" w:hAnsi="Arial" w:cs="Arial"/>
          <w:sz w:val="20"/>
          <w:szCs w:val="20"/>
        </w:rPr>
      </w:pPr>
    </w:p>
    <w:p w:rsidR="00AE6DA6" w:rsidRPr="0066048B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66048B">
        <w:rPr>
          <w:rFonts w:ascii="Arial" w:hAnsi="Arial" w:cs="Arial"/>
          <w:sz w:val="20"/>
          <w:szCs w:val="20"/>
        </w:rPr>
        <w:t xml:space="preserve">Por fim cabe ressaltar o setor de café, com a cifra de US$ 5,66 bilhões (+7,9%) e quantidade comercializada de 1,83 milhão de toneladas (-6,2%). O café verde foi o principal item negociado, com vendas externas de US$ 4,98 bilhões (+6,5%), o que representou 87,9% de todas as vendas do setor. Em quantidade, verificou-se queda de 6,6% no período, apesar do aumento do preço médio internacional </w:t>
      </w:r>
      <w:r>
        <w:rPr>
          <w:rFonts w:ascii="Arial" w:hAnsi="Arial" w:cs="Arial"/>
          <w:sz w:val="20"/>
          <w:szCs w:val="20"/>
        </w:rPr>
        <w:t xml:space="preserve">do produto </w:t>
      </w:r>
      <w:r w:rsidRPr="0066048B">
        <w:rPr>
          <w:rFonts w:ascii="Arial" w:hAnsi="Arial" w:cs="Arial"/>
          <w:sz w:val="20"/>
          <w:szCs w:val="20"/>
        </w:rPr>
        <w:t>em 14,1% (US$ 2.506 para 2.860 por tonelada).</w:t>
      </w:r>
    </w:p>
    <w:p w:rsidR="00AE6DA6" w:rsidRPr="0066048B" w:rsidRDefault="00AE6DA6" w:rsidP="00AE6DA6">
      <w:pPr>
        <w:jc w:val="both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F30251">
        <w:rPr>
          <w:rFonts w:ascii="Arial" w:hAnsi="Arial" w:cs="Arial"/>
          <w:sz w:val="20"/>
          <w:szCs w:val="20"/>
        </w:rPr>
        <w:t>Os cinco principais setores do agronegócio, em conjunto, representaram 81,1% das exportações agropecuárias brasileiras nos últimos doze meses. Ou seja, mais de três pontos percentuais superiores, quando se compara com os 78,0% que os cinco principais setores representavam nos doze meses anteriores. Isso demonstra o aumento da concentração da pauta exportadora do setor agropecuário.</w:t>
      </w:r>
    </w:p>
    <w:p w:rsidR="00AE6DA6" w:rsidRDefault="00AE6DA6" w:rsidP="00AE6DA6">
      <w:pPr>
        <w:jc w:val="both"/>
        <w:rPr>
          <w:rFonts w:ascii="Arial" w:hAnsi="Arial" w:cs="Arial"/>
          <w:sz w:val="20"/>
          <w:szCs w:val="20"/>
        </w:rPr>
      </w:pPr>
    </w:p>
    <w:p w:rsidR="00AE6DA6" w:rsidRPr="00987CDF" w:rsidRDefault="00AE6DA6" w:rsidP="00AE6D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relação às importações do agronegócio, destacaram-se os seguintes produtos, em valor: trigo (US$ 1,36 bilhão); pescados (US$ 1,34 bilhão); álcool etílico (US$ 938,76 milhões) e papel (US$ 805,85 milhões). O álcool etílico foi o produto que mais contribuiu para o aumento das importações do agronegócio, com aumento de 342,8% (+US$ 726,74 milhões). Outro produto que se destacou em termos de incremento foi o milho, com 144,2% (+US$ 274,15 milhões).</w:t>
      </w:r>
    </w:p>
    <w:p w:rsidR="00AE6DA6" w:rsidRDefault="00AE6DA6" w:rsidP="00AE6DA6"/>
    <w:p w:rsidR="00AE6DA6" w:rsidRDefault="00AE6DA6" w:rsidP="00AE6DA6"/>
    <w:p w:rsidR="00AE6DA6" w:rsidRDefault="00AE6DA6" w:rsidP="00AE6DA6">
      <w:r w:rsidRPr="006A48AF">
        <w:rPr>
          <w:noProof/>
        </w:rPr>
        <w:lastRenderedPageBreak/>
        <w:drawing>
          <wp:inline distT="0" distB="0" distL="0" distR="0" wp14:anchorId="2940F412" wp14:editId="3BE031A7">
            <wp:extent cx="6480175" cy="385508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A6" w:rsidRDefault="00AE6DA6" w:rsidP="00AE6DA6"/>
    <w:p w:rsidR="00AE6DA6" w:rsidRPr="001636C4" w:rsidRDefault="00AE6DA6" w:rsidP="00AE6DA6"/>
    <w:p w:rsidR="00AE6DA6" w:rsidRDefault="00AE6DA6" w:rsidP="00AE6DA6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</w:t>
      </w:r>
      <w:r w:rsidRPr="001D51EE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>b</w:t>
      </w:r>
      <w:proofErr w:type="spellEnd"/>
      <w:r>
        <w:rPr>
          <w:rFonts w:ascii="Arial" w:hAnsi="Arial" w:cs="Arial"/>
          <w:sz w:val="20"/>
          <w:szCs w:val="20"/>
        </w:rPr>
        <w:t xml:space="preserve"> – Blocos Econômicos e Regiões Geográficas</w:t>
      </w:r>
    </w:p>
    <w:p w:rsidR="00AE6DA6" w:rsidRDefault="00AE6DA6" w:rsidP="00AE6DA6"/>
    <w:p w:rsidR="00AE6DA6" w:rsidRPr="002E5327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2E5327">
        <w:rPr>
          <w:rFonts w:ascii="Arial" w:hAnsi="Arial" w:cs="Arial"/>
          <w:sz w:val="20"/>
          <w:szCs w:val="20"/>
        </w:rPr>
        <w:t xml:space="preserve">Em relação às exportações do agronegócio por blocos econômicos e regiões geográficas, a Ásia permanece como o principal destino das exportações agropecuárias do Brasil. As vendas para o continente asiático foram de US$ 40,37 bilhões, o que representou crescimento de 0,9% em comparação aos valores registrados nos doze meses imediatamente anteriores (US$ 40,01 bilhões). A participação da região nas exportações do agronegócio foi de 44,9% no período.  </w:t>
      </w:r>
    </w:p>
    <w:p w:rsidR="00AE6DA6" w:rsidRPr="002E5327" w:rsidRDefault="00AE6DA6" w:rsidP="00AE6DA6">
      <w:pPr>
        <w:pStyle w:val="Recuodecorpodetexto"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pStyle w:val="Recuodecorpodetexto"/>
        <w:ind w:firstLine="0"/>
      </w:pPr>
      <w:r w:rsidRPr="002E5327">
        <w:rPr>
          <w:rFonts w:ascii="Arial" w:hAnsi="Arial" w:cs="Arial"/>
          <w:sz w:val="20"/>
          <w:szCs w:val="20"/>
        </w:rPr>
        <w:t xml:space="preserve">Em seguida destacaram-se as exportações para a União Europeia, com US$ 16,11 bilhões. Houve retração de 8,1% em relação aos dozes meses anteriores. Com essa retração em valor, a participação do bloco nas exportações do agronegócio brasileiro decresceu, passando de 19,7% para 17,9%. </w:t>
      </w: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AE6DA6" w:rsidRPr="00445C58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6A48AF">
        <w:rPr>
          <w:noProof/>
        </w:rPr>
        <w:drawing>
          <wp:inline distT="0" distB="0" distL="0" distR="0" wp14:anchorId="22DDA8B7" wp14:editId="2C9E2E2D">
            <wp:extent cx="6480175" cy="234823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A6" w:rsidRDefault="00AE6DA6" w:rsidP="00AE6DA6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AE6DA6" w:rsidRDefault="00AE6DA6" w:rsidP="00AE6DA6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</w:t>
      </w:r>
      <w:r w:rsidRPr="001D51EE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>c</w:t>
      </w:r>
      <w:proofErr w:type="spellEnd"/>
      <w:r>
        <w:rPr>
          <w:rFonts w:ascii="Arial" w:hAnsi="Arial" w:cs="Arial"/>
          <w:sz w:val="20"/>
          <w:szCs w:val="20"/>
        </w:rPr>
        <w:t xml:space="preserve"> – Países</w:t>
      </w:r>
    </w:p>
    <w:p w:rsidR="00AE6DA6" w:rsidRDefault="00AE6DA6" w:rsidP="00AE6DA6"/>
    <w:p w:rsidR="00AE6DA6" w:rsidRPr="008B71EE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8B71EE">
        <w:rPr>
          <w:rFonts w:ascii="Arial" w:hAnsi="Arial" w:cs="Arial"/>
          <w:sz w:val="20"/>
          <w:szCs w:val="20"/>
        </w:rPr>
        <w:t xml:space="preserve">No que se refere aos países, a China permanece como o principal destino das exportações do agronegócio brasileiro, com a cifra de US$ 23,95 bilhões. Em relação ao período anterior, verificou-se acréscimo de 8,3% no valor exportado e crescimento da participação chinesa, chegando a 26,6% de </w:t>
      </w:r>
      <w:proofErr w:type="spellStart"/>
      <w:r w:rsidRPr="008B71EE">
        <w:rPr>
          <w:rFonts w:ascii="Arial" w:hAnsi="Arial" w:cs="Arial"/>
          <w:i/>
          <w:sz w:val="20"/>
          <w:szCs w:val="20"/>
        </w:rPr>
        <w:t>market</w:t>
      </w:r>
      <w:proofErr w:type="spellEnd"/>
      <w:r w:rsidRPr="008B71EE">
        <w:rPr>
          <w:rFonts w:ascii="Arial" w:hAnsi="Arial" w:cs="Arial"/>
          <w:i/>
          <w:sz w:val="20"/>
          <w:szCs w:val="20"/>
        </w:rPr>
        <w:t xml:space="preserve"> share</w:t>
      </w:r>
      <w:r w:rsidRPr="008B71EE">
        <w:rPr>
          <w:rFonts w:ascii="Arial" w:hAnsi="Arial" w:cs="Arial"/>
          <w:sz w:val="20"/>
          <w:szCs w:val="20"/>
        </w:rPr>
        <w:t xml:space="preserve">. </w:t>
      </w:r>
    </w:p>
    <w:p w:rsidR="00AE6DA6" w:rsidRPr="008B71EE" w:rsidRDefault="00AE6DA6" w:rsidP="00AE6DA6">
      <w:pPr>
        <w:jc w:val="both"/>
        <w:rPr>
          <w:rFonts w:ascii="Arial" w:hAnsi="Arial" w:cs="Arial"/>
          <w:sz w:val="20"/>
          <w:szCs w:val="20"/>
        </w:rPr>
      </w:pPr>
    </w:p>
    <w:p w:rsidR="00AE6DA6" w:rsidRPr="00D50069" w:rsidRDefault="00AE6DA6" w:rsidP="00AE6DA6">
      <w:pPr>
        <w:jc w:val="both"/>
        <w:rPr>
          <w:rFonts w:ascii="Arial" w:hAnsi="Arial" w:cs="Arial"/>
          <w:sz w:val="20"/>
          <w:szCs w:val="20"/>
        </w:rPr>
      </w:pPr>
      <w:r w:rsidRPr="00D50069">
        <w:rPr>
          <w:rFonts w:ascii="Arial" w:hAnsi="Arial" w:cs="Arial"/>
          <w:sz w:val="20"/>
          <w:szCs w:val="20"/>
        </w:rPr>
        <w:lastRenderedPageBreak/>
        <w:t xml:space="preserve">As exportações para os Estados Unidos, segundo principal destino no acumulado dos últimos doze meses, subiram de US$ 6,31 bilhões para US$ 6,44 bilhões (+2,1%). Com tal aumento, a participação norte americana nas exportações brasileiras passou de 7,1% para 7,2%. </w:t>
      </w:r>
    </w:p>
    <w:p w:rsidR="00AE6DA6" w:rsidRDefault="00AE6DA6" w:rsidP="00AE6DA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E6DA6" w:rsidRPr="000C5870" w:rsidRDefault="00AE6DA6" w:rsidP="00AE6D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Além da China, os países que mais contribuíram para o crescimento das exportações brasileiras do agronegócio no período foram: Rússia (+US$ 357,40 milhões), Emirados Árabes Unidos (+US$ 339,59 milhões), Bangladesh (+US$ 311,33 milhões) e Irã (+US$ 304,35 milhões).</w:t>
      </w:r>
    </w:p>
    <w:p w:rsidR="00AE6DA6" w:rsidRDefault="00AE6DA6" w:rsidP="00AE6DA6"/>
    <w:p w:rsidR="00AE6DA6" w:rsidRPr="00CA0A56" w:rsidRDefault="00AE6DA6" w:rsidP="00AE6DA6"/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6A48AF">
        <w:rPr>
          <w:noProof/>
        </w:rPr>
        <w:drawing>
          <wp:inline distT="0" distB="0" distL="0" distR="0" wp14:anchorId="4B5E48F1" wp14:editId="7B212229">
            <wp:extent cx="6480175" cy="3879215"/>
            <wp:effectExtent l="0" t="0" r="0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A6" w:rsidRDefault="00AE6DA6" w:rsidP="00AE6DA6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7D4C" w:rsidRDefault="007D7D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87B02" w:rsidRPr="003C54E1" w:rsidRDefault="00C87B02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firstLine="0"/>
        <w:rPr>
          <w:i w:val="0"/>
          <w:sz w:val="20"/>
          <w:szCs w:val="20"/>
          <w:lang w:val="pt-BR"/>
        </w:rPr>
      </w:pPr>
      <w:r w:rsidRPr="003C54E1">
        <w:rPr>
          <w:i w:val="0"/>
          <w:sz w:val="20"/>
          <w:szCs w:val="20"/>
          <w:lang w:val="pt-BR"/>
        </w:rPr>
        <w:t>NOTA METODOLÓGICA</w:t>
      </w:r>
    </w:p>
    <w:p w:rsidR="00C87B02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3C54E1">
        <w:rPr>
          <w:rFonts w:ascii="Arial" w:hAnsi="Arial" w:cs="Arial"/>
          <w:sz w:val="20"/>
          <w:szCs w:val="20"/>
        </w:rPr>
        <w:t>A classificação de produtos do agronegócio utilizada nesta nota foi atualizada de acordo com a Resolução CAMEX Nº 94, de 8/12/</w:t>
      </w:r>
      <w:r>
        <w:rPr>
          <w:rFonts w:ascii="Arial" w:hAnsi="Arial" w:cs="Arial"/>
          <w:sz w:val="20"/>
          <w:szCs w:val="20"/>
        </w:rPr>
        <w:t>2012</w:t>
      </w:r>
      <w:r w:rsidRPr="003C54E1">
        <w:rPr>
          <w:rFonts w:ascii="Arial" w:hAnsi="Arial" w:cs="Arial"/>
          <w:sz w:val="20"/>
          <w:szCs w:val="20"/>
        </w:rPr>
        <w:t>, que alterou a Nomenc</w:t>
      </w:r>
      <w:r>
        <w:rPr>
          <w:rFonts w:ascii="Arial" w:hAnsi="Arial" w:cs="Arial"/>
          <w:sz w:val="20"/>
          <w:szCs w:val="20"/>
        </w:rPr>
        <w:t>latura Comum do MERCOSUL – NCM para adaptá-la em relação às modificações do Sistema Harmonizado de Designação e de Codificação de Mercadorias (SH-2012), que estabelece um método internacional para a classificação de mercadorias.</w:t>
      </w:r>
    </w:p>
    <w:p w:rsidR="00C87B02" w:rsidRPr="003C54E1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C87B02" w:rsidRPr="003C54E1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3C54E1">
        <w:rPr>
          <w:rFonts w:ascii="Arial" w:hAnsi="Arial" w:cs="Arial"/>
          <w:sz w:val="20"/>
          <w:szCs w:val="20"/>
        </w:rPr>
        <w:t xml:space="preserve">A Balança Comercial do Agronegócio utiliza uma classificação dos produtos do agronegócio que reúne 2.867 </w:t>
      </w:r>
      <w:proofErr w:type="spellStart"/>
      <w:r w:rsidRPr="003C54E1">
        <w:rPr>
          <w:rFonts w:ascii="Arial" w:hAnsi="Arial" w:cs="Arial"/>
          <w:sz w:val="20"/>
          <w:szCs w:val="20"/>
        </w:rPr>
        <w:t>NCM’s</w:t>
      </w:r>
      <w:proofErr w:type="spellEnd"/>
      <w:r w:rsidRPr="003C54E1">
        <w:rPr>
          <w:rFonts w:ascii="Arial" w:hAnsi="Arial" w:cs="Arial"/>
          <w:sz w:val="20"/>
          <w:szCs w:val="20"/>
        </w:rPr>
        <w:t xml:space="preserve"> em 25 setores. Essa é a mesma classificação utilizada no AGROSTAT BRASIL - base de dados </w:t>
      </w:r>
      <w:proofErr w:type="spellStart"/>
      <w:r w:rsidRPr="003B0D74">
        <w:rPr>
          <w:rFonts w:ascii="Arial" w:hAnsi="Arial" w:cs="Arial"/>
          <w:i/>
          <w:sz w:val="20"/>
          <w:szCs w:val="20"/>
        </w:rPr>
        <w:t>on</w:t>
      </w:r>
      <w:proofErr w:type="spellEnd"/>
      <w:r w:rsidRPr="003B0D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B0D74">
        <w:rPr>
          <w:rFonts w:ascii="Arial" w:hAnsi="Arial" w:cs="Arial"/>
          <w:i/>
          <w:sz w:val="20"/>
          <w:szCs w:val="20"/>
        </w:rPr>
        <w:t>line</w:t>
      </w:r>
      <w:proofErr w:type="spellEnd"/>
      <w:r w:rsidRPr="003C54E1">
        <w:rPr>
          <w:rFonts w:ascii="Arial" w:hAnsi="Arial" w:cs="Arial"/>
          <w:sz w:val="20"/>
          <w:szCs w:val="20"/>
        </w:rPr>
        <w:t xml:space="preserve"> que oferece uma visão detalhada e atualizada das exportações e importações brasileiras do agronegócio. Mais informações da metodologia e classificação podem ser consultadas no site</w:t>
      </w:r>
      <w:r>
        <w:rPr>
          <w:rFonts w:ascii="Arial" w:hAnsi="Arial" w:cs="Arial"/>
          <w:sz w:val="20"/>
          <w:szCs w:val="20"/>
        </w:rPr>
        <w:t>:</w:t>
      </w:r>
      <w:r w:rsidRPr="003C54E1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Pr="003C54E1">
          <w:rPr>
            <w:rStyle w:val="Hyperlink"/>
            <w:rFonts w:ascii="Arial" w:hAnsi="Arial" w:cs="Arial"/>
            <w:sz w:val="20"/>
            <w:szCs w:val="20"/>
          </w:rPr>
          <w:t>agrostat.agricultura.gov.br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87B02" w:rsidRPr="003C54E1" w:rsidRDefault="00C87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C87B02" w:rsidRDefault="00C87B02">
      <w:pPr>
        <w:pStyle w:val="Ttulo2"/>
        <w:jc w:val="right"/>
        <w:rPr>
          <w:rFonts w:ascii="Arial" w:hAnsi="Arial" w:cs="Arial"/>
          <w:b/>
          <w:sz w:val="20"/>
        </w:rPr>
      </w:pPr>
    </w:p>
    <w:p w:rsidR="00C87B02" w:rsidRPr="003C54E1" w:rsidRDefault="00C87B02">
      <w:pPr>
        <w:pStyle w:val="Ttulo2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MAPA/SRI/DPI</w:t>
      </w:r>
    </w:p>
    <w:p w:rsidR="00C87B02" w:rsidRPr="003C54E1" w:rsidRDefault="00C87B02">
      <w:pPr>
        <w:pStyle w:val="Recuodecorpodetexto"/>
        <w:jc w:val="right"/>
        <w:rPr>
          <w:rFonts w:ascii="Arial" w:hAnsi="Arial" w:cs="Arial"/>
          <w:sz w:val="20"/>
          <w:szCs w:val="20"/>
        </w:rPr>
      </w:pPr>
      <w:r w:rsidRPr="003C54E1">
        <w:rPr>
          <w:rFonts w:ascii="Arial" w:hAnsi="Arial" w:cs="Arial"/>
          <w:sz w:val="20"/>
          <w:szCs w:val="20"/>
        </w:rPr>
        <w:t xml:space="preserve"> </w:t>
      </w:r>
      <w:r w:rsidR="00AE6DA6">
        <w:rPr>
          <w:rFonts w:ascii="Arial" w:hAnsi="Arial" w:cs="Arial"/>
          <w:sz w:val="20"/>
          <w:szCs w:val="20"/>
        </w:rPr>
        <w:t>12/09</w:t>
      </w:r>
      <w:r w:rsidR="004215B4">
        <w:rPr>
          <w:rFonts w:ascii="Arial" w:hAnsi="Arial" w:cs="Arial"/>
          <w:sz w:val="20"/>
          <w:szCs w:val="20"/>
        </w:rPr>
        <w:t>/2017</w:t>
      </w:r>
    </w:p>
    <w:sectPr w:rsidR="00C87B02" w:rsidRPr="003C54E1" w:rsidSect="00C2569A">
      <w:footerReference w:type="even" r:id="rId18"/>
      <w:footerReference w:type="default" r:id="rId19"/>
      <w:pgSz w:w="11907" w:h="16840" w:code="9"/>
      <w:pgMar w:top="851" w:right="851" w:bottom="851" w:left="851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86" w:rsidRDefault="00F35186">
      <w:r>
        <w:separator/>
      </w:r>
    </w:p>
  </w:endnote>
  <w:endnote w:type="continuationSeparator" w:id="0">
    <w:p w:rsidR="00F35186" w:rsidRDefault="00F3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40" w:rsidRDefault="008F4F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4F40" w:rsidRDefault="008F4F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40" w:rsidRPr="000754DD" w:rsidRDefault="008F4F40">
    <w:pPr>
      <w:pStyle w:val="Rodap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0754DD">
      <w:rPr>
        <w:rStyle w:val="Nmerodepgina"/>
        <w:rFonts w:ascii="Arial" w:hAnsi="Arial" w:cs="Arial"/>
        <w:sz w:val="16"/>
        <w:szCs w:val="16"/>
      </w:rPr>
      <w:fldChar w:fldCharType="begin"/>
    </w:r>
    <w:r w:rsidRPr="000754DD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0754DD">
      <w:rPr>
        <w:rStyle w:val="Nmerodepgina"/>
        <w:rFonts w:ascii="Arial" w:hAnsi="Arial" w:cs="Arial"/>
        <w:sz w:val="16"/>
        <w:szCs w:val="16"/>
      </w:rPr>
      <w:fldChar w:fldCharType="separate"/>
    </w:r>
    <w:r w:rsidR="0004621E">
      <w:rPr>
        <w:rStyle w:val="Nmerodepgina"/>
        <w:rFonts w:ascii="Arial" w:hAnsi="Arial" w:cs="Arial"/>
        <w:noProof/>
        <w:sz w:val="16"/>
        <w:szCs w:val="16"/>
      </w:rPr>
      <w:t>2</w:t>
    </w:r>
    <w:r w:rsidRPr="000754DD">
      <w:rPr>
        <w:rStyle w:val="Nmerodepgina"/>
        <w:rFonts w:ascii="Arial" w:hAnsi="Arial" w:cs="Arial"/>
        <w:sz w:val="16"/>
        <w:szCs w:val="16"/>
      </w:rPr>
      <w:fldChar w:fldCharType="end"/>
    </w:r>
  </w:p>
  <w:p w:rsidR="008F4F40" w:rsidRDefault="008F4F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86" w:rsidRDefault="00F35186">
      <w:r>
        <w:separator/>
      </w:r>
    </w:p>
  </w:footnote>
  <w:footnote w:type="continuationSeparator" w:id="0">
    <w:p w:rsidR="00F35186" w:rsidRDefault="00F3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4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A5"/>
    <w:rsid w:val="000014D2"/>
    <w:rsid w:val="0000209E"/>
    <w:rsid w:val="0000254E"/>
    <w:rsid w:val="000036C3"/>
    <w:rsid w:val="00004903"/>
    <w:rsid w:val="00006103"/>
    <w:rsid w:val="00006262"/>
    <w:rsid w:val="00006ECB"/>
    <w:rsid w:val="00007083"/>
    <w:rsid w:val="00007D32"/>
    <w:rsid w:val="00010A70"/>
    <w:rsid w:val="00013C10"/>
    <w:rsid w:val="0001553F"/>
    <w:rsid w:val="000166CF"/>
    <w:rsid w:val="00017D67"/>
    <w:rsid w:val="00017F9E"/>
    <w:rsid w:val="00024620"/>
    <w:rsid w:val="00024774"/>
    <w:rsid w:val="00025562"/>
    <w:rsid w:val="0002567E"/>
    <w:rsid w:val="0002592B"/>
    <w:rsid w:val="00026C30"/>
    <w:rsid w:val="00027B9D"/>
    <w:rsid w:val="00027CD6"/>
    <w:rsid w:val="00027FBF"/>
    <w:rsid w:val="000301F8"/>
    <w:rsid w:val="00030275"/>
    <w:rsid w:val="00031A57"/>
    <w:rsid w:val="0003291F"/>
    <w:rsid w:val="000329DF"/>
    <w:rsid w:val="000348EF"/>
    <w:rsid w:val="00034D11"/>
    <w:rsid w:val="000354EE"/>
    <w:rsid w:val="00035920"/>
    <w:rsid w:val="00035927"/>
    <w:rsid w:val="00035E51"/>
    <w:rsid w:val="000400E7"/>
    <w:rsid w:val="00040AAD"/>
    <w:rsid w:val="00040CEE"/>
    <w:rsid w:val="0004141A"/>
    <w:rsid w:val="0004188A"/>
    <w:rsid w:val="00041926"/>
    <w:rsid w:val="00041C47"/>
    <w:rsid w:val="000421AD"/>
    <w:rsid w:val="00042DA0"/>
    <w:rsid w:val="00043C91"/>
    <w:rsid w:val="00045520"/>
    <w:rsid w:val="00045689"/>
    <w:rsid w:val="000456E0"/>
    <w:rsid w:val="0004621E"/>
    <w:rsid w:val="00047101"/>
    <w:rsid w:val="00047F65"/>
    <w:rsid w:val="00053736"/>
    <w:rsid w:val="000542D8"/>
    <w:rsid w:val="00057E53"/>
    <w:rsid w:val="00060DB6"/>
    <w:rsid w:val="00060E48"/>
    <w:rsid w:val="00060ECE"/>
    <w:rsid w:val="00063D9B"/>
    <w:rsid w:val="00063DE6"/>
    <w:rsid w:val="00066372"/>
    <w:rsid w:val="00066406"/>
    <w:rsid w:val="000666A5"/>
    <w:rsid w:val="000676F5"/>
    <w:rsid w:val="00067C72"/>
    <w:rsid w:val="000708D1"/>
    <w:rsid w:val="00070FDC"/>
    <w:rsid w:val="0007199F"/>
    <w:rsid w:val="000728BD"/>
    <w:rsid w:val="00072A5A"/>
    <w:rsid w:val="00072BF1"/>
    <w:rsid w:val="00073B00"/>
    <w:rsid w:val="0007448A"/>
    <w:rsid w:val="00074CFD"/>
    <w:rsid w:val="00074FEC"/>
    <w:rsid w:val="000754DD"/>
    <w:rsid w:val="00076763"/>
    <w:rsid w:val="000777E6"/>
    <w:rsid w:val="000838F3"/>
    <w:rsid w:val="0008675A"/>
    <w:rsid w:val="00086BE6"/>
    <w:rsid w:val="00087349"/>
    <w:rsid w:val="00091B89"/>
    <w:rsid w:val="000930DA"/>
    <w:rsid w:val="00093FC9"/>
    <w:rsid w:val="0009438C"/>
    <w:rsid w:val="00094CD8"/>
    <w:rsid w:val="00094EAB"/>
    <w:rsid w:val="000950D3"/>
    <w:rsid w:val="00096E13"/>
    <w:rsid w:val="000976B6"/>
    <w:rsid w:val="000978BB"/>
    <w:rsid w:val="00097960"/>
    <w:rsid w:val="00097ADA"/>
    <w:rsid w:val="00097AEB"/>
    <w:rsid w:val="000A0879"/>
    <w:rsid w:val="000A0E3C"/>
    <w:rsid w:val="000A14AC"/>
    <w:rsid w:val="000A16C5"/>
    <w:rsid w:val="000A3C7F"/>
    <w:rsid w:val="000A412F"/>
    <w:rsid w:val="000A58CA"/>
    <w:rsid w:val="000A6462"/>
    <w:rsid w:val="000A6B29"/>
    <w:rsid w:val="000B1245"/>
    <w:rsid w:val="000B2CCF"/>
    <w:rsid w:val="000B4CB7"/>
    <w:rsid w:val="000B617B"/>
    <w:rsid w:val="000B6F56"/>
    <w:rsid w:val="000B778B"/>
    <w:rsid w:val="000C0B2D"/>
    <w:rsid w:val="000C101E"/>
    <w:rsid w:val="000C1354"/>
    <w:rsid w:val="000C4CA1"/>
    <w:rsid w:val="000C4E0B"/>
    <w:rsid w:val="000C5899"/>
    <w:rsid w:val="000C5BC6"/>
    <w:rsid w:val="000C64AB"/>
    <w:rsid w:val="000C6B89"/>
    <w:rsid w:val="000D0A1C"/>
    <w:rsid w:val="000D0A49"/>
    <w:rsid w:val="000D26FA"/>
    <w:rsid w:val="000D279E"/>
    <w:rsid w:val="000D39E2"/>
    <w:rsid w:val="000D4068"/>
    <w:rsid w:val="000D5591"/>
    <w:rsid w:val="000D5BE5"/>
    <w:rsid w:val="000E03A7"/>
    <w:rsid w:val="000E1F98"/>
    <w:rsid w:val="000E33C3"/>
    <w:rsid w:val="000E398E"/>
    <w:rsid w:val="000E39A2"/>
    <w:rsid w:val="000E3FFC"/>
    <w:rsid w:val="000E4AF7"/>
    <w:rsid w:val="000E4D0B"/>
    <w:rsid w:val="000E7667"/>
    <w:rsid w:val="000E7821"/>
    <w:rsid w:val="000F20EC"/>
    <w:rsid w:val="000F2478"/>
    <w:rsid w:val="000F3A73"/>
    <w:rsid w:val="000F4768"/>
    <w:rsid w:val="000F5D88"/>
    <w:rsid w:val="000F67E1"/>
    <w:rsid w:val="000F6FB8"/>
    <w:rsid w:val="000F7E4B"/>
    <w:rsid w:val="000F7E56"/>
    <w:rsid w:val="001002A5"/>
    <w:rsid w:val="001009DA"/>
    <w:rsid w:val="00102086"/>
    <w:rsid w:val="00102714"/>
    <w:rsid w:val="001028A9"/>
    <w:rsid w:val="00102FA0"/>
    <w:rsid w:val="00103608"/>
    <w:rsid w:val="00103A27"/>
    <w:rsid w:val="0010432D"/>
    <w:rsid w:val="00104345"/>
    <w:rsid w:val="00106AE7"/>
    <w:rsid w:val="0011004F"/>
    <w:rsid w:val="0011143D"/>
    <w:rsid w:val="001120A0"/>
    <w:rsid w:val="0011278C"/>
    <w:rsid w:val="00112CB5"/>
    <w:rsid w:val="0011359A"/>
    <w:rsid w:val="001145E1"/>
    <w:rsid w:val="001148DB"/>
    <w:rsid w:val="00116244"/>
    <w:rsid w:val="00116DF6"/>
    <w:rsid w:val="001172F2"/>
    <w:rsid w:val="00120C53"/>
    <w:rsid w:val="00120FC3"/>
    <w:rsid w:val="001214F0"/>
    <w:rsid w:val="00121674"/>
    <w:rsid w:val="001230EB"/>
    <w:rsid w:val="00123AEA"/>
    <w:rsid w:val="00123C08"/>
    <w:rsid w:val="00124184"/>
    <w:rsid w:val="00124275"/>
    <w:rsid w:val="001248CD"/>
    <w:rsid w:val="00125976"/>
    <w:rsid w:val="00127EF3"/>
    <w:rsid w:val="001302B1"/>
    <w:rsid w:val="00130896"/>
    <w:rsid w:val="00130BEF"/>
    <w:rsid w:val="00131883"/>
    <w:rsid w:val="00131C03"/>
    <w:rsid w:val="00132734"/>
    <w:rsid w:val="001343E9"/>
    <w:rsid w:val="00135398"/>
    <w:rsid w:val="00135405"/>
    <w:rsid w:val="001360B0"/>
    <w:rsid w:val="00136B69"/>
    <w:rsid w:val="00136D9F"/>
    <w:rsid w:val="00137206"/>
    <w:rsid w:val="00137272"/>
    <w:rsid w:val="0013770C"/>
    <w:rsid w:val="00140494"/>
    <w:rsid w:val="00140CC4"/>
    <w:rsid w:val="001410C3"/>
    <w:rsid w:val="00142592"/>
    <w:rsid w:val="00142F1E"/>
    <w:rsid w:val="00143382"/>
    <w:rsid w:val="00144082"/>
    <w:rsid w:val="0014413D"/>
    <w:rsid w:val="00144D60"/>
    <w:rsid w:val="0014572B"/>
    <w:rsid w:val="0014658F"/>
    <w:rsid w:val="0014766D"/>
    <w:rsid w:val="001479CC"/>
    <w:rsid w:val="0015012C"/>
    <w:rsid w:val="00150D5F"/>
    <w:rsid w:val="00151988"/>
    <w:rsid w:val="00153702"/>
    <w:rsid w:val="00155044"/>
    <w:rsid w:val="001553E1"/>
    <w:rsid w:val="00156437"/>
    <w:rsid w:val="00157AFB"/>
    <w:rsid w:val="00161E99"/>
    <w:rsid w:val="001631E2"/>
    <w:rsid w:val="001653C9"/>
    <w:rsid w:val="001654D4"/>
    <w:rsid w:val="00165A56"/>
    <w:rsid w:val="001668BA"/>
    <w:rsid w:val="00166F09"/>
    <w:rsid w:val="00167040"/>
    <w:rsid w:val="00167101"/>
    <w:rsid w:val="00167A20"/>
    <w:rsid w:val="00171552"/>
    <w:rsid w:val="001715EE"/>
    <w:rsid w:val="00171A0D"/>
    <w:rsid w:val="00172239"/>
    <w:rsid w:val="0017334E"/>
    <w:rsid w:val="001737BF"/>
    <w:rsid w:val="001739E0"/>
    <w:rsid w:val="00173C33"/>
    <w:rsid w:val="001740EF"/>
    <w:rsid w:val="0017415F"/>
    <w:rsid w:val="00175DF5"/>
    <w:rsid w:val="00175FD4"/>
    <w:rsid w:val="00177C36"/>
    <w:rsid w:val="00180987"/>
    <w:rsid w:val="00181959"/>
    <w:rsid w:val="00181A5E"/>
    <w:rsid w:val="00181F12"/>
    <w:rsid w:val="001845DB"/>
    <w:rsid w:val="001877D0"/>
    <w:rsid w:val="0019065E"/>
    <w:rsid w:val="00191D61"/>
    <w:rsid w:val="00192430"/>
    <w:rsid w:val="00193C52"/>
    <w:rsid w:val="00193F46"/>
    <w:rsid w:val="0019506D"/>
    <w:rsid w:val="001950E2"/>
    <w:rsid w:val="001965D0"/>
    <w:rsid w:val="001A002C"/>
    <w:rsid w:val="001A0A6C"/>
    <w:rsid w:val="001A1AD0"/>
    <w:rsid w:val="001A1F94"/>
    <w:rsid w:val="001A29EA"/>
    <w:rsid w:val="001A4C12"/>
    <w:rsid w:val="001A551F"/>
    <w:rsid w:val="001A5F2C"/>
    <w:rsid w:val="001A69E4"/>
    <w:rsid w:val="001A7D65"/>
    <w:rsid w:val="001B0348"/>
    <w:rsid w:val="001B15A0"/>
    <w:rsid w:val="001B18D8"/>
    <w:rsid w:val="001B21EA"/>
    <w:rsid w:val="001B23D6"/>
    <w:rsid w:val="001B272C"/>
    <w:rsid w:val="001B290B"/>
    <w:rsid w:val="001B48AD"/>
    <w:rsid w:val="001B5F0E"/>
    <w:rsid w:val="001B7C51"/>
    <w:rsid w:val="001C10B3"/>
    <w:rsid w:val="001C2AFB"/>
    <w:rsid w:val="001C2BE2"/>
    <w:rsid w:val="001C3C0D"/>
    <w:rsid w:val="001C75BF"/>
    <w:rsid w:val="001C7639"/>
    <w:rsid w:val="001D1357"/>
    <w:rsid w:val="001D3304"/>
    <w:rsid w:val="001D35D6"/>
    <w:rsid w:val="001D3640"/>
    <w:rsid w:val="001D51EE"/>
    <w:rsid w:val="001D5DA7"/>
    <w:rsid w:val="001E005F"/>
    <w:rsid w:val="001E2DBF"/>
    <w:rsid w:val="001E3298"/>
    <w:rsid w:val="001E3EA2"/>
    <w:rsid w:val="001E4FEE"/>
    <w:rsid w:val="001E605F"/>
    <w:rsid w:val="001E649C"/>
    <w:rsid w:val="001F03E4"/>
    <w:rsid w:val="001F1E12"/>
    <w:rsid w:val="001F1E86"/>
    <w:rsid w:val="001F25CA"/>
    <w:rsid w:val="001F304D"/>
    <w:rsid w:val="001F39C4"/>
    <w:rsid w:val="001F59FD"/>
    <w:rsid w:val="001F6377"/>
    <w:rsid w:val="00200422"/>
    <w:rsid w:val="00200C1F"/>
    <w:rsid w:val="00201721"/>
    <w:rsid w:val="00201EB6"/>
    <w:rsid w:val="0020228A"/>
    <w:rsid w:val="00202E7D"/>
    <w:rsid w:val="002037B1"/>
    <w:rsid w:val="00203C2C"/>
    <w:rsid w:val="00204020"/>
    <w:rsid w:val="002048AD"/>
    <w:rsid w:val="0020496C"/>
    <w:rsid w:val="00204E09"/>
    <w:rsid w:val="00204E55"/>
    <w:rsid w:val="00205177"/>
    <w:rsid w:val="00206CCC"/>
    <w:rsid w:val="0020757C"/>
    <w:rsid w:val="002104CA"/>
    <w:rsid w:val="002106CF"/>
    <w:rsid w:val="0021144F"/>
    <w:rsid w:val="00211702"/>
    <w:rsid w:val="00214201"/>
    <w:rsid w:val="00214566"/>
    <w:rsid w:val="0021521E"/>
    <w:rsid w:val="0021634D"/>
    <w:rsid w:val="00216841"/>
    <w:rsid w:val="002175BC"/>
    <w:rsid w:val="00217690"/>
    <w:rsid w:val="0021787B"/>
    <w:rsid w:val="00220165"/>
    <w:rsid w:val="00224391"/>
    <w:rsid w:val="00224683"/>
    <w:rsid w:val="0022533F"/>
    <w:rsid w:val="002259FA"/>
    <w:rsid w:val="00230941"/>
    <w:rsid w:val="00231034"/>
    <w:rsid w:val="0023186C"/>
    <w:rsid w:val="00232DF4"/>
    <w:rsid w:val="00233BE6"/>
    <w:rsid w:val="0023409D"/>
    <w:rsid w:val="00234BDA"/>
    <w:rsid w:val="00235D98"/>
    <w:rsid w:val="002365E6"/>
    <w:rsid w:val="00236C8A"/>
    <w:rsid w:val="0023726D"/>
    <w:rsid w:val="00240914"/>
    <w:rsid w:val="00243565"/>
    <w:rsid w:val="00244DAD"/>
    <w:rsid w:val="00244FFD"/>
    <w:rsid w:val="00246FFB"/>
    <w:rsid w:val="0025029B"/>
    <w:rsid w:val="00252568"/>
    <w:rsid w:val="00253BAB"/>
    <w:rsid w:val="00253F6E"/>
    <w:rsid w:val="0025449A"/>
    <w:rsid w:val="00256A85"/>
    <w:rsid w:val="0025703A"/>
    <w:rsid w:val="00257972"/>
    <w:rsid w:val="00257CA9"/>
    <w:rsid w:val="00260952"/>
    <w:rsid w:val="00260A3D"/>
    <w:rsid w:val="0026519E"/>
    <w:rsid w:val="00265916"/>
    <w:rsid w:val="00265B91"/>
    <w:rsid w:val="0026638C"/>
    <w:rsid w:val="00266F5A"/>
    <w:rsid w:val="00267384"/>
    <w:rsid w:val="00270FB8"/>
    <w:rsid w:val="00272B5F"/>
    <w:rsid w:val="00273ED5"/>
    <w:rsid w:val="00274325"/>
    <w:rsid w:val="002759C4"/>
    <w:rsid w:val="00275FD2"/>
    <w:rsid w:val="002765C2"/>
    <w:rsid w:val="00277191"/>
    <w:rsid w:val="00280B61"/>
    <w:rsid w:val="00280D1E"/>
    <w:rsid w:val="00280F43"/>
    <w:rsid w:val="00281796"/>
    <w:rsid w:val="00281CB4"/>
    <w:rsid w:val="00282463"/>
    <w:rsid w:val="002825B3"/>
    <w:rsid w:val="00282A21"/>
    <w:rsid w:val="002834B5"/>
    <w:rsid w:val="002846ED"/>
    <w:rsid w:val="00286307"/>
    <w:rsid w:val="00286682"/>
    <w:rsid w:val="00286980"/>
    <w:rsid w:val="00286EB2"/>
    <w:rsid w:val="00287BF8"/>
    <w:rsid w:val="002905B3"/>
    <w:rsid w:val="00292902"/>
    <w:rsid w:val="00292C37"/>
    <w:rsid w:val="00292F48"/>
    <w:rsid w:val="002954AE"/>
    <w:rsid w:val="0029641D"/>
    <w:rsid w:val="002A0A91"/>
    <w:rsid w:val="002A451B"/>
    <w:rsid w:val="002A4B0B"/>
    <w:rsid w:val="002A50D8"/>
    <w:rsid w:val="002A5A16"/>
    <w:rsid w:val="002A5B80"/>
    <w:rsid w:val="002A5D48"/>
    <w:rsid w:val="002A699C"/>
    <w:rsid w:val="002A69F4"/>
    <w:rsid w:val="002A7051"/>
    <w:rsid w:val="002A707F"/>
    <w:rsid w:val="002A7318"/>
    <w:rsid w:val="002A750D"/>
    <w:rsid w:val="002A7843"/>
    <w:rsid w:val="002B0032"/>
    <w:rsid w:val="002B0264"/>
    <w:rsid w:val="002B0AA4"/>
    <w:rsid w:val="002B0BBC"/>
    <w:rsid w:val="002B19C3"/>
    <w:rsid w:val="002B225F"/>
    <w:rsid w:val="002B3FF6"/>
    <w:rsid w:val="002B3FFA"/>
    <w:rsid w:val="002B4209"/>
    <w:rsid w:val="002B48DF"/>
    <w:rsid w:val="002B4BFF"/>
    <w:rsid w:val="002B5200"/>
    <w:rsid w:val="002B6586"/>
    <w:rsid w:val="002B728E"/>
    <w:rsid w:val="002B76D5"/>
    <w:rsid w:val="002C006D"/>
    <w:rsid w:val="002C0364"/>
    <w:rsid w:val="002C0938"/>
    <w:rsid w:val="002C2E49"/>
    <w:rsid w:val="002C2EBD"/>
    <w:rsid w:val="002C5A64"/>
    <w:rsid w:val="002C61C3"/>
    <w:rsid w:val="002C71CF"/>
    <w:rsid w:val="002D057E"/>
    <w:rsid w:val="002D15C6"/>
    <w:rsid w:val="002D198F"/>
    <w:rsid w:val="002D2497"/>
    <w:rsid w:val="002D35B6"/>
    <w:rsid w:val="002D37D5"/>
    <w:rsid w:val="002D4505"/>
    <w:rsid w:val="002D5693"/>
    <w:rsid w:val="002D58E0"/>
    <w:rsid w:val="002D6145"/>
    <w:rsid w:val="002D6B4E"/>
    <w:rsid w:val="002D6E77"/>
    <w:rsid w:val="002D7367"/>
    <w:rsid w:val="002E05B8"/>
    <w:rsid w:val="002E1A76"/>
    <w:rsid w:val="002E1D8A"/>
    <w:rsid w:val="002E2A6B"/>
    <w:rsid w:val="002E416C"/>
    <w:rsid w:val="002E50B6"/>
    <w:rsid w:val="002E50CA"/>
    <w:rsid w:val="002E5A8C"/>
    <w:rsid w:val="002E64B9"/>
    <w:rsid w:val="002E6B13"/>
    <w:rsid w:val="002E6CA1"/>
    <w:rsid w:val="002E7085"/>
    <w:rsid w:val="002E78F4"/>
    <w:rsid w:val="002F00B6"/>
    <w:rsid w:val="002F2AA2"/>
    <w:rsid w:val="002F37D6"/>
    <w:rsid w:val="002F4B47"/>
    <w:rsid w:val="002F6408"/>
    <w:rsid w:val="002F69FB"/>
    <w:rsid w:val="002F6A42"/>
    <w:rsid w:val="002F6CE0"/>
    <w:rsid w:val="00301BFC"/>
    <w:rsid w:val="00301E82"/>
    <w:rsid w:val="00302D1E"/>
    <w:rsid w:val="0030347E"/>
    <w:rsid w:val="003054FC"/>
    <w:rsid w:val="0030680F"/>
    <w:rsid w:val="0031100B"/>
    <w:rsid w:val="003114C5"/>
    <w:rsid w:val="00311EF8"/>
    <w:rsid w:val="00311F32"/>
    <w:rsid w:val="00312E0B"/>
    <w:rsid w:val="00313A73"/>
    <w:rsid w:val="003146D2"/>
    <w:rsid w:val="00314BFA"/>
    <w:rsid w:val="00316822"/>
    <w:rsid w:val="00316C31"/>
    <w:rsid w:val="003202FE"/>
    <w:rsid w:val="003213EA"/>
    <w:rsid w:val="00321FD3"/>
    <w:rsid w:val="003222A3"/>
    <w:rsid w:val="003224EB"/>
    <w:rsid w:val="00322652"/>
    <w:rsid w:val="00323974"/>
    <w:rsid w:val="00323A54"/>
    <w:rsid w:val="00324322"/>
    <w:rsid w:val="003243CC"/>
    <w:rsid w:val="00324F68"/>
    <w:rsid w:val="003259EE"/>
    <w:rsid w:val="00327472"/>
    <w:rsid w:val="00330581"/>
    <w:rsid w:val="003306C9"/>
    <w:rsid w:val="00330D35"/>
    <w:rsid w:val="00332895"/>
    <w:rsid w:val="00334232"/>
    <w:rsid w:val="00334E38"/>
    <w:rsid w:val="00334ED4"/>
    <w:rsid w:val="00334FCC"/>
    <w:rsid w:val="00335352"/>
    <w:rsid w:val="00335889"/>
    <w:rsid w:val="00335DB5"/>
    <w:rsid w:val="00336A86"/>
    <w:rsid w:val="00341FEA"/>
    <w:rsid w:val="00343CAD"/>
    <w:rsid w:val="00345AEE"/>
    <w:rsid w:val="00350F51"/>
    <w:rsid w:val="00352DE2"/>
    <w:rsid w:val="00353472"/>
    <w:rsid w:val="0035436D"/>
    <w:rsid w:val="00354FF6"/>
    <w:rsid w:val="00355FCD"/>
    <w:rsid w:val="00361C71"/>
    <w:rsid w:val="0036317F"/>
    <w:rsid w:val="00364842"/>
    <w:rsid w:val="00370C77"/>
    <w:rsid w:val="00370F4A"/>
    <w:rsid w:val="003734AA"/>
    <w:rsid w:val="003743B9"/>
    <w:rsid w:val="00374794"/>
    <w:rsid w:val="00374A21"/>
    <w:rsid w:val="003766EA"/>
    <w:rsid w:val="003820BA"/>
    <w:rsid w:val="003823A1"/>
    <w:rsid w:val="00382526"/>
    <w:rsid w:val="00382C83"/>
    <w:rsid w:val="00383D01"/>
    <w:rsid w:val="003862C2"/>
    <w:rsid w:val="00386C6D"/>
    <w:rsid w:val="003909E2"/>
    <w:rsid w:val="00392E0F"/>
    <w:rsid w:val="003947CB"/>
    <w:rsid w:val="003949D8"/>
    <w:rsid w:val="00394ED0"/>
    <w:rsid w:val="003952C4"/>
    <w:rsid w:val="0039561C"/>
    <w:rsid w:val="003A0B29"/>
    <w:rsid w:val="003A0E82"/>
    <w:rsid w:val="003A1348"/>
    <w:rsid w:val="003A1858"/>
    <w:rsid w:val="003A47B8"/>
    <w:rsid w:val="003A510C"/>
    <w:rsid w:val="003A7A2A"/>
    <w:rsid w:val="003B049D"/>
    <w:rsid w:val="003B0ACC"/>
    <w:rsid w:val="003B0D74"/>
    <w:rsid w:val="003B1517"/>
    <w:rsid w:val="003B1EC6"/>
    <w:rsid w:val="003B2B76"/>
    <w:rsid w:val="003B3718"/>
    <w:rsid w:val="003B6186"/>
    <w:rsid w:val="003B6C9F"/>
    <w:rsid w:val="003B73D5"/>
    <w:rsid w:val="003B7B3B"/>
    <w:rsid w:val="003C13B7"/>
    <w:rsid w:val="003C1449"/>
    <w:rsid w:val="003C3151"/>
    <w:rsid w:val="003C3CF6"/>
    <w:rsid w:val="003C54E1"/>
    <w:rsid w:val="003C59B2"/>
    <w:rsid w:val="003C69D0"/>
    <w:rsid w:val="003D07AA"/>
    <w:rsid w:val="003D11F0"/>
    <w:rsid w:val="003D17C5"/>
    <w:rsid w:val="003D1872"/>
    <w:rsid w:val="003D27B6"/>
    <w:rsid w:val="003D302B"/>
    <w:rsid w:val="003D31BB"/>
    <w:rsid w:val="003D39F3"/>
    <w:rsid w:val="003D3D98"/>
    <w:rsid w:val="003D5703"/>
    <w:rsid w:val="003D62F6"/>
    <w:rsid w:val="003D7895"/>
    <w:rsid w:val="003E091B"/>
    <w:rsid w:val="003E146F"/>
    <w:rsid w:val="003E165E"/>
    <w:rsid w:val="003E1EE3"/>
    <w:rsid w:val="003E2AF6"/>
    <w:rsid w:val="003E31CD"/>
    <w:rsid w:val="003E367B"/>
    <w:rsid w:val="003E4A98"/>
    <w:rsid w:val="003E53C5"/>
    <w:rsid w:val="003E56D8"/>
    <w:rsid w:val="003E7039"/>
    <w:rsid w:val="003F07E7"/>
    <w:rsid w:val="003F0A4D"/>
    <w:rsid w:val="003F1C93"/>
    <w:rsid w:val="003F3106"/>
    <w:rsid w:val="003F3114"/>
    <w:rsid w:val="003F4615"/>
    <w:rsid w:val="003F49CC"/>
    <w:rsid w:val="003F5D9B"/>
    <w:rsid w:val="003F71CE"/>
    <w:rsid w:val="003F73EB"/>
    <w:rsid w:val="003F79EF"/>
    <w:rsid w:val="004004D6"/>
    <w:rsid w:val="004005E8"/>
    <w:rsid w:val="004005EF"/>
    <w:rsid w:val="004012D9"/>
    <w:rsid w:val="00401A32"/>
    <w:rsid w:val="00402BD6"/>
    <w:rsid w:val="004033C1"/>
    <w:rsid w:val="00403F4D"/>
    <w:rsid w:val="00405739"/>
    <w:rsid w:val="0040583E"/>
    <w:rsid w:val="00405BFA"/>
    <w:rsid w:val="00405D60"/>
    <w:rsid w:val="00406822"/>
    <w:rsid w:val="004130A6"/>
    <w:rsid w:val="0041356D"/>
    <w:rsid w:val="00413ADB"/>
    <w:rsid w:val="0041502E"/>
    <w:rsid w:val="00415075"/>
    <w:rsid w:val="004150FC"/>
    <w:rsid w:val="0041600B"/>
    <w:rsid w:val="004169FB"/>
    <w:rsid w:val="004215B4"/>
    <w:rsid w:val="00422301"/>
    <w:rsid w:val="00422C8B"/>
    <w:rsid w:val="004233BC"/>
    <w:rsid w:val="004238B9"/>
    <w:rsid w:val="00426013"/>
    <w:rsid w:val="0042676A"/>
    <w:rsid w:val="00426779"/>
    <w:rsid w:val="00427339"/>
    <w:rsid w:val="00430556"/>
    <w:rsid w:val="00431374"/>
    <w:rsid w:val="0043165A"/>
    <w:rsid w:val="00431DFE"/>
    <w:rsid w:val="004320F4"/>
    <w:rsid w:val="00432541"/>
    <w:rsid w:val="00433AE8"/>
    <w:rsid w:val="004343AC"/>
    <w:rsid w:val="00434639"/>
    <w:rsid w:val="00434E4E"/>
    <w:rsid w:val="00435123"/>
    <w:rsid w:val="00435284"/>
    <w:rsid w:val="0043540E"/>
    <w:rsid w:val="004360EB"/>
    <w:rsid w:val="00436328"/>
    <w:rsid w:val="00436E8A"/>
    <w:rsid w:val="004375F6"/>
    <w:rsid w:val="00443955"/>
    <w:rsid w:val="00445579"/>
    <w:rsid w:val="00446752"/>
    <w:rsid w:val="00446BC7"/>
    <w:rsid w:val="0044758F"/>
    <w:rsid w:val="004476F8"/>
    <w:rsid w:val="00447760"/>
    <w:rsid w:val="004515A0"/>
    <w:rsid w:val="00452393"/>
    <w:rsid w:val="00452B1D"/>
    <w:rsid w:val="00452EA9"/>
    <w:rsid w:val="004556F3"/>
    <w:rsid w:val="00457AA1"/>
    <w:rsid w:val="00457DB3"/>
    <w:rsid w:val="004645F5"/>
    <w:rsid w:val="0046493C"/>
    <w:rsid w:val="00465925"/>
    <w:rsid w:val="00466B47"/>
    <w:rsid w:val="004673C8"/>
    <w:rsid w:val="00470511"/>
    <w:rsid w:val="004717FE"/>
    <w:rsid w:val="004719BB"/>
    <w:rsid w:val="004719DB"/>
    <w:rsid w:val="004731CC"/>
    <w:rsid w:val="00473237"/>
    <w:rsid w:val="00473872"/>
    <w:rsid w:val="004742BC"/>
    <w:rsid w:val="0047504C"/>
    <w:rsid w:val="0047558D"/>
    <w:rsid w:val="00475ADE"/>
    <w:rsid w:val="004772A2"/>
    <w:rsid w:val="004776F1"/>
    <w:rsid w:val="00480BCC"/>
    <w:rsid w:val="00481D08"/>
    <w:rsid w:val="00482630"/>
    <w:rsid w:val="00482E82"/>
    <w:rsid w:val="004831BB"/>
    <w:rsid w:val="00484481"/>
    <w:rsid w:val="0048481F"/>
    <w:rsid w:val="00485744"/>
    <w:rsid w:val="00487FB1"/>
    <w:rsid w:val="0049292E"/>
    <w:rsid w:val="00492C73"/>
    <w:rsid w:val="004931C5"/>
    <w:rsid w:val="0049405D"/>
    <w:rsid w:val="0049568A"/>
    <w:rsid w:val="00496096"/>
    <w:rsid w:val="004A00D7"/>
    <w:rsid w:val="004A019B"/>
    <w:rsid w:val="004A0AD4"/>
    <w:rsid w:val="004A12EB"/>
    <w:rsid w:val="004A1E44"/>
    <w:rsid w:val="004A31C4"/>
    <w:rsid w:val="004A4252"/>
    <w:rsid w:val="004A5CAF"/>
    <w:rsid w:val="004A63D2"/>
    <w:rsid w:val="004A68FB"/>
    <w:rsid w:val="004A6A6F"/>
    <w:rsid w:val="004A78A2"/>
    <w:rsid w:val="004A7FE9"/>
    <w:rsid w:val="004B0525"/>
    <w:rsid w:val="004B0DEA"/>
    <w:rsid w:val="004B151F"/>
    <w:rsid w:val="004B1A1C"/>
    <w:rsid w:val="004B289F"/>
    <w:rsid w:val="004B336A"/>
    <w:rsid w:val="004B37C4"/>
    <w:rsid w:val="004B3949"/>
    <w:rsid w:val="004B5C0A"/>
    <w:rsid w:val="004B6007"/>
    <w:rsid w:val="004B6A3B"/>
    <w:rsid w:val="004B7D09"/>
    <w:rsid w:val="004C1656"/>
    <w:rsid w:val="004C191A"/>
    <w:rsid w:val="004C1E56"/>
    <w:rsid w:val="004C28BB"/>
    <w:rsid w:val="004C30A8"/>
    <w:rsid w:val="004C38B2"/>
    <w:rsid w:val="004C3A69"/>
    <w:rsid w:val="004C41CC"/>
    <w:rsid w:val="004C4B68"/>
    <w:rsid w:val="004C5F79"/>
    <w:rsid w:val="004C6E0A"/>
    <w:rsid w:val="004C6EE3"/>
    <w:rsid w:val="004D12C0"/>
    <w:rsid w:val="004D17C2"/>
    <w:rsid w:val="004D46C1"/>
    <w:rsid w:val="004E065A"/>
    <w:rsid w:val="004E0700"/>
    <w:rsid w:val="004E10B6"/>
    <w:rsid w:val="004E3415"/>
    <w:rsid w:val="004E3776"/>
    <w:rsid w:val="004E51AB"/>
    <w:rsid w:val="004E60E3"/>
    <w:rsid w:val="004E71DB"/>
    <w:rsid w:val="004E74B2"/>
    <w:rsid w:val="004F0B9D"/>
    <w:rsid w:val="004F4B16"/>
    <w:rsid w:val="004F4C23"/>
    <w:rsid w:val="004F5D9D"/>
    <w:rsid w:val="004F68B1"/>
    <w:rsid w:val="004F70EC"/>
    <w:rsid w:val="004F710D"/>
    <w:rsid w:val="00500160"/>
    <w:rsid w:val="005002E2"/>
    <w:rsid w:val="00500EAF"/>
    <w:rsid w:val="0050139D"/>
    <w:rsid w:val="00501795"/>
    <w:rsid w:val="00501B3F"/>
    <w:rsid w:val="00502105"/>
    <w:rsid w:val="00502FFC"/>
    <w:rsid w:val="00503EF2"/>
    <w:rsid w:val="00504C04"/>
    <w:rsid w:val="005052A2"/>
    <w:rsid w:val="0050583C"/>
    <w:rsid w:val="00506B9A"/>
    <w:rsid w:val="00506D6A"/>
    <w:rsid w:val="0050737E"/>
    <w:rsid w:val="00507E5C"/>
    <w:rsid w:val="005137DD"/>
    <w:rsid w:val="005153C5"/>
    <w:rsid w:val="00515548"/>
    <w:rsid w:val="00515B3A"/>
    <w:rsid w:val="00517835"/>
    <w:rsid w:val="00520C74"/>
    <w:rsid w:val="005211A7"/>
    <w:rsid w:val="00525E76"/>
    <w:rsid w:val="00526F60"/>
    <w:rsid w:val="00530B31"/>
    <w:rsid w:val="0053113E"/>
    <w:rsid w:val="00531DCE"/>
    <w:rsid w:val="00531E2F"/>
    <w:rsid w:val="005326B6"/>
    <w:rsid w:val="00532F6C"/>
    <w:rsid w:val="005334B2"/>
    <w:rsid w:val="00533766"/>
    <w:rsid w:val="0053494E"/>
    <w:rsid w:val="00534954"/>
    <w:rsid w:val="0053642E"/>
    <w:rsid w:val="00537060"/>
    <w:rsid w:val="005416D7"/>
    <w:rsid w:val="00542256"/>
    <w:rsid w:val="00543648"/>
    <w:rsid w:val="00543885"/>
    <w:rsid w:val="00544917"/>
    <w:rsid w:val="005474C2"/>
    <w:rsid w:val="005476ED"/>
    <w:rsid w:val="00550BE0"/>
    <w:rsid w:val="00553174"/>
    <w:rsid w:val="00553574"/>
    <w:rsid w:val="00553C17"/>
    <w:rsid w:val="00554A36"/>
    <w:rsid w:val="00554BA8"/>
    <w:rsid w:val="00554FBD"/>
    <w:rsid w:val="00555759"/>
    <w:rsid w:val="005558D4"/>
    <w:rsid w:val="00556259"/>
    <w:rsid w:val="00560934"/>
    <w:rsid w:val="00561A9B"/>
    <w:rsid w:val="00561C8B"/>
    <w:rsid w:val="00561DCD"/>
    <w:rsid w:val="00562EC0"/>
    <w:rsid w:val="00563206"/>
    <w:rsid w:val="00563922"/>
    <w:rsid w:val="00563E31"/>
    <w:rsid w:val="00564C24"/>
    <w:rsid w:val="00564DCC"/>
    <w:rsid w:val="005656C2"/>
    <w:rsid w:val="00567CF5"/>
    <w:rsid w:val="0057119B"/>
    <w:rsid w:val="005729B2"/>
    <w:rsid w:val="00573EDD"/>
    <w:rsid w:val="0057461A"/>
    <w:rsid w:val="005747FB"/>
    <w:rsid w:val="00574C37"/>
    <w:rsid w:val="00575079"/>
    <w:rsid w:val="00575363"/>
    <w:rsid w:val="00575449"/>
    <w:rsid w:val="005757C4"/>
    <w:rsid w:val="005765A4"/>
    <w:rsid w:val="00576A24"/>
    <w:rsid w:val="00576B4D"/>
    <w:rsid w:val="00580A75"/>
    <w:rsid w:val="00583441"/>
    <w:rsid w:val="005842E1"/>
    <w:rsid w:val="00584359"/>
    <w:rsid w:val="005863B1"/>
    <w:rsid w:val="0058686F"/>
    <w:rsid w:val="00587010"/>
    <w:rsid w:val="0059163E"/>
    <w:rsid w:val="00592638"/>
    <w:rsid w:val="00592C77"/>
    <w:rsid w:val="00594D75"/>
    <w:rsid w:val="00595490"/>
    <w:rsid w:val="00595A34"/>
    <w:rsid w:val="00595CE1"/>
    <w:rsid w:val="005A04FC"/>
    <w:rsid w:val="005A1ADA"/>
    <w:rsid w:val="005A1EEF"/>
    <w:rsid w:val="005A2565"/>
    <w:rsid w:val="005A2EF8"/>
    <w:rsid w:val="005A34B6"/>
    <w:rsid w:val="005A3524"/>
    <w:rsid w:val="005A51F4"/>
    <w:rsid w:val="005A707C"/>
    <w:rsid w:val="005B0013"/>
    <w:rsid w:val="005B04C0"/>
    <w:rsid w:val="005B1238"/>
    <w:rsid w:val="005B173D"/>
    <w:rsid w:val="005B30F3"/>
    <w:rsid w:val="005B5B16"/>
    <w:rsid w:val="005B6B2A"/>
    <w:rsid w:val="005C1DBC"/>
    <w:rsid w:val="005C2FE7"/>
    <w:rsid w:val="005C3C51"/>
    <w:rsid w:val="005C4401"/>
    <w:rsid w:val="005C493E"/>
    <w:rsid w:val="005C4D06"/>
    <w:rsid w:val="005C4DF4"/>
    <w:rsid w:val="005C54D4"/>
    <w:rsid w:val="005C6E9D"/>
    <w:rsid w:val="005C7E19"/>
    <w:rsid w:val="005D0B74"/>
    <w:rsid w:val="005D0E00"/>
    <w:rsid w:val="005D2202"/>
    <w:rsid w:val="005D2627"/>
    <w:rsid w:val="005D294F"/>
    <w:rsid w:val="005D349E"/>
    <w:rsid w:val="005D3EDB"/>
    <w:rsid w:val="005D497D"/>
    <w:rsid w:val="005D4D9F"/>
    <w:rsid w:val="005D535C"/>
    <w:rsid w:val="005D581A"/>
    <w:rsid w:val="005D7673"/>
    <w:rsid w:val="005E00C1"/>
    <w:rsid w:val="005E387F"/>
    <w:rsid w:val="005E396F"/>
    <w:rsid w:val="005E4BC9"/>
    <w:rsid w:val="005E4C1C"/>
    <w:rsid w:val="005E67DD"/>
    <w:rsid w:val="005E726E"/>
    <w:rsid w:val="005E783E"/>
    <w:rsid w:val="005F216C"/>
    <w:rsid w:val="005F40B5"/>
    <w:rsid w:val="005F45DB"/>
    <w:rsid w:val="005F507B"/>
    <w:rsid w:val="005F5266"/>
    <w:rsid w:val="005F66A0"/>
    <w:rsid w:val="005F69F8"/>
    <w:rsid w:val="005F7682"/>
    <w:rsid w:val="006022F2"/>
    <w:rsid w:val="006029F1"/>
    <w:rsid w:val="00603A63"/>
    <w:rsid w:val="00603C16"/>
    <w:rsid w:val="0060433B"/>
    <w:rsid w:val="00604CE0"/>
    <w:rsid w:val="00604F97"/>
    <w:rsid w:val="006078EA"/>
    <w:rsid w:val="00607CBD"/>
    <w:rsid w:val="00610997"/>
    <w:rsid w:val="006115FE"/>
    <w:rsid w:val="00611A3B"/>
    <w:rsid w:val="00611DCE"/>
    <w:rsid w:val="00613DE1"/>
    <w:rsid w:val="00615182"/>
    <w:rsid w:val="00616501"/>
    <w:rsid w:val="00616C3F"/>
    <w:rsid w:val="00617839"/>
    <w:rsid w:val="006203F4"/>
    <w:rsid w:val="00623381"/>
    <w:rsid w:val="006237F7"/>
    <w:rsid w:val="006248BE"/>
    <w:rsid w:val="0063124C"/>
    <w:rsid w:val="0063325D"/>
    <w:rsid w:val="006337C9"/>
    <w:rsid w:val="00634E94"/>
    <w:rsid w:val="00634F64"/>
    <w:rsid w:val="00640EC4"/>
    <w:rsid w:val="0064101C"/>
    <w:rsid w:val="006416FB"/>
    <w:rsid w:val="00641D1A"/>
    <w:rsid w:val="006425D4"/>
    <w:rsid w:val="006425F1"/>
    <w:rsid w:val="006430B7"/>
    <w:rsid w:val="0064386E"/>
    <w:rsid w:val="00643E9C"/>
    <w:rsid w:val="00645B96"/>
    <w:rsid w:val="00645E6B"/>
    <w:rsid w:val="006469AF"/>
    <w:rsid w:val="00646F34"/>
    <w:rsid w:val="006479DC"/>
    <w:rsid w:val="00647DA6"/>
    <w:rsid w:val="0065028B"/>
    <w:rsid w:val="006507C0"/>
    <w:rsid w:val="006513EB"/>
    <w:rsid w:val="00653A3C"/>
    <w:rsid w:val="00653E16"/>
    <w:rsid w:val="00653EA3"/>
    <w:rsid w:val="00654F3D"/>
    <w:rsid w:val="00655FE1"/>
    <w:rsid w:val="0065655C"/>
    <w:rsid w:val="006568E2"/>
    <w:rsid w:val="00661356"/>
    <w:rsid w:val="006619F8"/>
    <w:rsid w:val="00661A7D"/>
    <w:rsid w:val="00664122"/>
    <w:rsid w:val="00664C23"/>
    <w:rsid w:val="00664EDE"/>
    <w:rsid w:val="0066542A"/>
    <w:rsid w:val="00665DC8"/>
    <w:rsid w:val="00666D8F"/>
    <w:rsid w:val="00667067"/>
    <w:rsid w:val="0066714E"/>
    <w:rsid w:val="00670C8A"/>
    <w:rsid w:val="00671808"/>
    <w:rsid w:val="00673DE8"/>
    <w:rsid w:val="006749F3"/>
    <w:rsid w:val="00674FDF"/>
    <w:rsid w:val="00682255"/>
    <w:rsid w:val="00683DAF"/>
    <w:rsid w:val="006843BB"/>
    <w:rsid w:val="00684A7F"/>
    <w:rsid w:val="00684DDA"/>
    <w:rsid w:val="00684DEC"/>
    <w:rsid w:val="00684FDD"/>
    <w:rsid w:val="00686CA6"/>
    <w:rsid w:val="006871A0"/>
    <w:rsid w:val="0069324B"/>
    <w:rsid w:val="00693F5B"/>
    <w:rsid w:val="00695337"/>
    <w:rsid w:val="00695E6E"/>
    <w:rsid w:val="006966D5"/>
    <w:rsid w:val="00696EFB"/>
    <w:rsid w:val="00697955"/>
    <w:rsid w:val="00697BF0"/>
    <w:rsid w:val="00697D83"/>
    <w:rsid w:val="00697F2A"/>
    <w:rsid w:val="006A01AB"/>
    <w:rsid w:val="006A06D6"/>
    <w:rsid w:val="006A1D97"/>
    <w:rsid w:val="006A2369"/>
    <w:rsid w:val="006A38B2"/>
    <w:rsid w:val="006A5836"/>
    <w:rsid w:val="006A7B5D"/>
    <w:rsid w:val="006B018A"/>
    <w:rsid w:val="006B0E1E"/>
    <w:rsid w:val="006B2564"/>
    <w:rsid w:val="006B25D6"/>
    <w:rsid w:val="006B2DCE"/>
    <w:rsid w:val="006B3017"/>
    <w:rsid w:val="006B43BC"/>
    <w:rsid w:val="006B4D07"/>
    <w:rsid w:val="006B53BB"/>
    <w:rsid w:val="006B5BF9"/>
    <w:rsid w:val="006C03D7"/>
    <w:rsid w:val="006C1389"/>
    <w:rsid w:val="006C1BC1"/>
    <w:rsid w:val="006C37DB"/>
    <w:rsid w:val="006C46E0"/>
    <w:rsid w:val="006C4D3E"/>
    <w:rsid w:val="006C5B3E"/>
    <w:rsid w:val="006C615F"/>
    <w:rsid w:val="006C72EB"/>
    <w:rsid w:val="006C7F46"/>
    <w:rsid w:val="006D0B36"/>
    <w:rsid w:val="006D3D26"/>
    <w:rsid w:val="006D3DB2"/>
    <w:rsid w:val="006D43E1"/>
    <w:rsid w:val="006D50C1"/>
    <w:rsid w:val="006D6CC0"/>
    <w:rsid w:val="006D7072"/>
    <w:rsid w:val="006E0361"/>
    <w:rsid w:val="006E142C"/>
    <w:rsid w:val="006E145A"/>
    <w:rsid w:val="006E15E3"/>
    <w:rsid w:val="006E2387"/>
    <w:rsid w:val="006E24AD"/>
    <w:rsid w:val="006E26A0"/>
    <w:rsid w:val="006E510D"/>
    <w:rsid w:val="006E5173"/>
    <w:rsid w:val="006E5200"/>
    <w:rsid w:val="006E672C"/>
    <w:rsid w:val="006E7BC3"/>
    <w:rsid w:val="006E7BFD"/>
    <w:rsid w:val="006F0571"/>
    <w:rsid w:val="006F182E"/>
    <w:rsid w:val="006F3AE3"/>
    <w:rsid w:val="006F5B00"/>
    <w:rsid w:val="006F7377"/>
    <w:rsid w:val="006F7D59"/>
    <w:rsid w:val="0070000E"/>
    <w:rsid w:val="0070014F"/>
    <w:rsid w:val="00700F57"/>
    <w:rsid w:val="00702E28"/>
    <w:rsid w:val="00703EFC"/>
    <w:rsid w:val="0070415B"/>
    <w:rsid w:val="007043A6"/>
    <w:rsid w:val="0070444C"/>
    <w:rsid w:val="007051B7"/>
    <w:rsid w:val="00705217"/>
    <w:rsid w:val="007053D4"/>
    <w:rsid w:val="0070567E"/>
    <w:rsid w:val="00705A22"/>
    <w:rsid w:val="00706146"/>
    <w:rsid w:val="007122A8"/>
    <w:rsid w:val="00713508"/>
    <w:rsid w:val="00713608"/>
    <w:rsid w:val="00716027"/>
    <w:rsid w:val="007162FA"/>
    <w:rsid w:val="00716332"/>
    <w:rsid w:val="00717C33"/>
    <w:rsid w:val="00717EB6"/>
    <w:rsid w:val="007211C8"/>
    <w:rsid w:val="0072273E"/>
    <w:rsid w:val="00724D08"/>
    <w:rsid w:val="00725BD7"/>
    <w:rsid w:val="00727264"/>
    <w:rsid w:val="0073050D"/>
    <w:rsid w:val="0073056F"/>
    <w:rsid w:val="0073167F"/>
    <w:rsid w:val="007321B4"/>
    <w:rsid w:val="00732AF2"/>
    <w:rsid w:val="007332D5"/>
    <w:rsid w:val="00734D98"/>
    <w:rsid w:val="00735795"/>
    <w:rsid w:val="0073628B"/>
    <w:rsid w:val="00736449"/>
    <w:rsid w:val="00737BA7"/>
    <w:rsid w:val="00741BBA"/>
    <w:rsid w:val="00741C21"/>
    <w:rsid w:val="00742623"/>
    <w:rsid w:val="0074579E"/>
    <w:rsid w:val="00746225"/>
    <w:rsid w:val="00746768"/>
    <w:rsid w:val="00750B82"/>
    <w:rsid w:val="007511D9"/>
    <w:rsid w:val="00753CD4"/>
    <w:rsid w:val="0075478E"/>
    <w:rsid w:val="0075509A"/>
    <w:rsid w:val="00755E97"/>
    <w:rsid w:val="00756A0B"/>
    <w:rsid w:val="00756D7C"/>
    <w:rsid w:val="00757359"/>
    <w:rsid w:val="00763458"/>
    <w:rsid w:val="007637C1"/>
    <w:rsid w:val="007646E7"/>
    <w:rsid w:val="00766856"/>
    <w:rsid w:val="007669F0"/>
    <w:rsid w:val="00766DEB"/>
    <w:rsid w:val="00770A47"/>
    <w:rsid w:val="00771D2A"/>
    <w:rsid w:val="007722FF"/>
    <w:rsid w:val="007731E5"/>
    <w:rsid w:val="00773A1B"/>
    <w:rsid w:val="0077430C"/>
    <w:rsid w:val="00774D6E"/>
    <w:rsid w:val="00776353"/>
    <w:rsid w:val="007763E4"/>
    <w:rsid w:val="0077732B"/>
    <w:rsid w:val="00777445"/>
    <w:rsid w:val="0077791D"/>
    <w:rsid w:val="007800C1"/>
    <w:rsid w:val="007801FC"/>
    <w:rsid w:val="00780C12"/>
    <w:rsid w:val="007811A2"/>
    <w:rsid w:val="00781286"/>
    <w:rsid w:val="007815E1"/>
    <w:rsid w:val="00783B2F"/>
    <w:rsid w:val="007840F1"/>
    <w:rsid w:val="0078520D"/>
    <w:rsid w:val="007917AC"/>
    <w:rsid w:val="007919AE"/>
    <w:rsid w:val="00792DC4"/>
    <w:rsid w:val="00792E5A"/>
    <w:rsid w:val="00793F51"/>
    <w:rsid w:val="007944D6"/>
    <w:rsid w:val="0079485F"/>
    <w:rsid w:val="00794E8F"/>
    <w:rsid w:val="00794FFA"/>
    <w:rsid w:val="00796077"/>
    <w:rsid w:val="00796ED6"/>
    <w:rsid w:val="0079756F"/>
    <w:rsid w:val="007A009E"/>
    <w:rsid w:val="007A03C6"/>
    <w:rsid w:val="007A095F"/>
    <w:rsid w:val="007A21EA"/>
    <w:rsid w:val="007A25F1"/>
    <w:rsid w:val="007A33FE"/>
    <w:rsid w:val="007A3900"/>
    <w:rsid w:val="007A3A36"/>
    <w:rsid w:val="007A405C"/>
    <w:rsid w:val="007A4626"/>
    <w:rsid w:val="007A59F1"/>
    <w:rsid w:val="007A5FD1"/>
    <w:rsid w:val="007A62ED"/>
    <w:rsid w:val="007A7222"/>
    <w:rsid w:val="007B075C"/>
    <w:rsid w:val="007B4B22"/>
    <w:rsid w:val="007B5E02"/>
    <w:rsid w:val="007B654B"/>
    <w:rsid w:val="007B719B"/>
    <w:rsid w:val="007B7637"/>
    <w:rsid w:val="007B7819"/>
    <w:rsid w:val="007C0915"/>
    <w:rsid w:val="007C1C13"/>
    <w:rsid w:val="007C225E"/>
    <w:rsid w:val="007C2E24"/>
    <w:rsid w:val="007C35FD"/>
    <w:rsid w:val="007C3DE5"/>
    <w:rsid w:val="007C4F7F"/>
    <w:rsid w:val="007C541E"/>
    <w:rsid w:val="007C6E1E"/>
    <w:rsid w:val="007C78C4"/>
    <w:rsid w:val="007C7A97"/>
    <w:rsid w:val="007D152B"/>
    <w:rsid w:val="007D1C11"/>
    <w:rsid w:val="007D310E"/>
    <w:rsid w:val="007D4290"/>
    <w:rsid w:val="007D5905"/>
    <w:rsid w:val="007D5C34"/>
    <w:rsid w:val="007D5E9F"/>
    <w:rsid w:val="007D765E"/>
    <w:rsid w:val="007D7D4C"/>
    <w:rsid w:val="007E0D1C"/>
    <w:rsid w:val="007E195E"/>
    <w:rsid w:val="007E1CC3"/>
    <w:rsid w:val="007E28FE"/>
    <w:rsid w:val="007E3965"/>
    <w:rsid w:val="007E42A0"/>
    <w:rsid w:val="007E4986"/>
    <w:rsid w:val="007E49AF"/>
    <w:rsid w:val="007E58B4"/>
    <w:rsid w:val="007E5FEB"/>
    <w:rsid w:val="007E6383"/>
    <w:rsid w:val="007F0942"/>
    <w:rsid w:val="007F2AAD"/>
    <w:rsid w:val="007F4F2F"/>
    <w:rsid w:val="007F63F2"/>
    <w:rsid w:val="007F6FE3"/>
    <w:rsid w:val="00800357"/>
    <w:rsid w:val="008030F9"/>
    <w:rsid w:val="008035E6"/>
    <w:rsid w:val="00805618"/>
    <w:rsid w:val="00807432"/>
    <w:rsid w:val="00810BC5"/>
    <w:rsid w:val="00810D66"/>
    <w:rsid w:val="00813347"/>
    <w:rsid w:val="00813489"/>
    <w:rsid w:val="00814124"/>
    <w:rsid w:val="0081418F"/>
    <w:rsid w:val="008141ED"/>
    <w:rsid w:val="00814700"/>
    <w:rsid w:val="00820F85"/>
    <w:rsid w:val="008229D4"/>
    <w:rsid w:val="008230E8"/>
    <w:rsid w:val="008232CA"/>
    <w:rsid w:val="00823ADA"/>
    <w:rsid w:val="00823B3E"/>
    <w:rsid w:val="00824E01"/>
    <w:rsid w:val="00825C2F"/>
    <w:rsid w:val="00826338"/>
    <w:rsid w:val="00826965"/>
    <w:rsid w:val="00827260"/>
    <w:rsid w:val="00830765"/>
    <w:rsid w:val="00830AA3"/>
    <w:rsid w:val="00831416"/>
    <w:rsid w:val="00833D8C"/>
    <w:rsid w:val="008351E1"/>
    <w:rsid w:val="008362ED"/>
    <w:rsid w:val="00836903"/>
    <w:rsid w:val="00836E39"/>
    <w:rsid w:val="00836F2A"/>
    <w:rsid w:val="00837798"/>
    <w:rsid w:val="00840E89"/>
    <w:rsid w:val="00842DFB"/>
    <w:rsid w:val="008449F7"/>
    <w:rsid w:val="00845DCD"/>
    <w:rsid w:val="0084665B"/>
    <w:rsid w:val="008474CD"/>
    <w:rsid w:val="00847F55"/>
    <w:rsid w:val="00850AA7"/>
    <w:rsid w:val="00850D44"/>
    <w:rsid w:val="00851631"/>
    <w:rsid w:val="0085234F"/>
    <w:rsid w:val="00853282"/>
    <w:rsid w:val="008549FD"/>
    <w:rsid w:val="00855568"/>
    <w:rsid w:val="00855FFD"/>
    <w:rsid w:val="008560AA"/>
    <w:rsid w:val="00856101"/>
    <w:rsid w:val="00857CC3"/>
    <w:rsid w:val="008608A3"/>
    <w:rsid w:val="008616E7"/>
    <w:rsid w:val="0086177F"/>
    <w:rsid w:val="00862470"/>
    <w:rsid w:val="0086620F"/>
    <w:rsid w:val="00866AF3"/>
    <w:rsid w:val="00866C82"/>
    <w:rsid w:val="008672E6"/>
    <w:rsid w:val="008677E5"/>
    <w:rsid w:val="00867C57"/>
    <w:rsid w:val="00874311"/>
    <w:rsid w:val="00874EC5"/>
    <w:rsid w:val="00875741"/>
    <w:rsid w:val="00875C31"/>
    <w:rsid w:val="00876E75"/>
    <w:rsid w:val="008775EA"/>
    <w:rsid w:val="008775F8"/>
    <w:rsid w:val="0087780F"/>
    <w:rsid w:val="00877CD3"/>
    <w:rsid w:val="008811E5"/>
    <w:rsid w:val="0088215D"/>
    <w:rsid w:val="008826D8"/>
    <w:rsid w:val="00882832"/>
    <w:rsid w:val="008832C1"/>
    <w:rsid w:val="00885016"/>
    <w:rsid w:val="00885243"/>
    <w:rsid w:val="008867D4"/>
    <w:rsid w:val="00886823"/>
    <w:rsid w:val="00886BC0"/>
    <w:rsid w:val="0089075D"/>
    <w:rsid w:val="008913B9"/>
    <w:rsid w:val="008917A2"/>
    <w:rsid w:val="008938BD"/>
    <w:rsid w:val="008938D5"/>
    <w:rsid w:val="00894718"/>
    <w:rsid w:val="008964DA"/>
    <w:rsid w:val="0089703E"/>
    <w:rsid w:val="008A05B4"/>
    <w:rsid w:val="008A16AF"/>
    <w:rsid w:val="008A1A26"/>
    <w:rsid w:val="008A1D16"/>
    <w:rsid w:val="008A400D"/>
    <w:rsid w:val="008A48EB"/>
    <w:rsid w:val="008A600D"/>
    <w:rsid w:val="008A6118"/>
    <w:rsid w:val="008A7119"/>
    <w:rsid w:val="008B07D3"/>
    <w:rsid w:val="008B131C"/>
    <w:rsid w:val="008B1E0A"/>
    <w:rsid w:val="008B1E53"/>
    <w:rsid w:val="008B22B6"/>
    <w:rsid w:val="008B42C0"/>
    <w:rsid w:val="008B5CE8"/>
    <w:rsid w:val="008B5DEB"/>
    <w:rsid w:val="008B600B"/>
    <w:rsid w:val="008B6B63"/>
    <w:rsid w:val="008B7B94"/>
    <w:rsid w:val="008C1980"/>
    <w:rsid w:val="008C1A4B"/>
    <w:rsid w:val="008C1D6E"/>
    <w:rsid w:val="008C390E"/>
    <w:rsid w:val="008C3EC2"/>
    <w:rsid w:val="008C4304"/>
    <w:rsid w:val="008C4C74"/>
    <w:rsid w:val="008C4FFF"/>
    <w:rsid w:val="008C6BCA"/>
    <w:rsid w:val="008C6D79"/>
    <w:rsid w:val="008C71C7"/>
    <w:rsid w:val="008C7941"/>
    <w:rsid w:val="008D0AE2"/>
    <w:rsid w:val="008D0C17"/>
    <w:rsid w:val="008D4D27"/>
    <w:rsid w:val="008D4F19"/>
    <w:rsid w:val="008D7021"/>
    <w:rsid w:val="008E09E2"/>
    <w:rsid w:val="008E1610"/>
    <w:rsid w:val="008E1E4F"/>
    <w:rsid w:val="008E35C2"/>
    <w:rsid w:val="008E74FA"/>
    <w:rsid w:val="008E7876"/>
    <w:rsid w:val="008E7C8C"/>
    <w:rsid w:val="008E7F8D"/>
    <w:rsid w:val="008E7FB7"/>
    <w:rsid w:val="008F132E"/>
    <w:rsid w:val="008F13C2"/>
    <w:rsid w:val="008F2EF0"/>
    <w:rsid w:val="008F3198"/>
    <w:rsid w:val="008F3F61"/>
    <w:rsid w:val="008F49A9"/>
    <w:rsid w:val="008F4F40"/>
    <w:rsid w:val="008F63CE"/>
    <w:rsid w:val="008F6657"/>
    <w:rsid w:val="008F7B0E"/>
    <w:rsid w:val="00901136"/>
    <w:rsid w:val="00902823"/>
    <w:rsid w:val="009031A1"/>
    <w:rsid w:val="00904EBC"/>
    <w:rsid w:val="00905482"/>
    <w:rsid w:val="009065F0"/>
    <w:rsid w:val="0090713F"/>
    <w:rsid w:val="00910995"/>
    <w:rsid w:val="00910A4F"/>
    <w:rsid w:val="00912803"/>
    <w:rsid w:val="009137DC"/>
    <w:rsid w:val="0091402A"/>
    <w:rsid w:val="0091434B"/>
    <w:rsid w:val="00915AB5"/>
    <w:rsid w:val="00915D7D"/>
    <w:rsid w:val="00916501"/>
    <w:rsid w:val="00917C96"/>
    <w:rsid w:val="00920F9E"/>
    <w:rsid w:val="00921058"/>
    <w:rsid w:val="00921199"/>
    <w:rsid w:val="009233A1"/>
    <w:rsid w:val="0092386C"/>
    <w:rsid w:val="0092388F"/>
    <w:rsid w:val="0092470C"/>
    <w:rsid w:val="00924F1E"/>
    <w:rsid w:val="00924F61"/>
    <w:rsid w:val="00925627"/>
    <w:rsid w:val="009256FC"/>
    <w:rsid w:val="009324AF"/>
    <w:rsid w:val="00932E54"/>
    <w:rsid w:val="00933552"/>
    <w:rsid w:val="00935227"/>
    <w:rsid w:val="00940E00"/>
    <w:rsid w:val="009428F3"/>
    <w:rsid w:val="0094410E"/>
    <w:rsid w:val="009451A4"/>
    <w:rsid w:val="00945744"/>
    <w:rsid w:val="00946812"/>
    <w:rsid w:val="00947B6C"/>
    <w:rsid w:val="00947C7C"/>
    <w:rsid w:val="00950C83"/>
    <w:rsid w:val="00950F37"/>
    <w:rsid w:val="00951AB8"/>
    <w:rsid w:val="009524D4"/>
    <w:rsid w:val="0095253D"/>
    <w:rsid w:val="009532F9"/>
    <w:rsid w:val="0095391A"/>
    <w:rsid w:val="0095569D"/>
    <w:rsid w:val="009575C9"/>
    <w:rsid w:val="00957AF1"/>
    <w:rsid w:val="0096044E"/>
    <w:rsid w:val="0096076D"/>
    <w:rsid w:val="009607F8"/>
    <w:rsid w:val="009613F6"/>
    <w:rsid w:val="009621AF"/>
    <w:rsid w:val="009629AE"/>
    <w:rsid w:val="009629DB"/>
    <w:rsid w:val="00964A83"/>
    <w:rsid w:val="00964B22"/>
    <w:rsid w:val="009667A2"/>
    <w:rsid w:val="00966F68"/>
    <w:rsid w:val="009676F5"/>
    <w:rsid w:val="00967F78"/>
    <w:rsid w:val="00970F1D"/>
    <w:rsid w:val="0097115D"/>
    <w:rsid w:val="009713DE"/>
    <w:rsid w:val="00972FC0"/>
    <w:rsid w:val="00974CC4"/>
    <w:rsid w:val="0097555C"/>
    <w:rsid w:val="00975D71"/>
    <w:rsid w:val="00976A55"/>
    <w:rsid w:val="00980252"/>
    <w:rsid w:val="00980542"/>
    <w:rsid w:val="00980CD5"/>
    <w:rsid w:val="00981CE7"/>
    <w:rsid w:val="00982D21"/>
    <w:rsid w:val="00984915"/>
    <w:rsid w:val="00986F45"/>
    <w:rsid w:val="009872B2"/>
    <w:rsid w:val="00990A43"/>
    <w:rsid w:val="00990CD5"/>
    <w:rsid w:val="009919E7"/>
    <w:rsid w:val="0099219C"/>
    <w:rsid w:val="00992989"/>
    <w:rsid w:val="009929C8"/>
    <w:rsid w:val="00993241"/>
    <w:rsid w:val="00997281"/>
    <w:rsid w:val="009A08B6"/>
    <w:rsid w:val="009A17C8"/>
    <w:rsid w:val="009A1E68"/>
    <w:rsid w:val="009A3692"/>
    <w:rsid w:val="009A499C"/>
    <w:rsid w:val="009A5127"/>
    <w:rsid w:val="009A5547"/>
    <w:rsid w:val="009A6296"/>
    <w:rsid w:val="009A688D"/>
    <w:rsid w:val="009A695F"/>
    <w:rsid w:val="009A7259"/>
    <w:rsid w:val="009A7CAB"/>
    <w:rsid w:val="009B020F"/>
    <w:rsid w:val="009B0584"/>
    <w:rsid w:val="009B58BE"/>
    <w:rsid w:val="009B5C2C"/>
    <w:rsid w:val="009C053F"/>
    <w:rsid w:val="009C1A09"/>
    <w:rsid w:val="009C1F8A"/>
    <w:rsid w:val="009C2965"/>
    <w:rsid w:val="009C4C42"/>
    <w:rsid w:val="009C6CBA"/>
    <w:rsid w:val="009C6E7A"/>
    <w:rsid w:val="009C7A13"/>
    <w:rsid w:val="009C7F03"/>
    <w:rsid w:val="009D2063"/>
    <w:rsid w:val="009D255F"/>
    <w:rsid w:val="009D2FA2"/>
    <w:rsid w:val="009D3F28"/>
    <w:rsid w:val="009D66B5"/>
    <w:rsid w:val="009E048A"/>
    <w:rsid w:val="009E31B8"/>
    <w:rsid w:val="009E4AAC"/>
    <w:rsid w:val="009E526E"/>
    <w:rsid w:val="009E5282"/>
    <w:rsid w:val="009E61B6"/>
    <w:rsid w:val="009E70DC"/>
    <w:rsid w:val="009E7F5C"/>
    <w:rsid w:val="009F0115"/>
    <w:rsid w:val="009F17C4"/>
    <w:rsid w:val="009F1836"/>
    <w:rsid w:val="009F2CA1"/>
    <w:rsid w:val="009F3D33"/>
    <w:rsid w:val="009F47E4"/>
    <w:rsid w:val="009F4883"/>
    <w:rsid w:val="009F48D9"/>
    <w:rsid w:val="009F4BDE"/>
    <w:rsid w:val="009F5173"/>
    <w:rsid w:val="009F5563"/>
    <w:rsid w:val="009F5924"/>
    <w:rsid w:val="00A015D1"/>
    <w:rsid w:val="00A02588"/>
    <w:rsid w:val="00A02BB4"/>
    <w:rsid w:val="00A03186"/>
    <w:rsid w:val="00A054DF"/>
    <w:rsid w:val="00A0558C"/>
    <w:rsid w:val="00A0773C"/>
    <w:rsid w:val="00A114E6"/>
    <w:rsid w:val="00A13A5D"/>
    <w:rsid w:val="00A14063"/>
    <w:rsid w:val="00A15217"/>
    <w:rsid w:val="00A16A06"/>
    <w:rsid w:val="00A16A28"/>
    <w:rsid w:val="00A17AAD"/>
    <w:rsid w:val="00A17CA3"/>
    <w:rsid w:val="00A21722"/>
    <w:rsid w:val="00A22329"/>
    <w:rsid w:val="00A224F9"/>
    <w:rsid w:val="00A235D0"/>
    <w:rsid w:val="00A23D17"/>
    <w:rsid w:val="00A250FE"/>
    <w:rsid w:val="00A2572B"/>
    <w:rsid w:val="00A260FA"/>
    <w:rsid w:val="00A26301"/>
    <w:rsid w:val="00A26CA1"/>
    <w:rsid w:val="00A26DAB"/>
    <w:rsid w:val="00A278AC"/>
    <w:rsid w:val="00A30096"/>
    <w:rsid w:val="00A30794"/>
    <w:rsid w:val="00A30AE2"/>
    <w:rsid w:val="00A319A8"/>
    <w:rsid w:val="00A32233"/>
    <w:rsid w:val="00A324D9"/>
    <w:rsid w:val="00A32704"/>
    <w:rsid w:val="00A32BEE"/>
    <w:rsid w:val="00A334DE"/>
    <w:rsid w:val="00A348F6"/>
    <w:rsid w:val="00A34AFC"/>
    <w:rsid w:val="00A3632C"/>
    <w:rsid w:val="00A367CC"/>
    <w:rsid w:val="00A369A1"/>
    <w:rsid w:val="00A408D1"/>
    <w:rsid w:val="00A41354"/>
    <w:rsid w:val="00A43002"/>
    <w:rsid w:val="00A433A3"/>
    <w:rsid w:val="00A44BC8"/>
    <w:rsid w:val="00A44DAA"/>
    <w:rsid w:val="00A4523C"/>
    <w:rsid w:val="00A4551E"/>
    <w:rsid w:val="00A45B45"/>
    <w:rsid w:val="00A52898"/>
    <w:rsid w:val="00A532A2"/>
    <w:rsid w:val="00A5428F"/>
    <w:rsid w:val="00A542A3"/>
    <w:rsid w:val="00A54377"/>
    <w:rsid w:val="00A55F87"/>
    <w:rsid w:val="00A5783E"/>
    <w:rsid w:val="00A605D2"/>
    <w:rsid w:val="00A61182"/>
    <w:rsid w:val="00A6185B"/>
    <w:rsid w:val="00A61CB6"/>
    <w:rsid w:val="00A627B6"/>
    <w:rsid w:val="00A64812"/>
    <w:rsid w:val="00A65618"/>
    <w:rsid w:val="00A65B6E"/>
    <w:rsid w:val="00A65F9C"/>
    <w:rsid w:val="00A6651D"/>
    <w:rsid w:val="00A67F18"/>
    <w:rsid w:val="00A70297"/>
    <w:rsid w:val="00A704A9"/>
    <w:rsid w:val="00A70557"/>
    <w:rsid w:val="00A7098B"/>
    <w:rsid w:val="00A717F0"/>
    <w:rsid w:val="00A71E8F"/>
    <w:rsid w:val="00A72A3E"/>
    <w:rsid w:val="00A739B7"/>
    <w:rsid w:val="00A73A9A"/>
    <w:rsid w:val="00A73AFF"/>
    <w:rsid w:val="00A74508"/>
    <w:rsid w:val="00A76061"/>
    <w:rsid w:val="00A7661C"/>
    <w:rsid w:val="00A7699A"/>
    <w:rsid w:val="00A76A4F"/>
    <w:rsid w:val="00A76F4F"/>
    <w:rsid w:val="00A774BC"/>
    <w:rsid w:val="00A778FF"/>
    <w:rsid w:val="00A81A6E"/>
    <w:rsid w:val="00A823AE"/>
    <w:rsid w:val="00A826FD"/>
    <w:rsid w:val="00A84E18"/>
    <w:rsid w:val="00A8529D"/>
    <w:rsid w:val="00A868FD"/>
    <w:rsid w:val="00A87FD4"/>
    <w:rsid w:val="00A917EB"/>
    <w:rsid w:val="00A91AF4"/>
    <w:rsid w:val="00A93D13"/>
    <w:rsid w:val="00A93F46"/>
    <w:rsid w:val="00A943DA"/>
    <w:rsid w:val="00A952F3"/>
    <w:rsid w:val="00A95807"/>
    <w:rsid w:val="00A96395"/>
    <w:rsid w:val="00A96693"/>
    <w:rsid w:val="00AA18A2"/>
    <w:rsid w:val="00AA2245"/>
    <w:rsid w:val="00AA3A8A"/>
    <w:rsid w:val="00AA44D2"/>
    <w:rsid w:val="00AA5B6A"/>
    <w:rsid w:val="00AA6057"/>
    <w:rsid w:val="00AA6899"/>
    <w:rsid w:val="00AB2FF5"/>
    <w:rsid w:val="00AB30EB"/>
    <w:rsid w:val="00AB3C6A"/>
    <w:rsid w:val="00AB7D44"/>
    <w:rsid w:val="00AC0044"/>
    <w:rsid w:val="00AC0945"/>
    <w:rsid w:val="00AC0B82"/>
    <w:rsid w:val="00AC296A"/>
    <w:rsid w:val="00AC4B90"/>
    <w:rsid w:val="00AC651B"/>
    <w:rsid w:val="00AC6658"/>
    <w:rsid w:val="00AD02AE"/>
    <w:rsid w:val="00AD06F8"/>
    <w:rsid w:val="00AD1BEF"/>
    <w:rsid w:val="00AD316A"/>
    <w:rsid w:val="00AD3B15"/>
    <w:rsid w:val="00AD3D96"/>
    <w:rsid w:val="00AD402A"/>
    <w:rsid w:val="00AD47F3"/>
    <w:rsid w:val="00AD6967"/>
    <w:rsid w:val="00AD7BDF"/>
    <w:rsid w:val="00AD7EB2"/>
    <w:rsid w:val="00AD7EEA"/>
    <w:rsid w:val="00AE4CB0"/>
    <w:rsid w:val="00AE631D"/>
    <w:rsid w:val="00AE6DA6"/>
    <w:rsid w:val="00AE7134"/>
    <w:rsid w:val="00AE74CE"/>
    <w:rsid w:val="00AF0C76"/>
    <w:rsid w:val="00AF0D0C"/>
    <w:rsid w:val="00AF2948"/>
    <w:rsid w:val="00AF41A2"/>
    <w:rsid w:val="00AF4EF0"/>
    <w:rsid w:val="00AF6167"/>
    <w:rsid w:val="00AF67BC"/>
    <w:rsid w:val="00AF6CB5"/>
    <w:rsid w:val="00AF71FF"/>
    <w:rsid w:val="00AF7227"/>
    <w:rsid w:val="00B01BA2"/>
    <w:rsid w:val="00B01BD6"/>
    <w:rsid w:val="00B01CD0"/>
    <w:rsid w:val="00B02D8A"/>
    <w:rsid w:val="00B03A5D"/>
    <w:rsid w:val="00B0431D"/>
    <w:rsid w:val="00B04E09"/>
    <w:rsid w:val="00B068E6"/>
    <w:rsid w:val="00B0766E"/>
    <w:rsid w:val="00B10AA6"/>
    <w:rsid w:val="00B114BA"/>
    <w:rsid w:val="00B11845"/>
    <w:rsid w:val="00B11C98"/>
    <w:rsid w:val="00B13141"/>
    <w:rsid w:val="00B1389F"/>
    <w:rsid w:val="00B147A6"/>
    <w:rsid w:val="00B161A9"/>
    <w:rsid w:val="00B166FD"/>
    <w:rsid w:val="00B17B5E"/>
    <w:rsid w:val="00B20491"/>
    <w:rsid w:val="00B220B5"/>
    <w:rsid w:val="00B2223C"/>
    <w:rsid w:val="00B226CF"/>
    <w:rsid w:val="00B241FD"/>
    <w:rsid w:val="00B242A3"/>
    <w:rsid w:val="00B24A68"/>
    <w:rsid w:val="00B273A2"/>
    <w:rsid w:val="00B27D3C"/>
    <w:rsid w:val="00B30923"/>
    <w:rsid w:val="00B338A0"/>
    <w:rsid w:val="00B33DF4"/>
    <w:rsid w:val="00B3791F"/>
    <w:rsid w:val="00B4029E"/>
    <w:rsid w:val="00B40438"/>
    <w:rsid w:val="00B40C7D"/>
    <w:rsid w:val="00B41E70"/>
    <w:rsid w:val="00B43FC8"/>
    <w:rsid w:val="00B4546D"/>
    <w:rsid w:val="00B456E8"/>
    <w:rsid w:val="00B512FC"/>
    <w:rsid w:val="00B51F2E"/>
    <w:rsid w:val="00B52321"/>
    <w:rsid w:val="00B53930"/>
    <w:rsid w:val="00B5434B"/>
    <w:rsid w:val="00B552A7"/>
    <w:rsid w:val="00B55ABC"/>
    <w:rsid w:val="00B564E6"/>
    <w:rsid w:val="00B62EFA"/>
    <w:rsid w:val="00B63EED"/>
    <w:rsid w:val="00B659AA"/>
    <w:rsid w:val="00B67136"/>
    <w:rsid w:val="00B67968"/>
    <w:rsid w:val="00B70E95"/>
    <w:rsid w:val="00B71106"/>
    <w:rsid w:val="00B72D1A"/>
    <w:rsid w:val="00B732F4"/>
    <w:rsid w:val="00B74506"/>
    <w:rsid w:val="00B77A9C"/>
    <w:rsid w:val="00B80E9D"/>
    <w:rsid w:val="00B81B35"/>
    <w:rsid w:val="00B81E15"/>
    <w:rsid w:val="00B83088"/>
    <w:rsid w:val="00B836A7"/>
    <w:rsid w:val="00B85C47"/>
    <w:rsid w:val="00B86910"/>
    <w:rsid w:val="00B875C0"/>
    <w:rsid w:val="00B87E35"/>
    <w:rsid w:val="00B915C7"/>
    <w:rsid w:val="00B916ED"/>
    <w:rsid w:val="00B923A7"/>
    <w:rsid w:val="00B93C0D"/>
    <w:rsid w:val="00B93DFE"/>
    <w:rsid w:val="00B9446C"/>
    <w:rsid w:val="00B953FF"/>
    <w:rsid w:val="00B95E59"/>
    <w:rsid w:val="00B96DDE"/>
    <w:rsid w:val="00B9731A"/>
    <w:rsid w:val="00B97FD0"/>
    <w:rsid w:val="00BA0E6F"/>
    <w:rsid w:val="00BA14BA"/>
    <w:rsid w:val="00BA36FC"/>
    <w:rsid w:val="00BA3FAE"/>
    <w:rsid w:val="00BA4F13"/>
    <w:rsid w:val="00BA5D03"/>
    <w:rsid w:val="00BA5E67"/>
    <w:rsid w:val="00BA76A4"/>
    <w:rsid w:val="00BB1883"/>
    <w:rsid w:val="00BB1F9A"/>
    <w:rsid w:val="00BB20F4"/>
    <w:rsid w:val="00BB2338"/>
    <w:rsid w:val="00BB39EE"/>
    <w:rsid w:val="00BB4F2B"/>
    <w:rsid w:val="00BB5469"/>
    <w:rsid w:val="00BB5C4F"/>
    <w:rsid w:val="00BB7744"/>
    <w:rsid w:val="00BB78F6"/>
    <w:rsid w:val="00BC0CFC"/>
    <w:rsid w:val="00BC0E8B"/>
    <w:rsid w:val="00BC1F44"/>
    <w:rsid w:val="00BC2907"/>
    <w:rsid w:val="00BC2AA2"/>
    <w:rsid w:val="00BC2ABD"/>
    <w:rsid w:val="00BC39BA"/>
    <w:rsid w:val="00BC698D"/>
    <w:rsid w:val="00BC72C6"/>
    <w:rsid w:val="00BC7B26"/>
    <w:rsid w:val="00BD0CEA"/>
    <w:rsid w:val="00BD0DBF"/>
    <w:rsid w:val="00BD22B7"/>
    <w:rsid w:val="00BD3AB6"/>
    <w:rsid w:val="00BD5176"/>
    <w:rsid w:val="00BD60FF"/>
    <w:rsid w:val="00BE1894"/>
    <w:rsid w:val="00BE1A5B"/>
    <w:rsid w:val="00BE2F01"/>
    <w:rsid w:val="00BE37EC"/>
    <w:rsid w:val="00BE5DD4"/>
    <w:rsid w:val="00BE6491"/>
    <w:rsid w:val="00BE7A0F"/>
    <w:rsid w:val="00BF0523"/>
    <w:rsid w:val="00BF273A"/>
    <w:rsid w:val="00BF3424"/>
    <w:rsid w:val="00BF44A8"/>
    <w:rsid w:val="00BF59E7"/>
    <w:rsid w:val="00BF5EC6"/>
    <w:rsid w:val="00BF6BDE"/>
    <w:rsid w:val="00BF7D0E"/>
    <w:rsid w:val="00BF7E78"/>
    <w:rsid w:val="00C00500"/>
    <w:rsid w:val="00C02B98"/>
    <w:rsid w:val="00C05376"/>
    <w:rsid w:val="00C05E57"/>
    <w:rsid w:val="00C06FA5"/>
    <w:rsid w:val="00C07BAD"/>
    <w:rsid w:val="00C07CCA"/>
    <w:rsid w:val="00C1036A"/>
    <w:rsid w:val="00C11866"/>
    <w:rsid w:val="00C13E72"/>
    <w:rsid w:val="00C15A13"/>
    <w:rsid w:val="00C16370"/>
    <w:rsid w:val="00C16A03"/>
    <w:rsid w:val="00C16B6D"/>
    <w:rsid w:val="00C16C19"/>
    <w:rsid w:val="00C17059"/>
    <w:rsid w:val="00C17262"/>
    <w:rsid w:val="00C17ABB"/>
    <w:rsid w:val="00C200AA"/>
    <w:rsid w:val="00C200CA"/>
    <w:rsid w:val="00C20C09"/>
    <w:rsid w:val="00C2360C"/>
    <w:rsid w:val="00C24095"/>
    <w:rsid w:val="00C24C03"/>
    <w:rsid w:val="00C2569A"/>
    <w:rsid w:val="00C25D09"/>
    <w:rsid w:val="00C30902"/>
    <w:rsid w:val="00C31116"/>
    <w:rsid w:val="00C35649"/>
    <w:rsid w:val="00C35A16"/>
    <w:rsid w:val="00C35D86"/>
    <w:rsid w:val="00C402DE"/>
    <w:rsid w:val="00C40451"/>
    <w:rsid w:val="00C4088D"/>
    <w:rsid w:val="00C40936"/>
    <w:rsid w:val="00C41375"/>
    <w:rsid w:val="00C41A2B"/>
    <w:rsid w:val="00C41B5D"/>
    <w:rsid w:val="00C41B73"/>
    <w:rsid w:val="00C423D7"/>
    <w:rsid w:val="00C424D3"/>
    <w:rsid w:val="00C424DE"/>
    <w:rsid w:val="00C4362E"/>
    <w:rsid w:val="00C44248"/>
    <w:rsid w:val="00C44D23"/>
    <w:rsid w:val="00C44EAB"/>
    <w:rsid w:val="00C459CE"/>
    <w:rsid w:val="00C46DE0"/>
    <w:rsid w:val="00C46E79"/>
    <w:rsid w:val="00C47091"/>
    <w:rsid w:val="00C51706"/>
    <w:rsid w:val="00C51C28"/>
    <w:rsid w:val="00C53C75"/>
    <w:rsid w:val="00C5454F"/>
    <w:rsid w:val="00C55CB5"/>
    <w:rsid w:val="00C60339"/>
    <w:rsid w:val="00C60938"/>
    <w:rsid w:val="00C6094B"/>
    <w:rsid w:val="00C609CE"/>
    <w:rsid w:val="00C61D05"/>
    <w:rsid w:val="00C61F48"/>
    <w:rsid w:val="00C62CD8"/>
    <w:rsid w:val="00C64AD4"/>
    <w:rsid w:val="00C656DC"/>
    <w:rsid w:val="00C667C2"/>
    <w:rsid w:val="00C66DAC"/>
    <w:rsid w:val="00C70734"/>
    <w:rsid w:val="00C70FFC"/>
    <w:rsid w:val="00C71BD8"/>
    <w:rsid w:val="00C748FD"/>
    <w:rsid w:val="00C8049A"/>
    <w:rsid w:val="00C814C7"/>
    <w:rsid w:val="00C82054"/>
    <w:rsid w:val="00C83394"/>
    <w:rsid w:val="00C8455F"/>
    <w:rsid w:val="00C8507B"/>
    <w:rsid w:val="00C861D7"/>
    <w:rsid w:val="00C86785"/>
    <w:rsid w:val="00C879D6"/>
    <w:rsid w:val="00C87B02"/>
    <w:rsid w:val="00C91B28"/>
    <w:rsid w:val="00C925D1"/>
    <w:rsid w:val="00C92606"/>
    <w:rsid w:val="00C92B75"/>
    <w:rsid w:val="00C9339A"/>
    <w:rsid w:val="00C93955"/>
    <w:rsid w:val="00C9450C"/>
    <w:rsid w:val="00C949CA"/>
    <w:rsid w:val="00C9538D"/>
    <w:rsid w:val="00C954C7"/>
    <w:rsid w:val="00C95BD6"/>
    <w:rsid w:val="00C96290"/>
    <w:rsid w:val="00C96292"/>
    <w:rsid w:val="00C96BB8"/>
    <w:rsid w:val="00CA1B9E"/>
    <w:rsid w:val="00CA1DF3"/>
    <w:rsid w:val="00CA2B15"/>
    <w:rsid w:val="00CA3624"/>
    <w:rsid w:val="00CA3EDC"/>
    <w:rsid w:val="00CA487E"/>
    <w:rsid w:val="00CA601A"/>
    <w:rsid w:val="00CA67BF"/>
    <w:rsid w:val="00CA6E26"/>
    <w:rsid w:val="00CB0A29"/>
    <w:rsid w:val="00CB0CEE"/>
    <w:rsid w:val="00CB3CE5"/>
    <w:rsid w:val="00CB3FEA"/>
    <w:rsid w:val="00CB46A6"/>
    <w:rsid w:val="00CB47CC"/>
    <w:rsid w:val="00CB5EA1"/>
    <w:rsid w:val="00CB6869"/>
    <w:rsid w:val="00CB70F2"/>
    <w:rsid w:val="00CB7354"/>
    <w:rsid w:val="00CC0922"/>
    <w:rsid w:val="00CC0E59"/>
    <w:rsid w:val="00CC17B5"/>
    <w:rsid w:val="00CC2450"/>
    <w:rsid w:val="00CC55CC"/>
    <w:rsid w:val="00CC5754"/>
    <w:rsid w:val="00CC5B7D"/>
    <w:rsid w:val="00CC7814"/>
    <w:rsid w:val="00CD0380"/>
    <w:rsid w:val="00CD063B"/>
    <w:rsid w:val="00CD0F10"/>
    <w:rsid w:val="00CD15A0"/>
    <w:rsid w:val="00CD1675"/>
    <w:rsid w:val="00CD2285"/>
    <w:rsid w:val="00CD3C33"/>
    <w:rsid w:val="00CD3E89"/>
    <w:rsid w:val="00CD44D9"/>
    <w:rsid w:val="00CD556D"/>
    <w:rsid w:val="00CE04FD"/>
    <w:rsid w:val="00CE1073"/>
    <w:rsid w:val="00CE13E8"/>
    <w:rsid w:val="00CE1B3B"/>
    <w:rsid w:val="00CE246A"/>
    <w:rsid w:val="00CE2C57"/>
    <w:rsid w:val="00CE3D39"/>
    <w:rsid w:val="00CE45A5"/>
    <w:rsid w:val="00CE49EA"/>
    <w:rsid w:val="00CE5997"/>
    <w:rsid w:val="00CE673C"/>
    <w:rsid w:val="00CE6752"/>
    <w:rsid w:val="00CE68F0"/>
    <w:rsid w:val="00CE70C8"/>
    <w:rsid w:val="00CE7FE8"/>
    <w:rsid w:val="00CF1547"/>
    <w:rsid w:val="00CF1599"/>
    <w:rsid w:val="00CF168B"/>
    <w:rsid w:val="00CF1EA8"/>
    <w:rsid w:val="00CF3602"/>
    <w:rsid w:val="00CF37F3"/>
    <w:rsid w:val="00CF562A"/>
    <w:rsid w:val="00CF5D17"/>
    <w:rsid w:val="00D02BCE"/>
    <w:rsid w:val="00D02C19"/>
    <w:rsid w:val="00D039CD"/>
    <w:rsid w:val="00D03F91"/>
    <w:rsid w:val="00D0618A"/>
    <w:rsid w:val="00D0682E"/>
    <w:rsid w:val="00D07798"/>
    <w:rsid w:val="00D102D6"/>
    <w:rsid w:val="00D13501"/>
    <w:rsid w:val="00D13BBD"/>
    <w:rsid w:val="00D13FA4"/>
    <w:rsid w:val="00D14615"/>
    <w:rsid w:val="00D1492D"/>
    <w:rsid w:val="00D161CE"/>
    <w:rsid w:val="00D167B2"/>
    <w:rsid w:val="00D16801"/>
    <w:rsid w:val="00D17753"/>
    <w:rsid w:val="00D17D50"/>
    <w:rsid w:val="00D20F23"/>
    <w:rsid w:val="00D21B83"/>
    <w:rsid w:val="00D256BD"/>
    <w:rsid w:val="00D26D23"/>
    <w:rsid w:val="00D27180"/>
    <w:rsid w:val="00D31267"/>
    <w:rsid w:val="00D31975"/>
    <w:rsid w:val="00D31BCF"/>
    <w:rsid w:val="00D31E7C"/>
    <w:rsid w:val="00D324E9"/>
    <w:rsid w:val="00D34B67"/>
    <w:rsid w:val="00D4012C"/>
    <w:rsid w:val="00D40203"/>
    <w:rsid w:val="00D41833"/>
    <w:rsid w:val="00D42C77"/>
    <w:rsid w:val="00D437F1"/>
    <w:rsid w:val="00D439AE"/>
    <w:rsid w:val="00D47493"/>
    <w:rsid w:val="00D479D1"/>
    <w:rsid w:val="00D479F0"/>
    <w:rsid w:val="00D50BB5"/>
    <w:rsid w:val="00D50C65"/>
    <w:rsid w:val="00D50DED"/>
    <w:rsid w:val="00D535A8"/>
    <w:rsid w:val="00D53ADD"/>
    <w:rsid w:val="00D53C30"/>
    <w:rsid w:val="00D547DA"/>
    <w:rsid w:val="00D54F2D"/>
    <w:rsid w:val="00D551BC"/>
    <w:rsid w:val="00D5766C"/>
    <w:rsid w:val="00D577AD"/>
    <w:rsid w:val="00D5795A"/>
    <w:rsid w:val="00D60379"/>
    <w:rsid w:val="00D60812"/>
    <w:rsid w:val="00D6187C"/>
    <w:rsid w:val="00D61CD7"/>
    <w:rsid w:val="00D62110"/>
    <w:rsid w:val="00D630EF"/>
    <w:rsid w:val="00D643F6"/>
    <w:rsid w:val="00D66C33"/>
    <w:rsid w:val="00D66F0E"/>
    <w:rsid w:val="00D67D96"/>
    <w:rsid w:val="00D7119E"/>
    <w:rsid w:val="00D72256"/>
    <w:rsid w:val="00D75BB1"/>
    <w:rsid w:val="00D76560"/>
    <w:rsid w:val="00D773BD"/>
    <w:rsid w:val="00D774E2"/>
    <w:rsid w:val="00D779FC"/>
    <w:rsid w:val="00D80247"/>
    <w:rsid w:val="00D81C64"/>
    <w:rsid w:val="00D81EBF"/>
    <w:rsid w:val="00D8514E"/>
    <w:rsid w:val="00D85A42"/>
    <w:rsid w:val="00D8652F"/>
    <w:rsid w:val="00D8680A"/>
    <w:rsid w:val="00D86FDF"/>
    <w:rsid w:val="00D918B7"/>
    <w:rsid w:val="00D93958"/>
    <w:rsid w:val="00D958BA"/>
    <w:rsid w:val="00D95C18"/>
    <w:rsid w:val="00D97177"/>
    <w:rsid w:val="00D971B8"/>
    <w:rsid w:val="00DA06EB"/>
    <w:rsid w:val="00DA391F"/>
    <w:rsid w:val="00DA59DE"/>
    <w:rsid w:val="00DA6A61"/>
    <w:rsid w:val="00DA78BF"/>
    <w:rsid w:val="00DB23FD"/>
    <w:rsid w:val="00DB3669"/>
    <w:rsid w:val="00DB4519"/>
    <w:rsid w:val="00DB6DCE"/>
    <w:rsid w:val="00DC25AE"/>
    <w:rsid w:val="00DC26A2"/>
    <w:rsid w:val="00DC307F"/>
    <w:rsid w:val="00DC3DA7"/>
    <w:rsid w:val="00DC4BD3"/>
    <w:rsid w:val="00DC6411"/>
    <w:rsid w:val="00DC69A6"/>
    <w:rsid w:val="00DC7211"/>
    <w:rsid w:val="00DC72E0"/>
    <w:rsid w:val="00DD1D74"/>
    <w:rsid w:val="00DD2444"/>
    <w:rsid w:val="00DD3051"/>
    <w:rsid w:val="00DD3216"/>
    <w:rsid w:val="00DD322B"/>
    <w:rsid w:val="00DD5278"/>
    <w:rsid w:val="00DD5B09"/>
    <w:rsid w:val="00DD61AB"/>
    <w:rsid w:val="00DD6B4A"/>
    <w:rsid w:val="00DD7BC2"/>
    <w:rsid w:val="00DE0530"/>
    <w:rsid w:val="00DE128E"/>
    <w:rsid w:val="00DE29AA"/>
    <w:rsid w:val="00DE2E3E"/>
    <w:rsid w:val="00DE3C1D"/>
    <w:rsid w:val="00DE541B"/>
    <w:rsid w:val="00DE5439"/>
    <w:rsid w:val="00DE5EA2"/>
    <w:rsid w:val="00DE65B2"/>
    <w:rsid w:val="00DE6948"/>
    <w:rsid w:val="00DE7351"/>
    <w:rsid w:val="00DF00BD"/>
    <w:rsid w:val="00DF01C2"/>
    <w:rsid w:val="00DF0C4E"/>
    <w:rsid w:val="00DF2151"/>
    <w:rsid w:val="00DF300B"/>
    <w:rsid w:val="00DF3023"/>
    <w:rsid w:val="00DF5EA3"/>
    <w:rsid w:val="00DF6078"/>
    <w:rsid w:val="00DF6300"/>
    <w:rsid w:val="00E003CF"/>
    <w:rsid w:val="00E00B0B"/>
    <w:rsid w:val="00E040DC"/>
    <w:rsid w:val="00E041D9"/>
    <w:rsid w:val="00E04FAF"/>
    <w:rsid w:val="00E050CD"/>
    <w:rsid w:val="00E062DE"/>
    <w:rsid w:val="00E128DD"/>
    <w:rsid w:val="00E13F1A"/>
    <w:rsid w:val="00E207EB"/>
    <w:rsid w:val="00E214A2"/>
    <w:rsid w:val="00E214C6"/>
    <w:rsid w:val="00E21D9C"/>
    <w:rsid w:val="00E22DAA"/>
    <w:rsid w:val="00E2435E"/>
    <w:rsid w:val="00E24955"/>
    <w:rsid w:val="00E25659"/>
    <w:rsid w:val="00E26546"/>
    <w:rsid w:val="00E269D2"/>
    <w:rsid w:val="00E27B8C"/>
    <w:rsid w:val="00E304BD"/>
    <w:rsid w:val="00E30B81"/>
    <w:rsid w:val="00E316DA"/>
    <w:rsid w:val="00E34A2F"/>
    <w:rsid w:val="00E35739"/>
    <w:rsid w:val="00E35872"/>
    <w:rsid w:val="00E40143"/>
    <w:rsid w:val="00E40910"/>
    <w:rsid w:val="00E41D96"/>
    <w:rsid w:val="00E4250F"/>
    <w:rsid w:val="00E4284B"/>
    <w:rsid w:val="00E43C09"/>
    <w:rsid w:val="00E449B9"/>
    <w:rsid w:val="00E456A0"/>
    <w:rsid w:val="00E45A1C"/>
    <w:rsid w:val="00E4771A"/>
    <w:rsid w:val="00E50020"/>
    <w:rsid w:val="00E51357"/>
    <w:rsid w:val="00E51827"/>
    <w:rsid w:val="00E52223"/>
    <w:rsid w:val="00E54628"/>
    <w:rsid w:val="00E555B7"/>
    <w:rsid w:val="00E555E2"/>
    <w:rsid w:val="00E5560C"/>
    <w:rsid w:val="00E56368"/>
    <w:rsid w:val="00E60068"/>
    <w:rsid w:val="00E6011C"/>
    <w:rsid w:val="00E61AD0"/>
    <w:rsid w:val="00E634D7"/>
    <w:rsid w:val="00E647E3"/>
    <w:rsid w:val="00E647F8"/>
    <w:rsid w:val="00E6549E"/>
    <w:rsid w:val="00E65628"/>
    <w:rsid w:val="00E658AF"/>
    <w:rsid w:val="00E66230"/>
    <w:rsid w:val="00E66711"/>
    <w:rsid w:val="00E67187"/>
    <w:rsid w:val="00E70A91"/>
    <w:rsid w:val="00E72607"/>
    <w:rsid w:val="00E73C29"/>
    <w:rsid w:val="00E745DD"/>
    <w:rsid w:val="00E76F7E"/>
    <w:rsid w:val="00E81687"/>
    <w:rsid w:val="00E81DAA"/>
    <w:rsid w:val="00E82655"/>
    <w:rsid w:val="00E834D5"/>
    <w:rsid w:val="00E85942"/>
    <w:rsid w:val="00E85EF8"/>
    <w:rsid w:val="00E8721F"/>
    <w:rsid w:val="00E902CC"/>
    <w:rsid w:val="00E90587"/>
    <w:rsid w:val="00E905A1"/>
    <w:rsid w:val="00E9073B"/>
    <w:rsid w:val="00E90D7F"/>
    <w:rsid w:val="00E919C9"/>
    <w:rsid w:val="00E92125"/>
    <w:rsid w:val="00E93284"/>
    <w:rsid w:val="00E94854"/>
    <w:rsid w:val="00E95F2A"/>
    <w:rsid w:val="00E96154"/>
    <w:rsid w:val="00E96794"/>
    <w:rsid w:val="00E97DE6"/>
    <w:rsid w:val="00EA291F"/>
    <w:rsid w:val="00EA414E"/>
    <w:rsid w:val="00EA46E1"/>
    <w:rsid w:val="00EA4A1D"/>
    <w:rsid w:val="00EA4EC6"/>
    <w:rsid w:val="00EA56F1"/>
    <w:rsid w:val="00EA594D"/>
    <w:rsid w:val="00EA59B1"/>
    <w:rsid w:val="00EA5D55"/>
    <w:rsid w:val="00EA655C"/>
    <w:rsid w:val="00EA7386"/>
    <w:rsid w:val="00EA7896"/>
    <w:rsid w:val="00EA7D2D"/>
    <w:rsid w:val="00EB0B3E"/>
    <w:rsid w:val="00EB15DA"/>
    <w:rsid w:val="00EB27E9"/>
    <w:rsid w:val="00EB2DEE"/>
    <w:rsid w:val="00EB5922"/>
    <w:rsid w:val="00EB5C51"/>
    <w:rsid w:val="00EB65FD"/>
    <w:rsid w:val="00EB6796"/>
    <w:rsid w:val="00EB6E5F"/>
    <w:rsid w:val="00EC0CBF"/>
    <w:rsid w:val="00EC14DF"/>
    <w:rsid w:val="00EC21B0"/>
    <w:rsid w:val="00EC2923"/>
    <w:rsid w:val="00EC29F7"/>
    <w:rsid w:val="00EC4744"/>
    <w:rsid w:val="00EC6A17"/>
    <w:rsid w:val="00EC6B62"/>
    <w:rsid w:val="00EC6E73"/>
    <w:rsid w:val="00EC74E4"/>
    <w:rsid w:val="00ED05D8"/>
    <w:rsid w:val="00ED0926"/>
    <w:rsid w:val="00ED10DD"/>
    <w:rsid w:val="00ED15FC"/>
    <w:rsid w:val="00ED25C3"/>
    <w:rsid w:val="00ED48FF"/>
    <w:rsid w:val="00ED4F1D"/>
    <w:rsid w:val="00ED50BF"/>
    <w:rsid w:val="00ED65E0"/>
    <w:rsid w:val="00ED6B8E"/>
    <w:rsid w:val="00ED6D95"/>
    <w:rsid w:val="00ED6F02"/>
    <w:rsid w:val="00ED72C1"/>
    <w:rsid w:val="00EE1C1D"/>
    <w:rsid w:val="00EE3DC2"/>
    <w:rsid w:val="00EE3E01"/>
    <w:rsid w:val="00EE4DCA"/>
    <w:rsid w:val="00EE5189"/>
    <w:rsid w:val="00EE545E"/>
    <w:rsid w:val="00EE59E7"/>
    <w:rsid w:val="00EE7350"/>
    <w:rsid w:val="00EE766B"/>
    <w:rsid w:val="00EE77CD"/>
    <w:rsid w:val="00EE7C36"/>
    <w:rsid w:val="00EF02C4"/>
    <w:rsid w:val="00EF1ECE"/>
    <w:rsid w:val="00EF201E"/>
    <w:rsid w:val="00EF610A"/>
    <w:rsid w:val="00EF68EE"/>
    <w:rsid w:val="00EF77AD"/>
    <w:rsid w:val="00F01400"/>
    <w:rsid w:val="00F0192F"/>
    <w:rsid w:val="00F05AA4"/>
    <w:rsid w:val="00F05DE3"/>
    <w:rsid w:val="00F06512"/>
    <w:rsid w:val="00F10108"/>
    <w:rsid w:val="00F14B47"/>
    <w:rsid w:val="00F154E9"/>
    <w:rsid w:val="00F165C5"/>
    <w:rsid w:val="00F17D24"/>
    <w:rsid w:val="00F23814"/>
    <w:rsid w:val="00F23AC8"/>
    <w:rsid w:val="00F2598E"/>
    <w:rsid w:val="00F26372"/>
    <w:rsid w:val="00F26462"/>
    <w:rsid w:val="00F27530"/>
    <w:rsid w:val="00F3061D"/>
    <w:rsid w:val="00F32065"/>
    <w:rsid w:val="00F35186"/>
    <w:rsid w:val="00F37217"/>
    <w:rsid w:val="00F3742E"/>
    <w:rsid w:val="00F40CD7"/>
    <w:rsid w:val="00F40D52"/>
    <w:rsid w:val="00F40D6D"/>
    <w:rsid w:val="00F41BB6"/>
    <w:rsid w:val="00F420A4"/>
    <w:rsid w:val="00F42173"/>
    <w:rsid w:val="00F43948"/>
    <w:rsid w:val="00F43B2E"/>
    <w:rsid w:val="00F44458"/>
    <w:rsid w:val="00F44BDA"/>
    <w:rsid w:val="00F46B51"/>
    <w:rsid w:val="00F46E5F"/>
    <w:rsid w:val="00F47E44"/>
    <w:rsid w:val="00F506C7"/>
    <w:rsid w:val="00F50BB2"/>
    <w:rsid w:val="00F50ECD"/>
    <w:rsid w:val="00F52E21"/>
    <w:rsid w:val="00F544E4"/>
    <w:rsid w:val="00F548BB"/>
    <w:rsid w:val="00F54FCD"/>
    <w:rsid w:val="00F559EF"/>
    <w:rsid w:val="00F561B7"/>
    <w:rsid w:val="00F565E1"/>
    <w:rsid w:val="00F56AE7"/>
    <w:rsid w:val="00F60A3C"/>
    <w:rsid w:val="00F60C61"/>
    <w:rsid w:val="00F6237C"/>
    <w:rsid w:val="00F62D4C"/>
    <w:rsid w:val="00F62E24"/>
    <w:rsid w:val="00F652DB"/>
    <w:rsid w:val="00F65A0C"/>
    <w:rsid w:val="00F6622B"/>
    <w:rsid w:val="00F66E4D"/>
    <w:rsid w:val="00F7114A"/>
    <w:rsid w:val="00F7116F"/>
    <w:rsid w:val="00F7120A"/>
    <w:rsid w:val="00F71B38"/>
    <w:rsid w:val="00F722B4"/>
    <w:rsid w:val="00F72364"/>
    <w:rsid w:val="00F734AA"/>
    <w:rsid w:val="00F7391E"/>
    <w:rsid w:val="00F73C63"/>
    <w:rsid w:val="00F75541"/>
    <w:rsid w:val="00F75E56"/>
    <w:rsid w:val="00F772CE"/>
    <w:rsid w:val="00F772D4"/>
    <w:rsid w:val="00F80D22"/>
    <w:rsid w:val="00F81771"/>
    <w:rsid w:val="00F81E67"/>
    <w:rsid w:val="00F82959"/>
    <w:rsid w:val="00F8331E"/>
    <w:rsid w:val="00F839CD"/>
    <w:rsid w:val="00F83CCF"/>
    <w:rsid w:val="00F8449A"/>
    <w:rsid w:val="00F84581"/>
    <w:rsid w:val="00F85552"/>
    <w:rsid w:val="00F856F0"/>
    <w:rsid w:val="00F86BE9"/>
    <w:rsid w:val="00F8728D"/>
    <w:rsid w:val="00F87CF3"/>
    <w:rsid w:val="00F917BF"/>
    <w:rsid w:val="00F91B79"/>
    <w:rsid w:val="00F92FF8"/>
    <w:rsid w:val="00F93242"/>
    <w:rsid w:val="00F93D21"/>
    <w:rsid w:val="00F95783"/>
    <w:rsid w:val="00F96DFD"/>
    <w:rsid w:val="00F97AC4"/>
    <w:rsid w:val="00F97EC8"/>
    <w:rsid w:val="00FA32B7"/>
    <w:rsid w:val="00FA40A1"/>
    <w:rsid w:val="00FA5348"/>
    <w:rsid w:val="00FA7038"/>
    <w:rsid w:val="00FB1206"/>
    <w:rsid w:val="00FB150C"/>
    <w:rsid w:val="00FB1AF0"/>
    <w:rsid w:val="00FB2168"/>
    <w:rsid w:val="00FB2399"/>
    <w:rsid w:val="00FB281B"/>
    <w:rsid w:val="00FB3B79"/>
    <w:rsid w:val="00FB685E"/>
    <w:rsid w:val="00FB6AD2"/>
    <w:rsid w:val="00FB75E4"/>
    <w:rsid w:val="00FB7616"/>
    <w:rsid w:val="00FB79C0"/>
    <w:rsid w:val="00FC1388"/>
    <w:rsid w:val="00FC28CD"/>
    <w:rsid w:val="00FC2E48"/>
    <w:rsid w:val="00FC30BF"/>
    <w:rsid w:val="00FC3144"/>
    <w:rsid w:val="00FC3EE0"/>
    <w:rsid w:val="00FC4003"/>
    <w:rsid w:val="00FC4006"/>
    <w:rsid w:val="00FC4F13"/>
    <w:rsid w:val="00FC5A03"/>
    <w:rsid w:val="00FC6B73"/>
    <w:rsid w:val="00FD346C"/>
    <w:rsid w:val="00FD3B47"/>
    <w:rsid w:val="00FD3FF5"/>
    <w:rsid w:val="00FD50AD"/>
    <w:rsid w:val="00FD57B4"/>
    <w:rsid w:val="00FD5A2F"/>
    <w:rsid w:val="00FE0482"/>
    <w:rsid w:val="00FE0E4B"/>
    <w:rsid w:val="00FE1325"/>
    <w:rsid w:val="00FE1986"/>
    <w:rsid w:val="00FE25A3"/>
    <w:rsid w:val="00FE378D"/>
    <w:rsid w:val="00FE37FA"/>
    <w:rsid w:val="00FE68EE"/>
    <w:rsid w:val="00FF079F"/>
    <w:rsid w:val="00FF1039"/>
    <w:rsid w:val="00FF17BE"/>
    <w:rsid w:val="00FF1B7C"/>
    <w:rsid w:val="00FF1DF3"/>
    <w:rsid w:val="00FF2437"/>
    <w:rsid w:val="00FF2BC6"/>
    <w:rsid w:val="00FF466B"/>
    <w:rsid w:val="00FF5D96"/>
    <w:rsid w:val="00FF79B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99950-5A6B-4FC5-8D51-440D928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9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569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569A"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569A"/>
    <w:pPr>
      <w:keepNext/>
      <w:ind w:firstLine="136"/>
      <w:outlineLvl w:val="2"/>
    </w:pPr>
    <w:rPr>
      <w:rFonts w:ascii="Arial" w:hAnsi="Arial" w:cs="Arial"/>
      <w:i/>
      <w:iCs/>
      <w:sz w:val="16"/>
      <w:szCs w:val="14"/>
    </w:rPr>
  </w:style>
  <w:style w:type="paragraph" w:styleId="Ttulo4">
    <w:name w:val="heading 4"/>
    <w:basedOn w:val="Normal"/>
    <w:next w:val="Normal"/>
    <w:link w:val="Ttulo4Char"/>
    <w:uiPriority w:val="99"/>
    <w:qFormat/>
    <w:rsid w:val="00C2569A"/>
    <w:pPr>
      <w:keepNext/>
      <w:ind w:firstLine="136"/>
      <w:jc w:val="center"/>
      <w:outlineLvl w:val="3"/>
    </w:pPr>
    <w:rPr>
      <w:rFonts w:ascii="Arial" w:hAnsi="Arial" w:cs="Arial"/>
      <w:b/>
      <w:bCs/>
      <w:i/>
      <w:iCs/>
      <w:sz w:val="16"/>
      <w:szCs w:val="14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C2569A"/>
    <w:pPr>
      <w:keepNext/>
      <w:autoSpaceDE w:val="0"/>
      <w:autoSpaceDN w:val="0"/>
      <w:adjustRightInd w:val="0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C2569A"/>
    <w:pPr>
      <w:keepNext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214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214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214F0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214F0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214F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1214F0"/>
    <w:rPr>
      <w:rFonts w:ascii="Calibri" w:hAnsi="Calibri" w:cs="Times New Roman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rsid w:val="00C2569A"/>
    <w:pPr>
      <w:ind w:left="3060"/>
    </w:pPr>
    <w:rPr>
      <w:b/>
      <w:bCs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214F0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2569A"/>
    <w:pPr>
      <w:widowControl w:val="0"/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214F0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2569A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563922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C2569A"/>
    <w:pPr>
      <w:spacing w:after="120"/>
      <w:ind w:firstLine="709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32895"/>
    <w:rPr>
      <w:rFonts w:cs="Times New Roman"/>
      <w:sz w:val="24"/>
    </w:rPr>
  </w:style>
  <w:style w:type="paragraph" w:customStyle="1" w:styleId="xl29">
    <w:name w:val="xl29"/>
    <w:basedOn w:val="Normal"/>
    <w:uiPriority w:val="99"/>
    <w:rsid w:val="00C25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0">
    <w:name w:val="xl30"/>
    <w:basedOn w:val="Normal"/>
    <w:uiPriority w:val="99"/>
    <w:rsid w:val="00C256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Normal"/>
    <w:uiPriority w:val="99"/>
    <w:rsid w:val="00C256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2">
    <w:name w:val="xl32"/>
    <w:basedOn w:val="Normal"/>
    <w:uiPriority w:val="99"/>
    <w:rsid w:val="00C25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3">
    <w:name w:val="xl33"/>
    <w:basedOn w:val="Normal"/>
    <w:uiPriority w:val="99"/>
    <w:rsid w:val="00C256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4">
    <w:name w:val="xl34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5">
    <w:name w:val="xl35"/>
    <w:basedOn w:val="Normal"/>
    <w:uiPriority w:val="99"/>
    <w:rsid w:val="00C256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6">
    <w:name w:val="xl36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7">
    <w:name w:val="xl37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8">
    <w:name w:val="xl38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9">
    <w:name w:val="xl39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0">
    <w:name w:val="xl40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1">
    <w:name w:val="xl41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2">
    <w:name w:val="xl42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3">
    <w:name w:val="xl43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4">
    <w:name w:val="xl44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27">
    <w:name w:val="xl27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28">
    <w:name w:val="xl28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styleId="Rodap">
    <w:name w:val="footer"/>
    <w:basedOn w:val="Normal"/>
    <w:link w:val="RodapChar"/>
    <w:uiPriority w:val="99"/>
    <w:rsid w:val="00C256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214F0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C2569A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C2569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214F0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C2569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1214F0"/>
    <w:rPr>
      <w:rFonts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C25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color w:val="000000"/>
      <w:sz w:val="14"/>
      <w:szCs w:val="14"/>
    </w:rPr>
  </w:style>
  <w:style w:type="paragraph" w:customStyle="1" w:styleId="xl25">
    <w:name w:val="xl25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000000"/>
      <w:sz w:val="18"/>
      <w:szCs w:val="18"/>
    </w:rPr>
  </w:style>
  <w:style w:type="paragraph" w:customStyle="1" w:styleId="xl26">
    <w:name w:val="xl26"/>
    <w:basedOn w:val="Normal"/>
    <w:uiPriority w:val="99"/>
    <w:rsid w:val="00C25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000000"/>
      <w:sz w:val="18"/>
      <w:szCs w:val="18"/>
    </w:rPr>
  </w:style>
  <w:style w:type="paragraph" w:customStyle="1" w:styleId="xl45">
    <w:name w:val="xl45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6">
    <w:name w:val="xl46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9">
    <w:name w:val="xl49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4">
    <w:name w:val="xl54"/>
    <w:basedOn w:val="Normal"/>
    <w:uiPriority w:val="99"/>
    <w:rsid w:val="00C2569A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uiPriority w:val="99"/>
    <w:rsid w:val="00C2569A"/>
    <w:pPr>
      <w:spacing w:before="100" w:beforeAutospacing="1" w:after="100" w:afterAutospacing="1"/>
    </w:pPr>
    <w:rPr>
      <w:rFonts w:eastAsia="Arial Unicode MS"/>
    </w:rPr>
  </w:style>
  <w:style w:type="paragraph" w:styleId="Textodebalo">
    <w:name w:val="Balloon Text"/>
    <w:basedOn w:val="Normal"/>
    <w:link w:val="TextodebaloChar"/>
    <w:uiPriority w:val="99"/>
    <w:semiHidden/>
    <w:rsid w:val="00C25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214F0"/>
    <w:rPr>
      <w:rFonts w:cs="Times New Roman"/>
      <w:sz w:val="2"/>
    </w:rPr>
  </w:style>
  <w:style w:type="character" w:styleId="Hyperlink">
    <w:name w:val="Hyperlink"/>
    <w:basedOn w:val="Fontepargpadro"/>
    <w:uiPriority w:val="99"/>
    <w:rsid w:val="00C2569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C2569A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agrostat.agricultura.gov.b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A02F3-516E-48CC-9B4C-DBB1A29E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4228</Words>
  <Characters>22469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Resultados do mês</vt:lpstr>
    </vt:vector>
  </TitlesOfParts>
  <Company>.</Company>
  <LinksUpToDate>false</LinksUpToDate>
  <CharactersWithSpaces>26644</CharactersWithSpaces>
  <SharedDoc>false</SharedDoc>
  <HLinks>
    <vt:vector size="6" baseType="variant"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http://www.agrostat.agricultura.gov.br/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do mês</dc:title>
  <dc:subject/>
  <dc:creator>.</dc:creator>
  <cp:keywords/>
  <cp:lastModifiedBy>Fabricio Bentes Simoes</cp:lastModifiedBy>
  <cp:revision>30</cp:revision>
  <cp:lastPrinted>2015-01-09T11:18:00Z</cp:lastPrinted>
  <dcterms:created xsi:type="dcterms:W3CDTF">2017-09-11T13:40:00Z</dcterms:created>
  <dcterms:modified xsi:type="dcterms:W3CDTF">2017-09-12T14:05:00Z</dcterms:modified>
</cp:coreProperties>
</file>