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B02" w:rsidRPr="00826906" w:rsidRDefault="00C87B02">
      <w:pPr>
        <w:pStyle w:val="Cabealho"/>
        <w:tabs>
          <w:tab w:val="clear" w:pos="4419"/>
          <w:tab w:val="clear" w:pos="8838"/>
        </w:tabs>
        <w:rPr>
          <w:rFonts w:ascii="Arial" w:hAnsi="Arial" w:cs="Arial"/>
          <w:b/>
        </w:rPr>
      </w:pPr>
      <w:r w:rsidRPr="00826906">
        <w:rPr>
          <w:rFonts w:ascii="Arial" w:hAnsi="Arial" w:cs="Arial"/>
          <w:b/>
        </w:rPr>
        <w:t>MINISTÉRIO DA AGRICULTURA, PECUÁRIA E ABASTECIMENTO</w:t>
      </w:r>
    </w:p>
    <w:p w:rsidR="00C87B02" w:rsidRPr="00826906" w:rsidRDefault="00C87B02">
      <w:pPr>
        <w:pStyle w:val="Cabealho"/>
        <w:tabs>
          <w:tab w:val="clear" w:pos="4419"/>
          <w:tab w:val="clear" w:pos="8838"/>
        </w:tabs>
        <w:rPr>
          <w:rFonts w:ascii="Arial" w:hAnsi="Arial" w:cs="Arial"/>
          <w:b/>
        </w:rPr>
      </w:pPr>
      <w:r w:rsidRPr="00826906">
        <w:rPr>
          <w:rFonts w:ascii="Arial" w:hAnsi="Arial" w:cs="Arial"/>
          <w:b/>
        </w:rPr>
        <w:t>Secretaria de</w:t>
      </w:r>
      <w:r w:rsidR="00902F2D">
        <w:rPr>
          <w:rFonts w:ascii="Arial" w:hAnsi="Arial" w:cs="Arial"/>
          <w:b/>
        </w:rPr>
        <w:t xml:space="preserve"> Comércio</w:t>
      </w:r>
      <w:r w:rsidRPr="00826906">
        <w:rPr>
          <w:rFonts w:ascii="Arial" w:hAnsi="Arial" w:cs="Arial"/>
          <w:b/>
        </w:rPr>
        <w:t xml:space="preserve"> </w:t>
      </w:r>
      <w:r w:rsidR="00902F2D">
        <w:rPr>
          <w:rFonts w:ascii="Arial" w:hAnsi="Arial" w:cs="Arial"/>
          <w:b/>
        </w:rPr>
        <w:t xml:space="preserve">e </w:t>
      </w:r>
      <w:r w:rsidRPr="00826906">
        <w:rPr>
          <w:rFonts w:ascii="Arial" w:hAnsi="Arial" w:cs="Arial"/>
          <w:b/>
        </w:rPr>
        <w:t xml:space="preserve">Relações Internacionais </w:t>
      </w:r>
    </w:p>
    <w:p w:rsidR="00C87B02" w:rsidRPr="00826906" w:rsidRDefault="00C87B02">
      <w:pPr>
        <w:pStyle w:val="Ttulo1"/>
        <w:rPr>
          <w:rFonts w:ascii="Arial" w:hAnsi="Arial" w:cs="Arial"/>
          <w:sz w:val="20"/>
          <w:szCs w:val="20"/>
        </w:rPr>
      </w:pPr>
    </w:p>
    <w:p w:rsidR="00C87B02" w:rsidRDefault="00C87B02">
      <w:pPr>
        <w:pStyle w:val="Ttulo1"/>
        <w:rPr>
          <w:rFonts w:ascii="Arial" w:hAnsi="Arial" w:cs="Arial"/>
          <w:sz w:val="20"/>
          <w:szCs w:val="20"/>
        </w:rPr>
      </w:pPr>
      <w:r w:rsidRPr="00826906">
        <w:rPr>
          <w:rFonts w:ascii="Arial" w:hAnsi="Arial" w:cs="Arial"/>
          <w:sz w:val="20"/>
          <w:szCs w:val="20"/>
        </w:rPr>
        <w:t xml:space="preserve">Balança Comercial do Agronegócio – </w:t>
      </w:r>
      <w:proofErr w:type="gramStart"/>
      <w:r w:rsidR="00DA71E8">
        <w:rPr>
          <w:rFonts w:ascii="Arial" w:hAnsi="Arial" w:cs="Arial"/>
          <w:sz w:val="20"/>
          <w:szCs w:val="20"/>
        </w:rPr>
        <w:t>Maio</w:t>
      </w:r>
      <w:proofErr w:type="gramEnd"/>
      <w:r w:rsidR="00902F2D">
        <w:rPr>
          <w:rFonts w:ascii="Arial" w:hAnsi="Arial" w:cs="Arial"/>
          <w:sz w:val="20"/>
          <w:szCs w:val="20"/>
        </w:rPr>
        <w:t>/2019</w:t>
      </w:r>
    </w:p>
    <w:p w:rsidR="006E2025" w:rsidRPr="006E2025" w:rsidRDefault="006E2025" w:rsidP="006E2025"/>
    <w:p w:rsidR="008035E6" w:rsidRPr="00826906" w:rsidRDefault="00DA71E8" w:rsidP="008035E6">
      <w:pPr>
        <w:rPr>
          <w:rFonts w:ascii="Arial" w:hAnsi="Arial" w:cs="Arial"/>
        </w:rPr>
      </w:pPr>
      <w:r w:rsidRPr="00DA71E8">
        <w:drawing>
          <wp:inline distT="0" distB="0" distL="0" distR="0" wp14:anchorId="7342821C" wp14:editId="53D9BA53">
            <wp:extent cx="6480175" cy="30518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0175" cy="3051810"/>
                    </a:xfrm>
                    <a:prstGeom prst="rect">
                      <a:avLst/>
                    </a:prstGeom>
                  </pic:spPr>
                </pic:pic>
              </a:graphicData>
            </a:graphic>
          </wp:inline>
        </w:drawing>
      </w:r>
    </w:p>
    <w:p w:rsidR="008035E6" w:rsidRPr="00826906" w:rsidRDefault="008035E6" w:rsidP="008035E6">
      <w:pPr>
        <w:rPr>
          <w:rFonts w:ascii="Arial" w:hAnsi="Arial" w:cs="Arial"/>
        </w:rPr>
      </w:pPr>
    </w:p>
    <w:p w:rsidR="00E04FAF" w:rsidRPr="00826906" w:rsidRDefault="00E04FAF">
      <w:pPr>
        <w:pStyle w:val="Ttulo5"/>
        <w:autoSpaceDE/>
        <w:autoSpaceDN/>
        <w:adjustRightInd/>
        <w:rPr>
          <w:rFonts w:ascii="Arial" w:hAnsi="Arial" w:cs="Arial"/>
          <w:sz w:val="20"/>
          <w:szCs w:val="20"/>
        </w:rPr>
      </w:pPr>
    </w:p>
    <w:p w:rsidR="00C87B02" w:rsidRPr="00826906" w:rsidRDefault="00C87B02">
      <w:pPr>
        <w:pStyle w:val="Ttulo5"/>
        <w:autoSpaceDE/>
        <w:autoSpaceDN/>
        <w:adjustRightInd/>
        <w:rPr>
          <w:rFonts w:ascii="Arial" w:hAnsi="Arial" w:cs="Arial"/>
          <w:sz w:val="20"/>
          <w:szCs w:val="20"/>
        </w:rPr>
      </w:pPr>
      <w:r w:rsidRPr="00826906">
        <w:rPr>
          <w:rFonts w:ascii="Arial" w:hAnsi="Arial" w:cs="Arial"/>
          <w:sz w:val="20"/>
          <w:szCs w:val="20"/>
        </w:rPr>
        <w:t xml:space="preserve">I </w:t>
      </w:r>
      <w:r w:rsidR="001D51EE" w:rsidRPr="00826906">
        <w:rPr>
          <w:rFonts w:ascii="Arial" w:hAnsi="Arial" w:cs="Arial"/>
          <w:sz w:val="20"/>
          <w:szCs w:val="20"/>
        </w:rPr>
        <w:t>–</w:t>
      </w:r>
      <w:r w:rsidRPr="00826906">
        <w:rPr>
          <w:rFonts w:ascii="Arial" w:hAnsi="Arial" w:cs="Arial"/>
          <w:sz w:val="20"/>
          <w:szCs w:val="20"/>
        </w:rPr>
        <w:t xml:space="preserve"> Resultados do mês</w:t>
      </w:r>
      <w:r w:rsidR="004215B4" w:rsidRPr="00826906">
        <w:rPr>
          <w:rFonts w:ascii="Arial" w:hAnsi="Arial" w:cs="Arial"/>
          <w:sz w:val="20"/>
          <w:szCs w:val="20"/>
        </w:rPr>
        <w:t xml:space="preserve"> (comparativo </w:t>
      </w:r>
      <w:proofErr w:type="gramStart"/>
      <w:r w:rsidR="00DA71E8">
        <w:rPr>
          <w:rFonts w:ascii="Arial" w:hAnsi="Arial" w:cs="Arial"/>
          <w:sz w:val="20"/>
          <w:szCs w:val="20"/>
        </w:rPr>
        <w:t>Maio</w:t>
      </w:r>
      <w:proofErr w:type="gramEnd"/>
      <w:r w:rsidR="00893DCA">
        <w:rPr>
          <w:rFonts w:ascii="Arial" w:hAnsi="Arial" w:cs="Arial"/>
          <w:sz w:val="20"/>
          <w:szCs w:val="20"/>
        </w:rPr>
        <w:t>/2019</w:t>
      </w:r>
      <w:r w:rsidR="00D50BB5" w:rsidRPr="00826906">
        <w:rPr>
          <w:rFonts w:ascii="Arial" w:hAnsi="Arial" w:cs="Arial"/>
          <w:sz w:val="20"/>
          <w:szCs w:val="20"/>
        </w:rPr>
        <w:t xml:space="preserve"> – </w:t>
      </w:r>
      <w:r w:rsidR="00DA71E8">
        <w:rPr>
          <w:rFonts w:ascii="Arial" w:hAnsi="Arial" w:cs="Arial"/>
          <w:sz w:val="20"/>
          <w:szCs w:val="20"/>
        </w:rPr>
        <w:t>Maio</w:t>
      </w:r>
      <w:r w:rsidR="00893DCA">
        <w:rPr>
          <w:rFonts w:ascii="Arial" w:hAnsi="Arial" w:cs="Arial"/>
          <w:sz w:val="20"/>
          <w:szCs w:val="20"/>
        </w:rPr>
        <w:t>/2018</w:t>
      </w:r>
      <w:r w:rsidR="001D51EE" w:rsidRPr="00826906">
        <w:rPr>
          <w:rFonts w:ascii="Arial" w:hAnsi="Arial" w:cs="Arial"/>
          <w:sz w:val="20"/>
          <w:szCs w:val="20"/>
        </w:rPr>
        <w:t>)</w:t>
      </w:r>
    </w:p>
    <w:p w:rsidR="006E2025" w:rsidRDefault="006E2025" w:rsidP="006E2025">
      <w:pPr>
        <w:pStyle w:val="Recuodecorpodetexto"/>
        <w:ind w:firstLine="0"/>
        <w:rPr>
          <w:rFonts w:ascii="Arial" w:hAnsi="Arial" w:cs="Arial"/>
          <w:color w:val="000000" w:themeColor="text1"/>
          <w:sz w:val="20"/>
          <w:szCs w:val="20"/>
        </w:rPr>
      </w:pPr>
    </w:p>
    <w:p w:rsidR="004E6308" w:rsidRPr="004E6308" w:rsidRDefault="004E6308" w:rsidP="004E6308">
      <w:pPr>
        <w:jc w:val="both"/>
        <w:rPr>
          <w:rFonts w:asciiTheme="minorHAnsi" w:hAnsiTheme="minorHAnsi" w:cstheme="minorHAnsi"/>
          <w:sz w:val="22"/>
          <w:szCs w:val="22"/>
        </w:rPr>
      </w:pPr>
      <w:r w:rsidRPr="004E6308">
        <w:rPr>
          <w:rFonts w:asciiTheme="minorHAnsi" w:hAnsiTheme="minorHAnsi" w:cstheme="minorHAnsi"/>
          <w:sz w:val="22"/>
          <w:szCs w:val="22"/>
        </w:rPr>
        <w:t xml:space="preserve">As exportações do agronegócio foram de US$ 9,80 bilhões em maio de 2019. O valor representou uma queda de 1,7% em relação aos US$ 9,97 bilhões exportados em maio de 2018.  A redução das exportações ocorreu principalmente em função da diminuição do índice de preço dos produtos de exportação do agronegócio brasileiro, que declinaram 9,1%. Já o índice de quantum contribuiu para evitar uma queda maior do valor exportado, registrando elevação de 8,1%. </w:t>
      </w:r>
    </w:p>
    <w:p w:rsidR="004E6308" w:rsidRPr="004E6308" w:rsidRDefault="004E6308" w:rsidP="004E6308">
      <w:pPr>
        <w:jc w:val="both"/>
        <w:rPr>
          <w:rFonts w:asciiTheme="minorHAnsi" w:hAnsiTheme="minorHAnsi" w:cstheme="minorHAnsi"/>
          <w:sz w:val="22"/>
          <w:szCs w:val="22"/>
        </w:rPr>
      </w:pPr>
    </w:p>
    <w:p w:rsidR="004E6308" w:rsidRPr="004E6308" w:rsidRDefault="004E6308" w:rsidP="004E6308">
      <w:pPr>
        <w:jc w:val="both"/>
        <w:rPr>
          <w:rFonts w:asciiTheme="minorHAnsi" w:hAnsiTheme="minorHAnsi" w:cstheme="minorHAnsi"/>
          <w:sz w:val="22"/>
          <w:szCs w:val="22"/>
        </w:rPr>
      </w:pPr>
      <w:r w:rsidRPr="004E6308">
        <w:rPr>
          <w:rFonts w:asciiTheme="minorHAnsi" w:hAnsiTheme="minorHAnsi" w:cstheme="minorHAnsi"/>
          <w:sz w:val="22"/>
          <w:szCs w:val="22"/>
        </w:rPr>
        <w:t xml:space="preserve">A queda das exportações do agronegócio em 1,7% com concomitante elevação das exportações dos demais setores em 22,5% reduziu a participação do agronegócio, que caiu de 51,6% do valor total exportado em maio de 2018 para 46,1% do valor total exportado pelo Brasil em maio de 2019. </w:t>
      </w:r>
    </w:p>
    <w:p w:rsidR="004E6308" w:rsidRPr="004E6308" w:rsidRDefault="004E6308" w:rsidP="004E6308">
      <w:pPr>
        <w:jc w:val="both"/>
        <w:rPr>
          <w:rFonts w:asciiTheme="minorHAnsi" w:hAnsiTheme="minorHAnsi" w:cstheme="minorHAnsi"/>
          <w:sz w:val="22"/>
          <w:szCs w:val="22"/>
        </w:rPr>
      </w:pPr>
    </w:p>
    <w:p w:rsidR="004E6308" w:rsidRPr="004E6308" w:rsidRDefault="004E6308" w:rsidP="004E6308">
      <w:pPr>
        <w:jc w:val="both"/>
        <w:rPr>
          <w:rFonts w:asciiTheme="minorHAnsi" w:hAnsiTheme="minorHAnsi" w:cstheme="minorHAnsi"/>
          <w:sz w:val="22"/>
          <w:szCs w:val="22"/>
        </w:rPr>
      </w:pPr>
      <w:r w:rsidRPr="004E6308">
        <w:rPr>
          <w:rFonts w:asciiTheme="minorHAnsi" w:hAnsiTheme="minorHAnsi" w:cstheme="minorHAnsi"/>
          <w:sz w:val="22"/>
          <w:szCs w:val="22"/>
        </w:rPr>
        <w:t xml:space="preserve">As importações de produtos do agronegócio, por sua vez, subiram de US$ 1,08 bilhão em maio de 2018 para US$ 1,18 bilhão em maio de 2019. </w:t>
      </w:r>
    </w:p>
    <w:p w:rsidR="00F2439C" w:rsidRDefault="00F2439C" w:rsidP="00EB549D">
      <w:pPr>
        <w:pStyle w:val="Recuodecorpodetexto"/>
        <w:ind w:firstLine="0"/>
        <w:rPr>
          <w:rFonts w:ascii="Arial" w:hAnsi="Arial" w:cs="Arial"/>
          <w:color w:val="000000" w:themeColor="text1"/>
          <w:sz w:val="20"/>
          <w:szCs w:val="20"/>
        </w:rPr>
      </w:pPr>
    </w:p>
    <w:p w:rsidR="005F69F8" w:rsidRDefault="005F69F8" w:rsidP="005F69F8">
      <w:pPr>
        <w:pStyle w:val="Ttulo5"/>
        <w:autoSpaceDE/>
        <w:autoSpaceDN/>
        <w:adjustRightInd/>
        <w:rPr>
          <w:rFonts w:ascii="Arial" w:hAnsi="Arial" w:cs="Arial"/>
          <w:sz w:val="20"/>
          <w:szCs w:val="20"/>
        </w:rPr>
      </w:pPr>
      <w:proofErr w:type="spellStart"/>
      <w:r w:rsidRPr="00826906">
        <w:rPr>
          <w:rFonts w:ascii="Arial" w:hAnsi="Arial" w:cs="Arial"/>
          <w:sz w:val="20"/>
          <w:szCs w:val="20"/>
        </w:rPr>
        <w:t>I.a</w:t>
      </w:r>
      <w:proofErr w:type="spellEnd"/>
      <w:r w:rsidRPr="00826906">
        <w:rPr>
          <w:rFonts w:ascii="Arial" w:hAnsi="Arial" w:cs="Arial"/>
          <w:sz w:val="20"/>
          <w:szCs w:val="20"/>
        </w:rPr>
        <w:t xml:space="preserve"> – Setores do Agronegócio</w:t>
      </w:r>
    </w:p>
    <w:p w:rsidR="004E6308" w:rsidRDefault="004E6308" w:rsidP="004E6308"/>
    <w:p w:rsidR="004E6308" w:rsidRDefault="004E6308" w:rsidP="004E6308">
      <w:pPr>
        <w:jc w:val="both"/>
        <w:rPr>
          <w:rFonts w:asciiTheme="minorHAnsi" w:hAnsiTheme="minorHAnsi" w:cstheme="minorHAnsi"/>
          <w:sz w:val="22"/>
          <w:szCs w:val="22"/>
        </w:rPr>
      </w:pPr>
      <w:r w:rsidRPr="004E6308">
        <w:rPr>
          <w:rFonts w:asciiTheme="minorHAnsi" w:hAnsiTheme="minorHAnsi" w:cstheme="minorHAnsi"/>
          <w:sz w:val="22"/>
          <w:szCs w:val="22"/>
        </w:rPr>
        <w:t>A participação dos cinco principais setores exportadores no total das exportações do agronegócio brasileiro foi de 85,3% em maio de 2019. Em maio de 2018, a participação dos mesmos setores foi de praticamente 90,0%. Ou seja, houve uma desconcentração das exportações entre os demais setores. Os vinte demais setores tiveram forte aumento nas exportações, que subiram de US$ 1,00 bilhão em maio de 2018 para US$ 1,44 bilhão em maio de 2019 (+43,7%).</w:t>
      </w:r>
    </w:p>
    <w:p w:rsidR="004E6308" w:rsidRPr="004E6308" w:rsidRDefault="004E6308" w:rsidP="004E6308">
      <w:pPr>
        <w:jc w:val="both"/>
        <w:rPr>
          <w:rFonts w:asciiTheme="minorHAnsi" w:hAnsiTheme="minorHAnsi" w:cstheme="minorHAnsi"/>
          <w:sz w:val="22"/>
          <w:szCs w:val="22"/>
        </w:rPr>
      </w:pPr>
    </w:p>
    <w:p w:rsidR="004E6308" w:rsidRPr="004E6308" w:rsidRDefault="004E6308" w:rsidP="004E6308">
      <w:pPr>
        <w:jc w:val="both"/>
        <w:rPr>
          <w:rFonts w:asciiTheme="minorHAnsi" w:hAnsiTheme="minorHAnsi" w:cstheme="minorHAnsi"/>
          <w:sz w:val="22"/>
          <w:szCs w:val="22"/>
        </w:rPr>
      </w:pPr>
      <w:r w:rsidRPr="004E6308">
        <w:rPr>
          <w:rFonts w:asciiTheme="minorHAnsi" w:hAnsiTheme="minorHAnsi" w:cstheme="minorHAnsi"/>
          <w:sz w:val="22"/>
          <w:szCs w:val="22"/>
        </w:rPr>
        <w:t xml:space="preserve">O principal setor exportador foi o complexo soja, responsável por 46,1% do valor total exportado pelo agronegócio em maio de 2019. No entanto, as exportações do setor tiveram redução de 22,2% no período, passando de US$ 5,81 bilhões em maio de 2018 para US$ 4,52 bilhões em maio de 2019. A queda de quase US$ 1,3 bilhão ocorreu em função, principalmente, da redução no valor das exportações de soja em grão. As vendas externas de soja em grão diminuíram de 12,4 milhões de toneladas em maio de 2018 para 10,8 milhões de toneladas em maio de 2019 (-12,2%). Ademais, houve que de 14,2% no preço médio de exportação da tonelada do grão. Como resultado da queda no preço e na quantidade, o valor exportado de soja em grão declinou de US$ 5,0 bilhões em maio de 2018 para US$ 3,76 bilhões em maio de 2019.  As exportações de farelo de soja foram de US$ 585,92 milhões (-17,5%) enquanto as exportações de óleo de soja chegaram a US$ 168,75 milhões (+47,1%). </w:t>
      </w:r>
    </w:p>
    <w:p w:rsidR="004E6308" w:rsidRDefault="004E6308" w:rsidP="004E6308">
      <w:pPr>
        <w:jc w:val="both"/>
        <w:rPr>
          <w:rFonts w:asciiTheme="minorHAnsi" w:hAnsiTheme="minorHAnsi" w:cstheme="minorHAnsi"/>
          <w:sz w:val="22"/>
          <w:szCs w:val="22"/>
        </w:rPr>
      </w:pPr>
      <w:r w:rsidRPr="004E6308">
        <w:rPr>
          <w:rFonts w:asciiTheme="minorHAnsi" w:hAnsiTheme="minorHAnsi" w:cstheme="minorHAnsi"/>
          <w:sz w:val="22"/>
          <w:szCs w:val="22"/>
        </w:rPr>
        <w:lastRenderedPageBreak/>
        <w:t>As vendas externas de carnes tiveram elevação de 27,5% em maio de 2019, passando de US$ 1,11 bilhão em maio de 2018 para US$ 1,41 bilhão em maio de 2019. A carne de frango foi a principal carne exportada, com US$ 650,42 em exportações (+27,1%). Na sequência, a exportações das demais carnes foram: carne bovina (US$ 573,32 milhões; +24,0%); carne suína (US$ 142,64 milhões; +56,5%); e carne de peru (US$ 4,71 milhões; -40,8%). Deve-se ressaltar que a quantidade exportada de carne bovina e suína foram recordes para os meses de maio, com 149,8 e 66,2 mil toneladas vendidas ao exterior, respectivamente. No caso da carne bovina, três mercados mereceram destaque pela expansão da quantidade exportada: Emirados Árabes (+7,8 mil toneladas), Rússia (+7,1 mil toneladas) e China (+6,2 mil toneladas). Quanto à carne suína, os casos de Peste Suína Africana (PSA) já estão gerando impacto nas exportações brasileiras. Alguns mercados mereceram destaque quanto ao incremento da quantidade exportada em maio: China (+7,2 mil toneladas), Rússia (+3,1 mil toneladas), Chile (+2,1 mil toneladas) e Vietnã (+1,8 mil toneladas).</w:t>
      </w:r>
    </w:p>
    <w:p w:rsidR="004E6308" w:rsidRPr="004E6308" w:rsidRDefault="004E6308" w:rsidP="004E6308">
      <w:pPr>
        <w:jc w:val="both"/>
        <w:rPr>
          <w:rFonts w:asciiTheme="minorHAnsi" w:hAnsiTheme="minorHAnsi" w:cstheme="minorHAnsi"/>
          <w:sz w:val="22"/>
          <w:szCs w:val="22"/>
        </w:rPr>
      </w:pPr>
    </w:p>
    <w:p w:rsidR="004E6308" w:rsidRDefault="004E6308" w:rsidP="004E6308">
      <w:pPr>
        <w:jc w:val="both"/>
        <w:rPr>
          <w:rFonts w:asciiTheme="minorHAnsi" w:hAnsiTheme="minorHAnsi" w:cstheme="minorHAnsi"/>
          <w:sz w:val="22"/>
          <w:szCs w:val="22"/>
        </w:rPr>
      </w:pPr>
      <w:r w:rsidRPr="004E6308">
        <w:rPr>
          <w:rFonts w:asciiTheme="minorHAnsi" w:hAnsiTheme="minorHAnsi" w:cstheme="minorHAnsi"/>
          <w:sz w:val="22"/>
          <w:szCs w:val="22"/>
        </w:rPr>
        <w:t xml:space="preserve">As exportações de produtos florestais foram recorde para os meses de maio, com US$ 1,37 bilhão em exportações. A cifra representou uma expansão de 23,6% em relação aos US$ 1,11 bilhão exportações em maio de 2018. O principal produto exportado pelo setor foi a celulose. Foram vendidos ao exterior US$ 859,18 milhões em celulose (+18,0%). O valor mencionado foi recorde para os meses de maio. Ademais, a quantidade exportada de 1,58 milhão de toneladas também foi recorde para os meses de maio. Em maio de 2019, praticamente a metade das exportações de celulose brasileira foi adquirida pela China, que comprou US$ 413,52 milhões do produto (+52,3%) ou 784,5 mil toneladas. Outros produtos exportados pelo setor também registraram crescimento nas exportações: madeiras e suas obras (US$ 320 milhões; +30,8%) e papel (US$ 193 milhões; +40,0%). </w:t>
      </w:r>
    </w:p>
    <w:p w:rsidR="004E6308" w:rsidRPr="004E6308" w:rsidRDefault="004E6308" w:rsidP="004E6308">
      <w:pPr>
        <w:jc w:val="both"/>
        <w:rPr>
          <w:rFonts w:asciiTheme="minorHAnsi" w:hAnsiTheme="minorHAnsi" w:cstheme="minorHAnsi"/>
          <w:sz w:val="22"/>
          <w:szCs w:val="22"/>
        </w:rPr>
      </w:pPr>
    </w:p>
    <w:p w:rsidR="004E6308" w:rsidRPr="004E6308" w:rsidRDefault="004E6308" w:rsidP="004E6308">
      <w:pPr>
        <w:jc w:val="both"/>
        <w:rPr>
          <w:rFonts w:asciiTheme="minorHAnsi" w:hAnsiTheme="minorHAnsi" w:cstheme="minorHAnsi"/>
          <w:sz w:val="22"/>
          <w:szCs w:val="22"/>
        </w:rPr>
      </w:pPr>
      <w:r w:rsidRPr="004E6308">
        <w:rPr>
          <w:rFonts w:asciiTheme="minorHAnsi" w:hAnsiTheme="minorHAnsi" w:cstheme="minorHAnsi"/>
          <w:sz w:val="22"/>
          <w:szCs w:val="22"/>
        </w:rPr>
        <w:t xml:space="preserve">O complexo sucroalcooleiro ficou na quarta posição entre os principais setores exportadores do agronegócio. Foram US$ 618,63 milhões em exportações (-10,3%). No setor, as vendas externas de açúcar foram de US$ 540,01 milhões (-14,9%) enquanto as vendas externas de álcool foram de US$ 77,61 milhões (+51,2%). </w:t>
      </w:r>
    </w:p>
    <w:p w:rsidR="004E6308" w:rsidRDefault="004E6308" w:rsidP="004E6308">
      <w:pPr>
        <w:jc w:val="both"/>
        <w:rPr>
          <w:rFonts w:asciiTheme="minorHAnsi" w:hAnsiTheme="minorHAnsi" w:cstheme="minorHAnsi"/>
          <w:sz w:val="22"/>
          <w:szCs w:val="22"/>
        </w:rPr>
      </w:pPr>
      <w:r w:rsidRPr="004E6308">
        <w:rPr>
          <w:rFonts w:asciiTheme="minorHAnsi" w:hAnsiTheme="minorHAnsi" w:cstheme="minorHAnsi"/>
          <w:sz w:val="22"/>
          <w:szCs w:val="22"/>
        </w:rPr>
        <w:t xml:space="preserve">Na quinta posição ficou o café. O setor bateu recorde na quantidade exportada de café verde (195,9 mil toneladas) e café solúvel (7,6 mil toneladas) para os meses de maio. O Brasil teve uma produção recorde de café em 2018, com 61,7 milhões de sacas de 60kg. Em 2019, ano de </w:t>
      </w:r>
      <w:proofErr w:type="spellStart"/>
      <w:r w:rsidRPr="004E6308">
        <w:rPr>
          <w:rFonts w:asciiTheme="minorHAnsi" w:hAnsiTheme="minorHAnsi" w:cstheme="minorHAnsi"/>
          <w:sz w:val="22"/>
          <w:szCs w:val="22"/>
        </w:rPr>
        <w:t>bienalidade</w:t>
      </w:r>
      <w:proofErr w:type="spellEnd"/>
      <w:r w:rsidRPr="004E6308">
        <w:rPr>
          <w:rFonts w:asciiTheme="minorHAnsi" w:hAnsiTheme="minorHAnsi" w:cstheme="minorHAnsi"/>
          <w:sz w:val="22"/>
          <w:szCs w:val="22"/>
        </w:rPr>
        <w:t xml:space="preserve"> negativa, a previsão é que a safra também será recorde levando em consideração essa </w:t>
      </w:r>
      <w:proofErr w:type="spellStart"/>
      <w:r w:rsidRPr="004E6308">
        <w:rPr>
          <w:rFonts w:asciiTheme="minorHAnsi" w:hAnsiTheme="minorHAnsi" w:cstheme="minorHAnsi"/>
          <w:sz w:val="22"/>
          <w:szCs w:val="22"/>
        </w:rPr>
        <w:t>bienalidade</w:t>
      </w:r>
      <w:proofErr w:type="spellEnd"/>
      <w:r w:rsidRPr="004E6308">
        <w:rPr>
          <w:rFonts w:asciiTheme="minorHAnsi" w:hAnsiTheme="minorHAnsi" w:cstheme="minorHAnsi"/>
          <w:sz w:val="22"/>
          <w:szCs w:val="22"/>
        </w:rPr>
        <w:t>, com 50,9 milhões de sacas de 60 kg</w:t>
      </w:r>
      <w:r w:rsidRPr="004E6308">
        <w:rPr>
          <w:rFonts w:asciiTheme="minorHAnsi" w:hAnsiTheme="minorHAnsi" w:cstheme="minorHAnsi"/>
          <w:sz w:val="22"/>
          <w:szCs w:val="22"/>
          <w:vertAlign w:val="superscript"/>
        </w:rPr>
        <w:footnoteReference w:id="1"/>
      </w:r>
      <w:r w:rsidRPr="004E6308">
        <w:rPr>
          <w:rFonts w:asciiTheme="minorHAnsi" w:hAnsiTheme="minorHAnsi" w:cstheme="minorHAnsi"/>
          <w:sz w:val="22"/>
          <w:szCs w:val="22"/>
        </w:rPr>
        <w:t xml:space="preserve">. A produção mundial também foi recorde em 2018/2019, atingindo, segundo o USDA, 174,5 milhões de sacas, o que significa uma expansão de 9,8% em relação à safra anterior. A demanda, por sua vez, possui projeção de crescimento de 2,1%, chegando a 163,6 milhões de sacas. Essa grande oferta de café pressiona para baixo os preços internacionais do produto, que recuaram para menos de US$ 2.000 por tonelada, ficando em US$ 1.975 por tonelada exportada de café brasileiro em maio de 2019 (-21,9%). Este preço médio de exportação é o menor para os meses de maio desde 2005.  </w:t>
      </w:r>
    </w:p>
    <w:p w:rsidR="004E6308" w:rsidRPr="004E6308" w:rsidRDefault="004E6308" w:rsidP="004E6308">
      <w:pPr>
        <w:jc w:val="both"/>
        <w:rPr>
          <w:rFonts w:asciiTheme="minorHAnsi" w:hAnsiTheme="minorHAnsi" w:cstheme="minorHAnsi"/>
          <w:sz w:val="22"/>
          <w:szCs w:val="22"/>
        </w:rPr>
      </w:pPr>
    </w:p>
    <w:p w:rsidR="004E6308" w:rsidRDefault="004E6308" w:rsidP="004E6308">
      <w:pPr>
        <w:jc w:val="both"/>
        <w:rPr>
          <w:rFonts w:asciiTheme="minorHAnsi" w:hAnsiTheme="minorHAnsi" w:cstheme="minorHAnsi"/>
          <w:sz w:val="22"/>
          <w:szCs w:val="22"/>
        </w:rPr>
      </w:pPr>
      <w:r w:rsidRPr="004E6308">
        <w:rPr>
          <w:rFonts w:asciiTheme="minorHAnsi" w:hAnsiTheme="minorHAnsi" w:cstheme="minorHAnsi"/>
          <w:sz w:val="22"/>
          <w:szCs w:val="22"/>
        </w:rPr>
        <w:t xml:space="preserve">No contexto apresentado, o Brasil exportou US$ 438,3 milhões de (+71,7%) no setor de café, com forte expansão da quantidade exportada em 125%, embora os preços internacionais dos produtos do setor tenham caído, em média, 23,7%. </w:t>
      </w:r>
    </w:p>
    <w:p w:rsidR="004E6308" w:rsidRPr="004E6308" w:rsidRDefault="004E6308" w:rsidP="004E6308">
      <w:pPr>
        <w:jc w:val="both"/>
        <w:rPr>
          <w:rFonts w:asciiTheme="minorHAnsi" w:hAnsiTheme="minorHAnsi" w:cstheme="minorHAnsi"/>
          <w:sz w:val="22"/>
          <w:szCs w:val="22"/>
        </w:rPr>
      </w:pPr>
    </w:p>
    <w:p w:rsidR="004E6308" w:rsidRPr="004E6308" w:rsidRDefault="004E6308" w:rsidP="004E6308">
      <w:pPr>
        <w:jc w:val="both"/>
        <w:rPr>
          <w:rFonts w:asciiTheme="minorHAnsi" w:hAnsiTheme="minorHAnsi" w:cstheme="minorHAnsi"/>
          <w:sz w:val="22"/>
          <w:szCs w:val="22"/>
        </w:rPr>
      </w:pPr>
      <w:r w:rsidRPr="004E6308">
        <w:rPr>
          <w:rFonts w:asciiTheme="minorHAnsi" w:hAnsiTheme="minorHAnsi" w:cstheme="minorHAnsi"/>
          <w:sz w:val="22"/>
          <w:szCs w:val="22"/>
        </w:rPr>
        <w:t xml:space="preserve">As importações do agronegócio subiram de US$ 1,08 bilhão em maio de 2018 para US$ 1,18 bilhão em maio de 2019 (+9,0%).  Os principais produtos agropecuários importados pelo Brasil foram: trigo (US$ 95,65 milhões; +14,5%), papel (US$ 75,73 milhões; +7,4%), álcool etílico (US$ 74,28 milhões; +72,1%), salmões (US$ 46,24 milhões; +10,4%), vestuário e outros produtos têxteis de algodão (US$ 44,54 milhões; +3,2%), malte (US$ 36,77 milhões; +32,0%), batatas preparadas ou conservadas (US$ 34,62 milhões; +33,6%), vinho (US$ 34,12 milhões; +14,2%), óleo de palma (US$ 30,50 milhões; -37,3%), borracha natural (US$ 30,41 milhões;+0,5%), azeite de oliva (US$ 30,11 milhões; -13,8%).  A soma das importações dos produtos acima mencionados totalizou US$ 533,81 milhões. No mês de maio de 2018, as importações dos mesmos produtos totalizaram US$ 480,33 milhões. Ou seja, houve incremento médio de 11,1% nas importações dos principais produtos agropecuários importados. </w:t>
      </w:r>
    </w:p>
    <w:p w:rsidR="004E6308" w:rsidRPr="004E6308" w:rsidRDefault="004E6308" w:rsidP="004E6308"/>
    <w:p w:rsidR="00EB549D" w:rsidRDefault="00EB549D" w:rsidP="00EB549D"/>
    <w:p w:rsidR="00EB549D" w:rsidRPr="00EB549D" w:rsidRDefault="00EB549D" w:rsidP="00EB549D"/>
    <w:p w:rsidR="006E2025" w:rsidRDefault="006E2025" w:rsidP="006E2025"/>
    <w:p w:rsidR="006E2025" w:rsidRDefault="00DA71E8" w:rsidP="006E2025">
      <w:r w:rsidRPr="00DA71E8">
        <w:lastRenderedPageBreak/>
        <w:drawing>
          <wp:inline distT="0" distB="0" distL="0" distR="0" wp14:anchorId="3F0BD9C4" wp14:editId="7BCB5FDF">
            <wp:extent cx="6480175" cy="385508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3855085"/>
                    </a:xfrm>
                    <a:prstGeom prst="rect">
                      <a:avLst/>
                    </a:prstGeom>
                  </pic:spPr>
                </pic:pic>
              </a:graphicData>
            </a:graphic>
          </wp:inline>
        </w:drawing>
      </w:r>
    </w:p>
    <w:p w:rsidR="006E2025" w:rsidRPr="006E2025" w:rsidRDefault="006E2025" w:rsidP="006E2025"/>
    <w:p w:rsidR="001D51EE" w:rsidRDefault="006D7B33" w:rsidP="00E207EB">
      <w:pPr>
        <w:jc w:val="both"/>
        <w:rPr>
          <w:rFonts w:ascii="Arial" w:hAnsi="Arial" w:cs="Arial"/>
          <w:b/>
          <w:sz w:val="20"/>
          <w:szCs w:val="20"/>
        </w:rPr>
      </w:pPr>
      <w:proofErr w:type="spellStart"/>
      <w:r w:rsidRPr="00826906">
        <w:rPr>
          <w:rFonts w:ascii="Arial" w:hAnsi="Arial" w:cs="Arial"/>
          <w:b/>
          <w:sz w:val="20"/>
          <w:szCs w:val="20"/>
        </w:rPr>
        <w:t>I.b</w:t>
      </w:r>
      <w:proofErr w:type="spellEnd"/>
      <w:r w:rsidRPr="00826906">
        <w:rPr>
          <w:rFonts w:ascii="Arial" w:hAnsi="Arial" w:cs="Arial"/>
          <w:b/>
          <w:sz w:val="20"/>
          <w:szCs w:val="20"/>
        </w:rPr>
        <w:t xml:space="preserve"> – Blocos Econômicos e Regiões Geográficas</w:t>
      </w:r>
    </w:p>
    <w:p w:rsidR="006E2025" w:rsidRDefault="006E2025" w:rsidP="00E207EB">
      <w:pPr>
        <w:jc w:val="both"/>
        <w:rPr>
          <w:rFonts w:ascii="Arial" w:hAnsi="Arial" w:cs="Arial"/>
          <w:b/>
          <w:sz w:val="20"/>
          <w:szCs w:val="20"/>
        </w:rPr>
      </w:pPr>
    </w:p>
    <w:p w:rsidR="004E6308" w:rsidRDefault="004E6308" w:rsidP="004E6308">
      <w:pPr>
        <w:jc w:val="both"/>
        <w:rPr>
          <w:rFonts w:asciiTheme="minorHAnsi" w:hAnsiTheme="minorHAnsi" w:cstheme="minorHAnsi"/>
          <w:sz w:val="22"/>
          <w:szCs w:val="22"/>
        </w:rPr>
      </w:pPr>
      <w:r w:rsidRPr="004E6308">
        <w:rPr>
          <w:rFonts w:asciiTheme="minorHAnsi" w:hAnsiTheme="minorHAnsi" w:cstheme="minorHAnsi"/>
          <w:sz w:val="22"/>
          <w:szCs w:val="22"/>
        </w:rPr>
        <w:t>As exportações brasileiras do agronegócio subiram para a maior parte dos blocos ou regiões geográficas mencionados na Tabela 2 desta nota.  A principal queda ocorreu nas vendas externas para a Ásia, que diminuíram de US$ 5,92 bilhões em maio de 2018 para US$ 4,95 bilhões em maio de 2019 (-16,3%). A queda nas vendas ao continente asiático reduziu a participação do mesmo de 59,4% das vendas do agronegócio brasileiro em maio de 2018 para 50,6% em maio de 2019. Mesmo assim, a região adquiriu mais da metade do valor exportado pelo Brasil em produtos do agronegócio. A diminuição das exportações ocorreu em função, principalmente, da redução das exportações de soja em grão, que caíram de US$ 4,23 bilhões em maio de 2018 para US$ 2,93 bilhões em maio de 2019. Esta queda foi de US$ 1,30 bilhão, maior, portanto, que a redução das exportações totais para a região.</w:t>
      </w:r>
    </w:p>
    <w:p w:rsidR="004E6308" w:rsidRPr="004E6308" w:rsidRDefault="004E6308" w:rsidP="004E6308">
      <w:pPr>
        <w:jc w:val="both"/>
        <w:rPr>
          <w:rFonts w:asciiTheme="minorHAnsi" w:hAnsiTheme="minorHAnsi" w:cstheme="minorHAnsi"/>
          <w:sz w:val="22"/>
          <w:szCs w:val="22"/>
        </w:rPr>
      </w:pPr>
    </w:p>
    <w:p w:rsidR="004E6308" w:rsidRPr="004E6308" w:rsidRDefault="004E6308" w:rsidP="004E6308">
      <w:pPr>
        <w:jc w:val="both"/>
        <w:rPr>
          <w:rFonts w:asciiTheme="minorHAnsi" w:hAnsiTheme="minorHAnsi" w:cstheme="minorHAnsi"/>
          <w:sz w:val="22"/>
          <w:szCs w:val="22"/>
        </w:rPr>
      </w:pPr>
      <w:r w:rsidRPr="004E6308">
        <w:rPr>
          <w:rFonts w:asciiTheme="minorHAnsi" w:hAnsiTheme="minorHAnsi" w:cstheme="minorHAnsi"/>
          <w:sz w:val="22"/>
          <w:szCs w:val="22"/>
        </w:rPr>
        <w:t xml:space="preserve">Quatro blocos ou regiões geográficas merecem destaque em relação ao crescimento das exportações na comparação entre maio de 2018 e maio de 2019. Foram eles:  União Europeia (US$ 1,67 bilhão; +16,4%), NAFTA (US$ 870,17 milhões; +25,9%), Oriente Médio (US$ 846,15 milhões; +49,7%) e ALADI (US$ 353,95 milhões; +16,4%). </w:t>
      </w:r>
    </w:p>
    <w:p w:rsidR="004E6308" w:rsidRPr="004E6308" w:rsidRDefault="004E6308" w:rsidP="004E6308">
      <w:pPr>
        <w:jc w:val="both"/>
        <w:rPr>
          <w:rFonts w:asciiTheme="minorHAnsi" w:hAnsiTheme="minorHAnsi" w:cstheme="minorHAnsi"/>
          <w:sz w:val="22"/>
          <w:szCs w:val="22"/>
        </w:rPr>
      </w:pPr>
      <w:r w:rsidRPr="004E6308">
        <w:rPr>
          <w:rFonts w:asciiTheme="minorHAnsi" w:hAnsiTheme="minorHAnsi" w:cstheme="minorHAnsi"/>
          <w:sz w:val="22"/>
          <w:szCs w:val="22"/>
        </w:rPr>
        <w:t xml:space="preserve">Na União Europeia, houve expansão nas exportações de diversos produtos, com destaque para as exportações de soja em grão (US$ 426,50 milhões; +28,2%) e café verde (US$ 195,98 milhões; +93,2%). </w:t>
      </w:r>
    </w:p>
    <w:p w:rsidR="004E6308" w:rsidRDefault="004E6308" w:rsidP="004E6308">
      <w:pPr>
        <w:jc w:val="both"/>
        <w:rPr>
          <w:rFonts w:asciiTheme="minorHAnsi" w:hAnsiTheme="minorHAnsi" w:cstheme="minorHAnsi"/>
          <w:sz w:val="22"/>
          <w:szCs w:val="22"/>
        </w:rPr>
      </w:pPr>
      <w:r w:rsidRPr="004E6308">
        <w:rPr>
          <w:rFonts w:asciiTheme="minorHAnsi" w:hAnsiTheme="minorHAnsi" w:cstheme="minorHAnsi"/>
          <w:sz w:val="22"/>
          <w:szCs w:val="22"/>
        </w:rPr>
        <w:t xml:space="preserve">As vendas externas para o NAFTA foram influenciadas, principalmente, pela expansão das exportações dos seguintes produtos: celulose (US$ 175,23 milhões; +42,5%);  café verde (US$ 78,03 milhões; +61,5%);  soja em grãos (US$ 68,82 milhões; +49,2%); álcool etílico (US$ 61,13 milhões; +61,4%); e açúcar refinado (US$ 40,58 milhões; +600,5%). </w:t>
      </w:r>
    </w:p>
    <w:p w:rsidR="004E6308" w:rsidRPr="004E6308" w:rsidRDefault="004E6308" w:rsidP="004E6308">
      <w:pPr>
        <w:jc w:val="both"/>
        <w:rPr>
          <w:rFonts w:asciiTheme="minorHAnsi" w:hAnsiTheme="minorHAnsi" w:cstheme="minorHAnsi"/>
          <w:sz w:val="22"/>
          <w:szCs w:val="22"/>
        </w:rPr>
      </w:pPr>
    </w:p>
    <w:p w:rsidR="004E6308" w:rsidRPr="004E6308" w:rsidRDefault="004E6308" w:rsidP="004E6308">
      <w:pPr>
        <w:jc w:val="both"/>
        <w:rPr>
          <w:rFonts w:asciiTheme="minorHAnsi" w:hAnsiTheme="minorHAnsi" w:cstheme="minorHAnsi"/>
          <w:sz w:val="22"/>
          <w:szCs w:val="22"/>
        </w:rPr>
      </w:pPr>
      <w:r w:rsidRPr="004E6308">
        <w:rPr>
          <w:rFonts w:asciiTheme="minorHAnsi" w:hAnsiTheme="minorHAnsi" w:cstheme="minorHAnsi"/>
          <w:sz w:val="22"/>
          <w:szCs w:val="22"/>
        </w:rPr>
        <w:t xml:space="preserve">Para o Oriente Médio, o crescimento das vendas externas de seis produtos explica em grande parte o incremento das exportações para a região. Foram eles: carne de frango in natura (US$ 203,39 milhões; +27,4%);  açúcar de cana em bruto (US$ 192,37 milhões; +174,9%); milho (US$ 112,16 milhões; +1.462,4%); carne bovina in natura (US$ 92,59 milhões; +52,6%); farelo de soja (US$ 54,80 milhões; +323,5%); e bovinos vivos (US$ 30,27 milhões; +1.541,3%). Já para a ALADI, o crescimento das exportações dos seguintes produtos explica em grande parte o incremento das exportações em maio de 2019: soja em grãos (US$ 66,96 milhões; +45,2%) e papel (US$ 58,16 milhões; +41,2%). </w:t>
      </w:r>
    </w:p>
    <w:p w:rsidR="004E6308" w:rsidRDefault="004E6308" w:rsidP="00E207EB">
      <w:pPr>
        <w:jc w:val="both"/>
        <w:rPr>
          <w:rFonts w:ascii="Arial" w:hAnsi="Arial" w:cs="Arial"/>
          <w:b/>
          <w:sz w:val="20"/>
          <w:szCs w:val="20"/>
        </w:rPr>
      </w:pPr>
    </w:p>
    <w:p w:rsidR="006E2025" w:rsidRDefault="006E2025" w:rsidP="00E207EB">
      <w:pPr>
        <w:jc w:val="both"/>
        <w:rPr>
          <w:rFonts w:ascii="Arial" w:hAnsi="Arial" w:cs="Arial"/>
          <w:b/>
          <w:sz w:val="20"/>
          <w:szCs w:val="20"/>
        </w:rPr>
      </w:pPr>
    </w:p>
    <w:p w:rsidR="006E2025" w:rsidRPr="00826906" w:rsidRDefault="00DA71E8" w:rsidP="00E207EB">
      <w:pPr>
        <w:jc w:val="both"/>
        <w:rPr>
          <w:rFonts w:ascii="Arial" w:hAnsi="Arial" w:cs="Arial"/>
          <w:b/>
          <w:sz w:val="20"/>
          <w:szCs w:val="20"/>
        </w:rPr>
      </w:pPr>
      <w:r w:rsidRPr="00DA71E8">
        <w:lastRenderedPageBreak/>
        <w:drawing>
          <wp:inline distT="0" distB="0" distL="0" distR="0" wp14:anchorId="16835873" wp14:editId="31042657">
            <wp:extent cx="6480175" cy="234823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175" cy="2348230"/>
                    </a:xfrm>
                    <a:prstGeom prst="rect">
                      <a:avLst/>
                    </a:prstGeom>
                  </pic:spPr>
                </pic:pic>
              </a:graphicData>
            </a:graphic>
          </wp:inline>
        </w:drawing>
      </w:r>
    </w:p>
    <w:p w:rsidR="006C7903" w:rsidRDefault="006C7903" w:rsidP="006C7903">
      <w:pPr>
        <w:pStyle w:val="Recuodecorpodetexto"/>
        <w:ind w:firstLine="0"/>
        <w:rPr>
          <w:rFonts w:ascii="Arial" w:hAnsi="Arial" w:cs="Arial"/>
          <w:b/>
          <w:sz w:val="20"/>
          <w:szCs w:val="20"/>
        </w:rPr>
      </w:pPr>
    </w:p>
    <w:p w:rsidR="00902F2D" w:rsidRDefault="00902F2D" w:rsidP="006C7903">
      <w:pPr>
        <w:pStyle w:val="Recuodecorpodetexto"/>
        <w:ind w:firstLine="0"/>
        <w:rPr>
          <w:rFonts w:ascii="Arial" w:hAnsi="Arial" w:cs="Arial"/>
          <w:b/>
          <w:sz w:val="20"/>
          <w:szCs w:val="20"/>
        </w:rPr>
      </w:pPr>
      <w:proofErr w:type="spellStart"/>
      <w:r w:rsidRPr="00902F2D">
        <w:rPr>
          <w:rFonts w:ascii="Arial" w:hAnsi="Arial" w:cs="Arial"/>
          <w:b/>
          <w:sz w:val="20"/>
          <w:szCs w:val="20"/>
        </w:rPr>
        <w:t>I.c</w:t>
      </w:r>
      <w:proofErr w:type="spellEnd"/>
      <w:r w:rsidRPr="00902F2D">
        <w:rPr>
          <w:rFonts w:ascii="Arial" w:hAnsi="Arial" w:cs="Arial"/>
          <w:b/>
          <w:sz w:val="20"/>
          <w:szCs w:val="20"/>
        </w:rPr>
        <w:t xml:space="preserve"> </w:t>
      </w:r>
      <w:r w:rsidR="00F13231">
        <w:rPr>
          <w:rFonts w:ascii="Arial" w:hAnsi="Arial" w:cs="Arial"/>
          <w:b/>
          <w:sz w:val="20"/>
          <w:szCs w:val="20"/>
        </w:rPr>
        <w:t>–</w:t>
      </w:r>
      <w:r w:rsidRPr="00902F2D">
        <w:rPr>
          <w:rFonts w:ascii="Arial" w:hAnsi="Arial" w:cs="Arial"/>
          <w:b/>
          <w:sz w:val="20"/>
          <w:szCs w:val="20"/>
        </w:rPr>
        <w:t xml:space="preserve"> Países</w:t>
      </w:r>
    </w:p>
    <w:p w:rsidR="006E2025" w:rsidRPr="006C7903" w:rsidRDefault="006E2025" w:rsidP="006C7903">
      <w:pPr>
        <w:pStyle w:val="Recuodecorpodetexto"/>
        <w:ind w:firstLine="0"/>
        <w:rPr>
          <w:rFonts w:ascii="Arial" w:hAnsi="Arial" w:cs="Arial"/>
          <w:sz w:val="20"/>
          <w:szCs w:val="20"/>
        </w:rPr>
      </w:pPr>
    </w:p>
    <w:p w:rsidR="004E6308" w:rsidRPr="004E6308" w:rsidRDefault="004E6308" w:rsidP="004E6308">
      <w:pPr>
        <w:spacing w:after="160" w:line="259" w:lineRule="auto"/>
        <w:jc w:val="both"/>
        <w:rPr>
          <w:rFonts w:ascii="Calibri" w:eastAsia="Calibri" w:hAnsi="Calibri"/>
          <w:sz w:val="22"/>
          <w:szCs w:val="22"/>
          <w:lang w:eastAsia="en-US"/>
        </w:rPr>
      </w:pPr>
      <w:r w:rsidRPr="004E6308">
        <w:rPr>
          <w:rFonts w:ascii="Calibri" w:eastAsia="Calibri" w:hAnsi="Calibri"/>
          <w:sz w:val="22"/>
          <w:szCs w:val="22"/>
          <w:lang w:eastAsia="en-US"/>
        </w:rPr>
        <w:t xml:space="preserve">As exportações cresceram para a maior parte dos vinte principais países de destino das exportações brasileiras do agronegócio, que são apresentados no Tabela 3.  O principal parceiro comercial, a China, registrou um declínio no valor adquirido do Brasil de 21,7%.  A redução no valor importado ainda manteve o país com mais de um terço do valor adquirido (US$ 3,55 bilhões; -21,7%) ou cinco vezes o valor adquirido pelo segundo maior importador, os Estados Unidos (US$ 701,05 milhões; +33,8). </w:t>
      </w:r>
    </w:p>
    <w:p w:rsidR="004E6308" w:rsidRPr="004E6308" w:rsidRDefault="004E6308" w:rsidP="004E6308">
      <w:pPr>
        <w:spacing w:after="160" w:line="259" w:lineRule="auto"/>
        <w:jc w:val="both"/>
        <w:rPr>
          <w:rFonts w:ascii="Calibri" w:eastAsia="Calibri" w:hAnsi="Calibri"/>
          <w:sz w:val="22"/>
          <w:szCs w:val="22"/>
          <w:lang w:eastAsia="en-US"/>
        </w:rPr>
      </w:pPr>
      <w:r w:rsidRPr="004E6308">
        <w:rPr>
          <w:rFonts w:ascii="Calibri" w:eastAsia="Calibri" w:hAnsi="Calibri"/>
          <w:sz w:val="22"/>
          <w:szCs w:val="22"/>
          <w:lang w:eastAsia="en-US"/>
        </w:rPr>
        <w:t xml:space="preserve">Quatro países aumentaram as aquisições de produtos do agronegócio brasileiro acima de 50% entre maio de 2018 e maio de 2019: Irã (US$ 272,60; +65,1%); Alemanha (US$ 214,47 milhões; +73,4%); Emirados Árabes Unidos (US$ 151,34 milhões; +78,4%); e Rússia (US$ 131,33 milhões; +68,4%). </w:t>
      </w:r>
    </w:p>
    <w:p w:rsidR="004E6308" w:rsidRPr="004E6308" w:rsidRDefault="004E6308" w:rsidP="004E6308">
      <w:pPr>
        <w:spacing w:after="160" w:line="259" w:lineRule="auto"/>
        <w:jc w:val="both"/>
        <w:rPr>
          <w:rFonts w:ascii="Calibri" w:eastAsia="Calibri" w:hAnsi="Calibri"/>
          <w:sz w:val="22"/>
          <w:szCs w:val="22"/>
          <w:lang w:eastAsia="en-US"/>
        </w:rPr>
      </w:pPr>
      <w:r w:rsidRPr="004E6308">
        <w:rPr>
          <w:rFonts w:ascii="Calibri" w:eastAsia="Calibri" w:hAnsi="Calibri"/>
          <w:sz w:val="22"/>
          <w:szCs w:val="22"/>
          <w:lang w:eastAsia="en-US"/>
        </w:rPr>
        <w:t xml:space="preserve">As exportações ao Irã foram influenciadas, principalmente, pela expansão das exportações de milho, que subiram de US$ 7,05 milhões em maio de 2018 para US$ 111,20 milhões em maio de 2019. Para a Alemanha, o aumento das exportações ocorreu principalmente em função da expansão das vendas de café verde, que subiram de US$ 26,25 milhões em maio de 2018 para US$ 73,01 milhões em maio de 2019. </w:t>
      </w:r>
    </w:p>
    <w:p w:rsidR="004E6308" w:rsidRPr="004E6308" w:rsidRDefault="004E6308" w:rsidP="004E6308">
      <w:pPr>
        <w:spacing w:after="160" w:line="259" w:lineRule="auto"/>
        <w:jc w:val="both"/>
        <w:rPr>
          <w:rFonts w:ascii="Calibri" w:eastAsia="Calibri" w:hAnsi="Calibri"/>
          <w:sz w:val="22"/>
          <w:szCs w:val="22"/>
          <w:lang w:eastAsia="en-US"/>
        </w:rPr>
      </w:pPr>
      <w:r w:rsidRPr="004E6308">
        <w:rPr>
          <w:rFonts w:ascii="Calibri" w:eastAsia="Calibri" w:hAnsi="Calibri"/>
          <w:sz w:val="22"/>
          <w:szCs w:val="22"/>
          <w:lang w:eastAsia="en-US"/>
        </w:rPr>
        <w:t xml:space="preserve">Para os Emirados Árabes e a Rússia, o setor de carnes foi o que mais contribuiu para a expansão das exportações. Para o primeiro país, as exportações de carnes subiram de US$ 41,96 milhões em maio de 2018 para US$ 87,11 milhões em maio de 2019. Já para a Rússia, as exportações de carnes subiram de US$ 11,50 milhões em maio de 2018 para US$ 43,25 milhões em maio de 2019. </w:t>
      </w:r>
    </w:p>
    <w:p w:rsidR="00F13231" w:rsidRDefault="00F13231" w:rsidP="00AB2FF5">
      <w:pPr>
        <w:rPr>
          <w:rFonts w:ascii="Arial" w:hAnsi="Arial" w:cs="Arial"/>
          <w:b/>
          <w:sz w:val="20"/>
          <w:szCs w:val="20"/>
        </w:rPr>
      </w:pPr>
    </w:p>
    <w:p w:rsidR="004E6308" w:rsidRDefault="004E6308" w:rsidP="00AB2FF5">
      <w:pPr>
        <w:rPr>
          <w:rFonts w:ascii="Arial" w:hAnsi="Arial" w:cs="Arial"/>
          <w:b/>
          <w:sz w:val="20"/>
          <w:szCs w:val="20"/>
        </w:rPr>
      </w:pPr>
    </w:p>
    <w:p w:rsidR="006E2025" w:rsidRDefault="00DA71E8" w:rsidP="00AB2FF5">
      <w:pPr>
        <w:rPr>
          <w:rFonts w:ascii="Arial" w:hAnsi="Arial" w:cs="Arial"/>
          <w:b/>
          <w:sz w:val="20"/>
          <w:szCs w:val="20"/>
        </w:rPr>
      </w:pPr>
      <w:r w:rsidRPr="00DA71E8">
        <w:lastRenderedPageBreak/>
        <w:drawing>
          <wp:inline distT="0" distB="0" distL="0" distR="0" wp14:anchorId="32649E8A" wp14:editId="6D01CEA4">
            <wp:extent cx="6480175" cy="3879215"/>
            <wp:effectExtent l="0" t="0" r="0" b="698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0175" cy="3879215"/>
                    </a:xfrm>
                    <a:prstGeom prst="rect">
                      <a:avLst/>
                    </a:prstGeom>
                  </pic:spPr>
                </pic:pic>
              </a:graphicData>
            </a:graphic>
          </wp:inline>
        </w:drawing>
      </w:r>
    </w:p>
    <w:p w:rsidR="009068F1" w:rsidRDefault="009068F1" w:rsidP="00FE172D">
      <w:pPr>
        <w:jc w:val="both"/>
      </w:pPr>
    </w:p>
    <w:p w:rsidR="006A3DA8" w:rsidRDefault="006A3DA8" w:rsidP="003B632E">
      <w:pPr>
        <w:autoSpaceDE w:val="0"/>
        <w:autoSpaceDN w:val="0"/>
        <w:adjustRightInd w:val="0"/>
        <w:jc w:val="both"/>
        <w:rPr>
          <w:rFonts w:ascii="Arial" w:hAnsi="Arial" w:cs="Arial"/>
          <w:b/>
          <w:sz w:val="20"/>
          <w:szCs w:val="20"/>
        </w:rPr>
      </w:pPr>
    </w:p>
    <w:p w:rsidR="00F13231" w:rsidRDefault="009113F8" w:rsidP="003B632E">
      <w:pPr>
        <w:autoSpaceDE w:val="0"/>
        <w:autoSpaceDN w:val="0"/>
        <w:adjustRightInd w:val="0"/>
        <w:jc w:val="both"/>
        <w:rPr>
          <w:rFonts w:ascii="Arial" w:hAnsi="Arial" w:cs="Arial"/>
          <w:b/>
          <w:sz w:val="20"/>
          <w:szCs w:val="20"/>
        </w:rPr>
      </w:pPr>
      <w:r>
        <w:rPr>
          <w:rFonts w:ascii="Arial" w:hAnsi="Arial" w:cs="Arial"/>
          <w:b/>
          <w:sz w:val="20"/>
          <w:szCs w:val="20"/>
        </w:rPr>
        <w:t xml:space="preserve">II – Resultados do ano </w:t>
      </w:r>
      <w:r w:rsidR="006C7903">
        <w:rPr>
          <w:rFonts w:ascii="Arial" w:hAnsi="Arial" w:cs="Arial"/>
          <w:b/>
          <w:sz w:val="20"/>
          <w:szCs w:val="20"/>
        </w:rPr>
        <w:t xml:space="preserve">(comparativo </w:t>
      </w:r>
      <w:proofErr w:type="gramStart"/>
      <w:r w:rsidR="006C7903">
        <w:rPr>
          <w:rFonts w:ascii="Arial" w:hAnsi="Arial" w:cs="Arial"/>
          <w:b/>
          <w:sz w:val="20"/>
          <w:szCs w:val="20"/>
        </w:rPr>
        <w:t>Janeiro</w:t>
      </w:r>
      <w:proofErr w:type="gramEnd"/>
      <w:r w:rsidR="006C7903">
        <w:rPr>
          <w:rFonts w:ascii="Arial" w:hAnsi="Arial" w:cs="Arial"/>
          <w:b/>
          <w:sz w:val="20"/>
          <w:szCs w:val="20"/>
        </w:rPr>
        <w:t xml:space="preserve"> a </w:t>
      </w:r>
      <w:r w:rsidR="00DA71E8">
        <w:rPr>
          <w:rFonts w:ascii="Arial" w:hAnsi="Arial" w:cs="Arial"/>
          <w:b/>
          <w:sz w:val="20"/>
          <w:szCs w:val="20"/>
        </w:rPr>
        <w:t xml:space="preserve">Maio </w:t>
      </w:r>
      <w:r w:rsidR="006C7903">
        <w:rPr>
          <w:rFonts w:ascii="Arial" w:hAnsi="Arial" w:cs="Arial"/>
          <w:b/>
          <w:sz w:val="20"/>
          <w:szCs w:val="20"/>
        </w:rPr>
        <w:t xml:space="preserve">de 2019 – Janeiro a </w:t>
      </w:r>
      <w:r w:rsidR="00DA71E8">
        <w:rPr>
          <w:rFonts w:ascii="Arial" w:hAnsi="Arial" w:cs="Arial"/>
          <w:b/>
          <w:sz w:val="20"/>
          <w:szCs w:val="20"/>
        </w:rPr>
        <w:t xml:space="preserve">Maio </w:t>
      </w:r>
      <w:r>
        <w:rPr>
          <w:rFonts w:ascii="Arial" w:hAnsi="Arial" w:cs="Arial"/>
          <w:b/>
          <w:sz w:val="20"/>
          <w:szCs w:val="20"/>
        </w:rPr>
        <w:t>de 2018)</w:t>
      </w:r>
    </w:p>
    <w:p w:rsidR="006E2025" w:rsidRDefault="006E2025" w:rsidP="003B632E">
      <w:pPr>
        <w:autoSpaceDE w:val="0"/>
        <w:autoSpaceDN w:val="0"/>
        <w:adjustRightInd w:val="0"/>
        <w:jc w:val="both"/>
        <w:rPr>
          <w:rFonts w:ascii="Arial" w:hAnsi="Arial" w:cs="Arial"/>
          <w:b/>
          <w:sz w:val="20"/>
          <w:szCs w:val="20"/>
        </w:rPr>
      </w:pPr>
    </w:p>
    <w:p w:rsidR="004E6308" w:rsidRPr="004E6308" w:rsidRDefault="004E6308" w:rsidP="004E6308">
      <w:pPr>
        <w:spacing w:after="160" w:line="259" w:lineRule="auto"/>
        <w:ind w:right="-1"/>
        <w:jc w:val="both"/>
        <w:rPr>
          <w:rFonts w:ascii="Calibri" w:eastAsia="Calibri" w:hAnsi="Calibri"/>
          <w:sz w:val="22"/>
          <w:szCs w:val="22"/>
          <w:lang w:eastAsia="en-US"/>
        </w:rPr>
      </w:pPr>
      <w:r w:rsidRPr="004E6308">
        <w:rPr>
          <w:rFonts w:ascii="Calibri" w:eastAsia="Calibri" w:hAnsi="Calibri"/>
          <w:sz w:val="22"/>
          <w:szCs w:val="22"/>
          <w:lang w:eastAsia="en-US"/>
        </w:rPr>
        <w:t>As exportações brasileiras de produtos do agronegócio somaram US$ 39,82 bilhões entre janeiro e maio de 2019, valor 1,2% inferior ao registrado entre janeiro e maio de 2018 (US$ 40,32 bilhões). As importações do agronegócio, por sua vez, atingiram o montante de US$ 5,97 bilhões, o que representou retração de 0,4% em comparação ao mesmo período do ano anterior (US$ 5,99 bilhões). Dessa forma, o saldo da balança comercial do agronegócio nos primeiros cinco meses de 2019 totalizou US$ 33,85 bilhões (-1,4%).</w:t>
      </w:r>
    </w:p>
    <w:p w:rsidR="004E6308" w:rsidRDefault="004E6308" w:rsidP="003B632E">
      <w:pPr>
        <w:autoSpaceDE w:val="0"/>
        <w:autoSpaceDN w:val="0"/>
        <w:adjustRightInd w:val="0"/>
        <w:jc w:val="both"/>
        <w:rPr>
          <w:rFonts w:ascii="Arial" w:hAnsi="Arial" w:cs="Arial"/>
          <w:b/>
          <w:sz w:val="20"/>
          <w:szCs w:val="20"/>
        </w:rPr>
      </w:pPr>
    </w:p>
    <w:p w:rsidR="009113F8" w:rsidRDefault="009113F8" w:rsidP="009113F8">
      <w:pPr>
        <w:pStyle w:val="Ttulo5"/>
        <w:autoSpaceDE/>
        <w:autoSpaceDN/>
        <w:adjustRightInd/>
        <w:rPr>
          <w:rFonts w:ascii="Arial" w:hAnsi="Arial" w:cs="Arial"/>
          <w:sz w:val="20"/>
          <w:szCs w:val="20"/>
        </w:rPr>
      </w:pPr>
      <w:proofErr w:type="spellStart"/>
      <w:r w:rsidRPr="00826906">
        <w:rPr>
          <w:rFonts w:ascii="Arial" w:hAnsi="Arial" w:cs="Arial"/>
          <w:sz w:val="20"/>
          <w:szCs w:val="20"/>
        </w:rPr>
        <w:t>II.a</w:t>
      </w:r>
      <w:proofErr w:type="spellEnd"/>
      <w:r w:rsidRPr="00826906">
        <w:rPr>
          <w:rFonts w:ascii="Arial" w:hAnsi="Arial" w:cs="Arial"/>
          <w:sz w:val="20"/>
          <w:szCs w:val="20"/>
        </w:rPr>
        <w:t xml:space="preserve"> – Setores do Agronegócio</w:t>
      </w:r>
    </w:p>
    <w:p w:rsidR="0080332E" w:rsidRDefault="0080332E" w:rsidP="0080332E"/>
    <w:p w:rsidR="004E6308" w:rsidRPr="004E6308" w:rsidRDefault="004E6308" w:rsidP="004E6308">
      <w:pPr>
        <w:spacing w:after="160" w:line="259" w:lineRule="auto"/>
        <w:ind w:right="-1"/>
        <w:jc w:val="both"/>
        <w:rPr>
          <w:rFonts w:ascii="Calibri" w:eastAsia="Calibri" w:hAnsi="Calibri"/>
          <w:sz w:val="22"/>
          <w:szCs w:val="22"/>
          <w:lang w:eastAsia="en-US"/>
        </w:rPr>
      </w:pPr>
      <w:r w:rsidRPr="004E6308">
        <w:rPr>
          <w:rFonts w:ascii="Calibri" w:eastAsia="Calibri" w:hAnsi="Calibri"/>
          <w:sz w:val="22"/>
          <w:szCs w:val="22"/>
          <w:lang w:eastAsia="en-US"/>
        </w:rPr>
        <w:t xml:space="preserve">Os cinco principais setores exportadores do agronegócio brasileiro entre janeiro e maio de 2019 foram: complexo soja, com vendas de US$ 15,60 bilhões e participação de 39,2% do total exportado no período; produtos florestais, com US$ 6,15 bilhões e 15,4%; carnes, com US$ 6,10 bilhões e 15,3%; café, com exportações de US$ 2,20 bilhões e </w:t>
      </w:r>
      <w:r w:rsidRPr="004E6308">
        <w:rPr>
          <w:rFonts w:ascii="Calibri" w:eastAsia="Calibri" w:hAnsi="Calibri"/>
          <w:i/>
          <w:sz w:val="22"/>
          <w:szCs w:val="22"/>
          <w:lang w:eastAsia="en-US"/>
        </w:rPr>
        <w:t>market share</w:t>
      </w:r>
      <w:r w:rsidRPr="004E6308">
        <w:rPr>
          <w:rFonts w:ascii="Calibri" w:eastAsia="Calibri" w:hAnsi="Calibri"/>
          <w:sz w:val="22"/>
          <w:szCs w:val="22"/>
          <w:lang w:eastAsia="en-US"/>
        </w:rPr>
        <w:t xml:space="preserve"> de 5,5%; e complexo sucroalcooleiro, com vendas de US$ 2,14 bilhões e participação de 5,4%. Os cinco setores, em conjunto, representaram 80,8% das exportações do agronegócio em 2019. No mesmo período de 2018, as vendas externas dos mesmos cinco setores obtiveram uma participação de 83,2%, o que significa que ocorreu uma desconcentração da pauta exportadora brasileira no período.</w:t>
      </w:r>
    </w:p>
    <w:p w:rsidR="004E6308" w:rsidRPr="004E6308" w:rsidRDefault="004E6308" w:rsidP="004E6308">
      <w:pPr>
        <w:spacing w:after="160" w:line="259" w:lineRule="auto"/>
        <w:ind w:right="-1"/>
        <w:jc w:val="both"/>
        <w:rPr>
          <w:rFonts w:ascii="Calibri" w:eastAsia="Calibri" w:hAnsi="Calibri"/>
          <w:sz w:val="22"/>
          <w:szCs w:val="22"/>
          <w:lang w:eastAsia="en-US"/>
        </w:rPr>
      </w:pPr>
      <w:r w:rsidRPr="004E6308">
        <w:rPr>
          <w:rFonts w:ascii="Calibri" w:eastAsia="Calibri" w:hAnsi="Calibri"/>
          <w:sz w:val="22"/>
          <w:szCs w:val="22"/>
          <w:lang w:eastAsia="en-US"/>
        </w:rPr>
        <w:t>O complexo soja foi o principal setor exportador do agronegócio, em valor negociado, nos primeiros cinco meses de 2019, com a cifra de US$ 15,60 bilhões. Em comparação ao mesmo período do ano anterior, houve decréscimo de 0,1% na quantidade comercializada e retração de 10,2% na cotação média dos produtos do setor, o que causou a queda de 10,3% na receita auferida. O principal produto exportado entre janeiro e maio de 2019 foi a soja em grãos, com US$ 12,86 bilhões (-9,6%) e 36,27 milhões de toneladas comercializadas (+1,2%). As vendas externas do grão nesses primeiros cinco meses de 2019 representaram 82,4% das exportações do complexo soja e 32,3% do total exportado pelo Brasil em produtos do agronegócio. Em quantidade, as vendas são recorde para o período, mas, em valor, é a terceira maior cifra da série histórica, ficando atrás dos valores de 2018 (US$ 14,23 bilhões) e 2017 (US$ 13,31 bilhões). Completando os itens do setor, as exportações de farelo de soja atingiram a marca de US$ 2,40 bilhões no ano (-11,2%) e as de óleo de soja totalizaram US$ 334 milhões (-26,2%).</w:t>
      </w:r>
    </w:p>
    <w:p w:rsidR="004E6308" w:rsidRPr="004E6308" w:rsidRDefault="004E6308" w:rsidP="004E6308">
      <w:pPr>
        <w:spacing w:after="160" w:line="259" w:lineRule="auto"/>
        <w:ind w:right="-1"/>
        <w:jc w:val="both"/>
        <w:rPr>
          <w:rFonts w:ascii="Calibri" w:eastAsia="Calibri" w:hAnsi="Calibri"/>
          <w:sz w:val="22"/>
          <w:szCs w:val="22"/>
          <w:lang w:eastAsia="en-US"/>
        </w:rPr>
      </w:pPr>
      <w:r w:rsidRPr="004E6308">
        <w:rPr>
          <w:rFonts w:ascii="Calibri" w:eastAsia="Calibri" w:hAnsi="Calibri"/>
          <w:sz w:val="22"/>
          <w:szCs w:val="22"/>
          <w:lang w:eastAsia="en-US"/>
        </w:rPr>
        <w:lastRenderedPageBreak/>
        <w:t>Na segunda colocação entre os maiores setores exportadores do agronegócio brasileiro em 2019, os produtos florestais apresentaram vendas externas de US$ 6,15 bilhões (+6,9%). O principal produto exportado foi a celulose, com o montante recorde para o período de US$ 3,81 bilhões. O quantum comercializado nos primeiros cinco meses de 2019 também foi recorde, com 6,88 milhões de toneladas (+5,2%), e o preço médio do produto no período cresceu 3,4%, atingindo US$ 554 por tonelada. Em seguida destacaram-se as vendas de madeira e suas obras, com US$ 1,48 bilhão (+2,8%) e volume recorde de 3,22 milhões de toneladas (+12,0%). Completando o setor, as exportações de papel somaram US$ 851,63 milhões (+6,0%) para um total de 896,98 mil toneladas comercializadas.</w:t>
      </w:r>
    </w:p>
    <w:p w:rsidR="004E6308" w:rsidRPr="004E6308" w:rsidRDefault="004E6308" w:rsidP="004E6308">
      <w:pPr>
        <w:spacing w:after="160" w:line="259" w:lineRule="auto"/>
        <w:ind w:right="-1"/>
        <w:jc w:val="both"/>
        <w:rPr>
          <w:rFonts w:ascii="Calibri" w:eastAsia="Calibri" w:hAnsi="Calibri"/>
          <w:sz w:val="22"/>
          <w:szCs w:val="22"/>
          <w:lang w:eastAsia="en-US"/>
        </w:rPr>
      </w:pPr>
      <w:r w:rsidRPr="004E6308">
        <w:rPr>
          <w:rFonts w:ascii="Calibri" w:eastAsia="Calibri" w:hAnsi="Calibri"/>
          <w:sz w:val="22"/>
          <w:szCs w:val="22"/>
          <w:lang w:eastAsia="en-US"/>
        </w:rPr>
        <w:t>As exportações de carnes alcançaram o montante de US$ 6,10 bilhões entre janeiro e maio de 2019, colocando o setor na terceira posição entre os maiores exportadores do agronegócio brasileiro no ano. A principal mercadoria negociada foi a carne de frango, com a soma de US$ 2,76 bilhões (+10,8%) para um volume de 1,65 milhão de toneladas (+4,7%). Em seguida, destacaram-se as vendas de carne bovina, com a cifra de US$ 2,59 bilhões (+7,8%) e quantum comercializado de 692 mil toneladas, recorde da série histórica para os primeiros cinco meses do ano. Em relação a 2018, o incremento da quantidade negociada foi de quase 100 mil toneladas, com destaque para o crescimento das compras dos Emirados Árabes Unidos (+31,86 mil toneladas), da Rússia (+23,50 mil toneladas), China (+17,97 mil toneladas), Turquia (+13,54 mil toneladas) e Irã (+13,22 mil toneladas). As exportações de carne suína totalizaram US$ 562,20 milhões no período (+14,7%), com 281,62 mil toneladas vendidas (+16,5%), enquanto as exportações de carne de peru somaram US$ 25,56 milhões (-55,0 milhões) para um total de 12,73 mil toneladas embarcadas.</w:t>
      </w:r>
    </w:p>
    <w:p w:rsidR="004E6308" w:rsidRPr="004E6308" w:rsidRDefault="004E6308" w:rsidP="004E6308">
      <w:pPr>
        <w:spacing w:after="160" w:line="259" w:lineRule="auto"/>
        <w:ind w:right="-1"/>
        <w:jc w:val="both"/>
        <w:rPr>
          <w:rFonts w:ascii="Calibri" w:eastAsia="Calibri" w:hAnsi="Calibri"/>
          <w:sz w:val="22"/>
          <w:szCs w:val="22"/>
          <w:lang w:eastAsia="en-US"/>
        </w:rPr>
      </w:pPr>
      <w:r w:rsidRPr="004E6308">
        <w:rPr>
          <w:rFonts w:ascii="Calibri" w:eastAsia="Calibri" w:hAnsi="Calibri"/>
          <w:sz w:val="22"/>
          <w:szCs w:val="22"/>
          <w:lang w:eastAsia="en-US"/>
        </w:rPr>
        <w:t xml:space="preserve">Em quarto lugar, o setor cafeeiro registrou exportações de US$ 2,20 bilhões em 2019, o que significou elevação de 16,6% em relação ao US$ 1,88 bilhão exportado no mesmo período de 2018. No que se refere ao </w:t>
      </w:r>
      <w:r w:rsidRPr="004E6308">
        <w:rPr>
          <w:rFonts w:ascii="Calibri" w:eastAsia="Calibri" w:hAnsi="Calibri"/>
          <w:i/>
          <w:sz w:val="22"/>
          <w:szCs w:val="22"/>
          <w:lang w:eastAsia="en-US"/>
        </w:rPr>
        <w:t xml:space="preserve">quantum </w:t>
      </w:r>
      <w:r w:rsidRPr="004E6308">
        <w:rPr>
          <w:rFonts w:ascii="Calibri" w:eastAsia="Calibri" w:hAnsi="Calibri"/>
          <w:sz w:val="22"/>
          <w:szCs w:val="22"/>
          <w:lang w:eastAsia="en-US"/>
        </w:rPr>
        <w:t>comercializado, as 963,06 mil toneladas vendidas foram recorde para o período, ultrapassando em mais de 116 mil toneladas o recorde anterior, registrado em 2015 (846,76 mil toneladas). O principal produto negociado pelo setor foi o café verde, com US$ 1,96 bilhão ou 89,2% do total exportado pelo setor no período. Observou-se também recorde na quantidade negociada da mercadoria, com 923,49 mil toneladas (+46,3%). Já as exportações de café solúvel alcançaram a marca de US$ 216,63 milhões e 35,29 mil toneladas comercializadas.</w:t>
      </w:r>
    </w:p>
    <w:p w:rsidR="004E6308" w:rsidRPr="004E6308" w:rsidRDefault="004E6308" w:rsidP="004E6308">
      <w:pPr>
        <w:spacing w:after="160" w:line="259" w:lineRule="auto"/>
        <w:ind w:right="-1"/>
        <w:jc w:val="both"/>
        <w:rPr>
          <w:rFonts w:ascii="Calibri" w:eastAsia="Calibri" w:hAnsi="Calibri"/>
          <w:sz w:val="22"/>
          <w:szCs w:val="22"/>
          <w:lang w:eastAsia="en-US"/>
        </w:rPr>
      </w:pPr>
      <w:r w:rsidRPr="004E6308">
        <w:rPr>
          <w:rFonts w:ascii="Calibri" w:eastAsia="Calibri" w:hAnsi="Calibri"/>
          <w:sz w:val="22"/>
          <w:szCs w:val="22"/>
          <w:lang w:eastAsia="en-US"/>
        </w:rPr>
        <w:t>Completando os cinco principais setores do agronegócio brasileiro por valor exportado entre janeiro e maio de 2019, o complexo sucroalcooleiro obteve vendas externas de US$ 2,14 bilhões. A queda de 17,8% na quantidade comercializada e a retração de 10,0% no preço médio acarretaram na diminuição de 26,1% da receita obtida com as exportações. O principal item negociado pelo setor foi açúcar, que vem enfrentando uma conjuntura desafiadora no mercado internacional devido ao excesso de oferta global do produto e consequente retração de sua cotação. Dessa forma, o preço médio do açúcar brasileiro vendido no mercado externo recuou 11,7% no período, o que aliado à queda de 19,5% na quantidade vendida (6,35 milhões de toneladas), resultou no decréscimo de 28,9% no valor alcançado (US$ 1,87 bilhão), em comparação a janeiro e maio de 2018. Já as vendas externas de álcool atingiram a cifra de US$ 265,13 milhões (+3,9%), com volume comercializado de 411,99 mil toneladas (+24,6%).</w:t>
      </w:r>
    </w:p>
    <w:p w:rsidR="004E6308" w:rsidRPr="004E6308" w:rsidRDefault="004E6308" w:rsidP="004E6308">
      <w:pPr>
        <w:spacing w:after="160" w:line="259" w:lineRule="auto"/>
        <w:ind w:right="-1"/>
        <w:jc w:val="both"/>
        <w:rPr>
          <w:rFonts w:ascii="Calibri" w:eastAsia="Calibri" w:hAnsi="Calibri"/>
          <w:sz w:val="22"/>
          <w:szCs w:val="22"/>
          <w:lang w:eastAsia="en-US"/>
        </w:rPr>
      </w:pPr>
      <w:r w:rsidRPr="004E6308">
        <w:rPr>
          <w:rFonts w:ascii="Calibri" w:eastAsia="Calibri" w:hAnsi="Calibri"/>
          <w:sz w:val="22"/>
          <w:szCs w:val="22"/>
          <w:lang w:eastAsia="en-US"/>
        </w:rPr>
        <w:t>No que se refere às importações de produtos do agronegócio, alcançou-se a soma de US$ 5,97 bilhões entre janeiro e maio de 2019. Os principais produtos adquiridos no período foram: trigo (US$ 677,01 milhões e +34,2%); papel (US$ 362,76 milhões e -2,9%); álcool etílico (US$ 327,48 milhões e -32,8%); vestuário e outros produtos têxteis de algodão (US$ 247,23 milhões e -5,3%); salmões frescos ou refrigerados (US$ 231,45 milhões e +9,1%); malte (US$ 209,08 milhões e +36,9); azeite de oliva (US$ 184,55 milhões e -9,1%); outros filés de peixe congelados (US$ 138,14 milhões e +9,5%); batatas preparadas ou conservadas (US$ 134,52 milhões e -2,4%); e vinho (US$ 131,93 milhões e +0,2%).</w:t>
      </w:r>
    </w:p>
    <w:p w:rsidR="006E2025" w:rsidRDefault="006E2025" w:rsidP="00A033F9"/>
    <w:p w:rsidR="006E2025" w:rsidRDefault="00DA71E8" w:rsidP="00A033F9">
      <w:r w:rsidRPr="00DA71E8">
        <w:lastRenderedPageBreak/>
        <w:drawing>
          <wp:inline distT="0" distB="0" distL="0" distR="0" wp14:anchorId="74C85AA1" wp14:editId="630DAFFD">
            <wp:extent cx="6480175" cy="3859530"/>
            <wp:effectExtent l="0" t="0" r="0" b="762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0175" cy="3859530"/>
                    </a:xfrm>
                    <a:prstGeom prst="rect">
                      <a:avLst/>
                    </a:prstGeom>
                  </pic:spPr>
                </pic:pic>
              </a:graphicData>
            </a:graphic>
          </wp:inline>
        </w:drawing>
      </w:r>
    </w:p>
    <w:p w:rsidR="009113F8" w:rsidRDefault="009113F8" w:rsidP="003B632E">
      <w:pPr>
        <w:autoSpaceDE w:val="0"/>
        <w:autoSpaceDN w:val="0"/>
        <w:adjustRightInd w:val="0"/>
        <w:jc w:val="both"/>
        <w:rPr>
          <w:rFonts w:ascii="Arial" w:hAnsi="Arial" w:cs="Arial"/>
          <w:b/>
          <w:sz w:val="20"/>
          <w:szCs w:val="20"/>
        </w:rPr>
      </w:pPr>
    </w:p>
    <w:p w:rsidR="009113F8" w:rsidRDefault="009113F8" w:rsidP="009113F8">
      <w:pPr>
        <w:pStyle w:val="Ttulo5"/>
        <w:autoSpaceDE/>
        <w:autoSpaceDN/>
        <w:adjustRightInd/>
        <w:rPr>
          <w:rFonts w:ascii="Arial" w:hAnsi="Arial" w:cs="Arial"/>
          <w:sz w:val="20"/>
          <w:szCs w:val="20"/>
        </w:rPr>
      </w:pPr>
      <w:proofErr w:type="spellStart"/>
      <w:r w:rsidRPr="00826906">
        <w:rPr>
          <w:rFonts w:ascii="Arial" w:hAnsi="Arial" w:cs="Arial"/>
          <w:sz w:val="20"/>
          <w:szCs w:val="20"/>
        </w:rPr>
        <w:t>II.b</w:t>
      </w:r>
      <w:proofErr w:type="spellEnd"/>
      <w:r w:rsidRPr="00826906">
        <w:rPr>
          <w:rFonts w:ascii="Arial" w:hAnsi="Arial" w:cs="Arial"/>
          <w:sz w:val="20"/>
          <w:szCs w:val="20"/>
        </w:rPr>
        <w:t xml:space="preserve"> – Blocos Econômicos e Regiões Geográficas</w:t>
      </w:r>
    </w:p>
    <w:p w:rsidR="0080332E" w:rsidRDefault="0080332E" w:rsidP="0080332E"/>
    <w:p w:rsidR="004E6308" w:rsidRPr="004E6308" w:rsidRDefault="004E6308" w:rsidP="004E6308">
      <w:pPr>
        <w:spacing w:after="160" w:line="259" w:lineRule="auto"/>
        <w:ind w:right="-1"/>
        <w:jc w:val="both"/>
        <w:rPr>
          <w:rFonts w:ascii="Calibri" w:eastAsia="Calibri" w:hAnsi="Calibri"/>
          <w:sz w:val="22"/>
          <w:szCs w:val="22"/>
          <w:lang w:eastAsia="en-US"/>
        </w:rPr>
      </w:pPr>
      <w:r w:rsidRPr="004E6308">
        <w:rPr>
          <w:rFonts w:ascii="Calibri" w:eastAsia="Calibri" w:hAnsi="Calibri"/>
          <w:sz w:val="22"/>
          <w:szCs w:val="22"/>
          <w:lang w:eastAsia="en-US"/>
        </w:rPr>
        <w:t>No âmbito das exportações brasileiras do agronegócio por blocos econômicos e regiões geográficas, o principal destino continua sendo a Ásia, com o valor de US$ 19,45 bilhões, o que representou decréscimo de 3,9% em comparação aos US$ 20,25 bilhões registrados entre janeiro e maio de 2018. Com essa queda, observou-se perda de participação do continente asiático nas exportações agropecuárias brasileiras, que caiu de 50,2% para os atuais 48,8%. Os principais produtos responsáveis pela diminuição do valor exportado no período foram: soja em grãos (-US$ 1,47 bilhão); farelo de soja (-US$ 401,45 milhões); açúcar de cana em bruto (-US$ 165,39 milhões); e óleo de soja em bruto (-US$ 148,41 milhões).</w:t>
      </w:r>
    </w:p>
    <w:p w:rsidR="004E6308" w:rsidRPr="004E6308" w:rsidRDefault="004E6308" w:rsidP="004E6308">
      <w:pPr>
        <w:spacing w:after="160" w:line="259" w:lineRule="auto"/>
        <w:ind w:right="-1"/>
        <w:jc w:val="both"/>
        <w:rPr>
          <w:rFonts w:ascii="Calibri" w:eastAsia="Calibri" w:hAnsi="Calibri"/>
          <w:sz w:val="22"/>
          <w:szCs w:val="22"/>
          <w:lang w:eastAsia="en-US"/>
        </w:rPr>
      </w:pPr>
      <w:r w:rsidRPr="004E6308">
        <w:rPr>
          <w:rFonts w:ascii="Calibri" w:eastAsia="Calibri" w:hAnsi="Calibri"/>
          <w:sz w:val="22"/>
          <w:szCs w:val="22"/>
          <w:lang w:eastAsia="en-US"/>
        </w:rPr>
        <w:t xml:space="preserve">O segundo principal destino das exportações do agronegócio entre janeiro e maio de 2019 foi a União Europeia, com a cifra de US$ 7,24 bilhões. Em relação aos US$ 7,31 bilhões exportados no mesmo período de 2018, houve retração de 0,9%. Apesar disso, verificou-se pequeno ganho de </w:t>
      </w:r>
      <w:r w:rsidRPr="004E6308">
        <w:rPr>
          <w:rFonts w:ascii="Calibri" w:eastAsia="Calibri" w:hAnsi="Calibri"/>
          <w:i/>
          <w:sz w:val="22"/>
          <w:szCs w:val="22"/>
          <w:lang w:eastAsia="en-US"/>
        </w:rPr>
        <w:t>market share</w:t>
      </w:r>
      <w:r w:rsidRPr="004E6308">
        <w:rPr>
          <w:rFonts w:ascii="Calibri" w:eastAsia="Calibri" w:hAnsi="Calibri"/>
          <w:sz w:val="22"/>
          <w:szCs w:val="22"/>
          <w:lang w:eastAsia="en-US"/>
        </w:rPr>
        <w:t xml:space="preserve"> do bloco, uma vez que o desempenho ficou acima da média geral do período (-1,2%).</w:t>
      </w:r>
    </w:p>
    <w:p w:rsidR="004E6308" w:rsidRPr="004E6308" w:rsidRDefault="004E6308" w:rsidP="004E6308">
      <w:pPr>
        <w:spacing w:after="160" w:line="259" w:lineRule="auto"/>
        <w:ind w:right="-1"/>
        <w:jc w:val="both"/>
        <w:rPr>
          <w:rFonts w:ascii="Calibri" w:eastAsia="Calibri" w:hAnsi="Calibri"/>
          <w:sz w:val="22"/>
          <w:szCs w:val="22"/>
          <w:lang w:eastAsia="en-US"/>
        </w:rPr>
      </w:pPr>
      <w:r w:rsidRPr="004E6308">
        <w:rPr>
          <w:rFonts w:ascii="Calibri" w:eastAsia="Calibri" w:hAnsi="Calibri"/>
          <w:sz w:val="22"/>
          <w:szCs w:val="22"/>
          <w:lang w:eastAsia="en-US"/>
        </w:rPr>
        <w:t>No que se refere à participação, o destaque desses primeiros cinco meses de 2019 ficou com o Oriente Médio. As exportações brasileiras para a região cresceram 20,7% entre janeiro e maio de 2019 e janeiro e maio de 2018, totalizando US$ 3,36 bilhões. Em consequência, o market share da região cresceu 1,5 ponto percentual no período, passando de 6,9% para 8,4%. Os principais produtos responsáveis por tal crescimento foram: carne bovina in natura (+US$ 164,16 milhões); carne de frango in natura (+US$ 117,82 milhões); farelo de soja (+US$ 110,98 milhões); e soja em grãos (+US$ 104,31 milhões).</w:t>
      </w:r>
    </w:p>
    <w:p w:rsidR="004E6308" w:rsidRDefault="004E6308" w:rsidP="0080332E"/>
    <w:p w:rsidR="009113F8" w:rsidRDefault="009113F8" w:rsidP="003B632E">
      <w:pPr>
        <w:autoSpaceDE w:val="0"/>
        <w:autoSpaceDN w:val="0"/>
        <w:adjustRightInd w:val="0"/>
        <w:jc w:val="both"/>
        <w:rPr>
          <w:rFonts w:ascii="Arial" w:hAnsi="Arial" w:cs="Arial"/>
          <w:b/>
          <w:sz w:val="20"/>
          <w:szCs w:val="20"/>
        </w:rPr>
      </w:pPr>
    </w:p>
    <w:p w:rsidR="00885F8A" w:rsidRPr="00912067" w:rsidRDefault="00DA71E8" w:rsidP="00912067">
      <w:pPr>
        <w:jc w:val="both"/>
      </w:pPr>
      <w:r w:rsidRPr="00DA71E8">
        <w:lastRenderedPageBreak/>
        <w:drawing>
          <wp:inline distT="0" distB="0" distL="0" distR="0" wp14:anchorId="6E070FE2" wp14:editId="54A43C65">
            <wp:extent cx="6480175" cy="235140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175" cy="2351405"/>
                    </a:xfrm>
                    <a:prstGeom prst="rect">
                      <a:avLst/>
                    </a:prstGeom>
                  </pic:spPr>
                </pic:pic>
              </a:graphicData>
            </a:graphic>
          </wp:inline>
        </w:drawing>
      </w:r>
    </w:p>
    <w:p w:rsidR="00A033F9" w:rsidRPr="00912067" w:rsidRDefault="00A033F9" w:rsidP="00912067">
      <w:pPr>
        <w:jc w:val="both"/>
      </w:pPr>
    </w:p>
    <w:p w:rsidR="009113F8" w:rsidRDefault="009113F8" w:rsidP="00912067">
      <w:pPr>
        <w:jc w:val="both"/>
        <w:rPr>
          <w:rFonts w:ascii="Arial" w:hAnsi="Arial" w:cs="Arial"/>
          <w:b/>
          <w:sz w:val="20"/>
          <w:szCs w:val="20"/>
        </w:rPr>
      </w:pPr>
      <w:proofErr w:type="spellStart"/>
      <w:r w:rsidRPr="006C7903">
        <w:rPr>
          <w:rFonts w:ascii="Arial" w:hAnsi="Arial" w:cs="Arial"/>
          <w:b/>
          <w:sz w:val="20"/>
          <w:szCs w:val="20"/>
        </w:rPr>
        <w:t>II.c</w:t>
      </w:r>
      <w:proofErr w:type="spellEnd"/>
      <w:r w:rsidRPr="006C7903">
        <w:rPr>
          <w:rFonts w:ascii="Arial" w:hAnsi="Arial" w:cs="Arial"/>
          <w:b/>
          <w:sz w:val="20"/>
          <w:szCs w:val="20"/>
        </w:rPr>
        <w:t xml:space="preserve"> – Países</w:t>
      </w:r>
    </w:p>
    <w:p w:rsidR="006E2025" w:rsidRDefault="006E2025" w:rsidP="00912067">
      <w:pPr>
        <w:jc w:val="both"/>
        <w:rPr>
          <w:rFonts w:ascii="Arial" w:hAnsi="Arial" w:cs="Arial"/>
          <w:b/>
          <w:sz w:val="20"/>
          <w:szCs w:val="20"/>
        </w:rPr>
      </w:pPr>
    </w:p>
    <w:p w:rsidR="004E6308" w:rsidRPr="004E6308" w:rsidRDefault="004E6308" w:rsidP="004E6308">
      <w:pPr>
        <w:spacing w:after="160" w:line="259" w:lineRule="auto"/>
        <w:ind w:right="-1"/>
        <w:jc w:val="both"/>
        <w:rPr>
          <w:rFonts w:ascii="Calibri" w:eastAsia="Calibri" w:hAnsi="Calibri"/>
          <w:sz w:val="22"/>
          <w:szCs w:val="22"/>
          <w:lang w:eastAsia="en-US"/>
        </w:rPr>
      </w:pPr>
      <w:r w:rsidRPr="004E6308">
        <w:rPr>
          <w:rFonts w:ascii="Calibri" w:eastAsia="Calibri" w:hAnsi="Calibri"/>
          <w:sz w:val="22"/>
          <w:szCs w:val="22"/>
          <w:lang w:eastAsia="en-US"/>
        </w:rPr>
        <w:t>No que tange às exportações do agronegócio por países de destino, a China permanece como principal parceiro comercial brasileiro, com vendas de US$ 13,06 bilhões. Em relação a janeiro e maio de 2018, verificou-se recuo de 6,6% no valor comercializado, o que resultou em perda de participação do país asiático nas exportações do agronegócio brasileiro, de 34,7% para 32,8%. A principal causa desse comportamento foi a queda das exportações de soja em grãos, que passaram de US$ 11,03 bilhões entre janeiro e maio de 2018 para US$ 9,35 bilhões entre janeiro e maio de 2019 (-US$ 1,68 bilhão). Vale notar que, além da diminuição de quase 1,4 milhão de toneladas nos embarques para o mercado chinês, o preço médio do produto brasileiro também foi afetado, caindo de US$ 398 por tonelada para US$ 355 por tonelada (-10,7%).</w:t>
      </w:r>
    </w:p>
    <w:p w:rsidR="004E6308" w:rsidRPr="004E6308" w:rsidRDefault="004E6308" w:rsidP="004E6308">
      <w:pPr>
        <w:spacing w:after="160" w:line="259" w:lineRule="auto"/>
        <w:ind w:right="-1"/>
        <w:jc w:val="both"/>
        <w:rPr>
          <w:rFonts w:ascii="Calibri" w:eastAsia="Calibri" w:hAnsi="Calibri"/>
          <w:sz w:val="22"/>
          <w:szCs w:val="22"/>
          <w:lang w:eastAsia="en-US"/>
        </w:rPr>
      </w:pPr>
      <w:r w:rsidRPr="004E6308">
        <w:rPr>
          <w:rFonts w:ascii="Calibri" w:eastAsia="Calibri" w:hAnsi="Calibri"/>
          <w:sz w:val="22"/>
          <w:szCs w:val="22"/>
          <w:lang w:eastAsia="en-US"/>
        </w:rPr>
        <w:t>Dentre os principais destinos dos produtos do agronegócio brasileiro em 2019, o que apresentou maior ganho de participação no período foi o Irã, com vendas externas de US$ 1,10 bilhão e incremento de 32,1% em comparação aos valores de janeiro a maio de 2018 (US$ 835,39 milhões). Tal crescimento permitiu que o país aumentasse seu market share em 0,7 ponto percentual, subindo de 2,1% para 2,8%. Os produtos que tiveram maior influência nesse resultado foram: farelo de soja (+US$ 115,28 milhões); soja em grãos (+US$ 73,41 milhões); açúcar de cana em bruto (+US$ 54,76 milhões); e carne bovina in natura (+US$ 29,10 milhões).</w:t>
      </w:r>
    </w:p>
    <w:p w:rsidR="004E6308" w:rsidRPr="004E6308" w:rsidRDefault="004E6308" w:rsidP="004E6308">
      <w:pPr>
        <w:spacing w:after="160" w:line="259" w:lineRule="auto"/>
        <w:ind w:right="-1"/>
        <w:jc w:val="both"/>
        <w:rPr>
          <w:rFonts w:ascii="Calibri" w:eastAsia="Calibri" w:hAnsi="Calibri"/>
          <w:sz w:val="22"/>
          <w:szCs w:val="22"/>
          <w:lang w:eastAsia="en-US"/>
        </w:rPr>
      </w:pPr>
      <w:r w:rsidRPr="004E6308">
        <w:rPr>
          <w:rFonts w:ascii="Calibri" w:eastAsia="Calibri" w:hAnsi="Calibri"/>
          <w:sz w:val="22"/>
          <w:szCs w:val="22"/>
          <w:lang w:eastAsia="en-US"/>
        </w:rPr>
        <w:t>Os Estado Unidos aparecem em seguida entre os países com maior ganho de participação no período analisado. Segundo principal destino das exportações brasileiras agropecuárias em 2019, com US$ 2,95 bilhões, verificou-se incremento de 7,1% em relação ao mesmo período do ano anterior, o que resultou no aumento de participação de 6,8 para 7,4%. Os produtos que se destacaram foram: celulose (+US$ 113,90 milhões); café verde (+US$ 91,03 milhões); e papel (+US$ 46,06 milhões).</w:t>
      </w:r>
    </w:p>
    <w:p w:rsidR="004E6308" w:rsidRPr="004E6308" w:rsidRDefault="004E6308" w:rsidP="004E6308">
      <w:pPr>
        <w:spacing w:after="160" w:line="259" w:lineRule="auto"/>
        <w:ind w:right="-1"/>
        <w:jc w:val="both"/>
        <w:rPr>
          <w:rFonts w:ascii="Calibri" w:eastAsia="Calibri" w:hAnsi="Calibri"/>
          <w:sz w:val="22"/>
          <w:szCs w:val="22"/>
          <w:lang w:eastAsia="en-US"/>
        </w:rPr>
      </w:pPr>
      <w:r w:rsidRPr="004E6308">
        <w:rPr>
          <w:rFonts w:ascii="Calibri" w:eastAsia="Calibri" w:hAnsi="Calibri"/>
          <w:sz w:val="22"/>
          <w:szCs w:val="22"/>
          <w:lang w:eastAsia="en-US"/>
        </w:rPr>
        <w:t>Com elevação de 40,8% nas aquisições de produtos do agronegócio brasileiro entre janeiro e maio de 2019 (US$ 706,21 milhões), o Vietnã aumentou o seu market share de 1,2% para 1,8%. Tal expansão foi possível por meio do aumento das exportações de milho (+US$ 169,83 milhões), soja em grãos (+US$ 118,57 milhões) e algodão não cardado nem penteado (+US$ 31,84 milhões).</w:t>
      </w:r>
    </w:p>
    <w:p w:rsidR="004E6308" w:rsidRPr="004E6308" w:rsidRDefault="004E6308" w:rsidP="004E6308">
      <w:pPr>
        <w:spacing w:after="160" w:line="259" w:lineRule="auto"/>
        <w:ind w:right="-1"/>
        <w:jc w:val="both"/>
        <w:rPr>
          <w:rFonts w:ascii="Calibri" w:eastAsia="Calibri" w:hAnsi="Calibri"/>
          <w:sz w:val="22"/>
          <w:szCs w:val="22"/>
          <w:lang w:eastAsia="en-US"/>
        </w:rPr>
      </w:pPr>
      <w:r w:rsidRPr="004E6308">
        <w:rPr>
          <w:rFonts w:ascii="Calibri" w:eastAsia="Calibri" w:hAnsi="Calibri"/>
          <w:sz w:val="22"/>
          <w:szCs w:val="22"/>
          <w:lang w:eastAsia="en-US"/>
        </w:rPr>
        <w:t>Finalizando os destaques do ano no que tange ao crescimento da participação nas exportações do agronegócio brasileiro, Bangladesh registrou aquisições de US$ 578,64 milhões no período, com expansão de 55,1% e market share de 1,5% (+ 0,6 ponto percentual). Os produtos que mais influenciaram nesse desempenho foram: soja em grãos (+US$ 125,52 milhões); algodão não cardado nem penteado (+US$ 68,18 milhões); e açúcar de cana em bruto (+US$ 14,54 milhões).</w:t>
      </w:r>
    </w:p>
    <w:p w:rsidR="004E6308" w:rsidRDefault="004E6308" w:rsidP="00912067">
      <w:pPr>
        <w:jc w:val="both"/>
        <w:rPr>
          <w:rFonts w:ascii="Arial" w:hAnsi="Arial" w:cs="Arial"/>
          <w:b/>
          <w:sz w:val="20"/>
          <w:szCs w:val="20"/>
        </w:rPr>
      </w:pPr>
    </w:p>
    <w:p w:rsidR="0080332E" w:rsidRDefault="0080332E" w:rsidP="00912067">
      <w:pPr>
        <w:jc w:val="both"/>
        <w:rPr>
          <w:rFonts w:ascii="Arial" w:hAnsi="Arial" w:cs="Arial"/>
          <w:b/>
          <w:sz w:val="20"/>
          <w:szCs w:val="20"/>
        </w:rPr>
      </w:pPr>
    </w:p>
    <w:p w:rsidR="006E2025" w:rsidRPr="006C7903" w:rsidRDefault="00DA71E8" w:rsidP="00912067">
      <w:pPr>
        <w:jc w:val="both"/>
        <w:rPr>
          <w:rFonts w:ascii="Arial" w:hAnsi="Arial" w:cs="Arial"/>
          <w:b/>
          <w:sz w:val="20"/>
          <w:szCs w:val="20"/>
        </w:rPr>
      </w:pPr>
      <w:r w:rsidRPr="00DA71E8">
        <w:lastRenderedPageBreak/>
        <w:drawing>
          <wp:inline distT="0" distB="0" distL="0" distR="0" wp14:anchorId="0BDDEABF" wp14:editId="3B8AE6AF">
            <wp:extent cx="6480175" cy="3884930"/>
            <wp:effectExtent l="0" t="0" r="0" b="127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80175" cy="3884930"/>
                    </a:xfrm>
                    <a:prstGeom prst="rect">
                      <a:avLst/>
                    </a:prstGeom>
                  </pic:spPr>
                </pic:pic>
              </a:graphicData>
            </a:graphic>
          </wp:inline>
        </w:drawing>
      </w:r>
    </w:p>
    <w:p w:rsidR="00913192" w:rsidRDefault="00913192" w:rsidP="003B632E">
      <w:pPr>
        <w:autoSpaceDE w:val="0"/>
        <w:autoSpaceDN w:val="0"/>
        <w:adjustRightInd w:val="0"/>
        <w:jc w:val="both"/>
        <w:rPr>
          <w:rFonts w:ascii="Arial" w:hAnsi="Arial" w:cs="Arial"/>
          <w:b/>
          <w:sz w:val="20"/>
          <w:szCs w:val="20"/>
        </w:rPr>
      </w:pPr>
    </w:p>
    <w:p w:rsidR="00DA71E8" w:rsidRDefault="00DA71E8" w:rsidP="003B632E">
      <w:pPr>
        <w:autoSpaceDE w:val="0"/>
        <w:autoSpaceDN w:val="0"/>
        <w:adjustRightInd w:val="0"/>
        <w:jc w:val="both"/>
        <w:rPr>
          <w:rFonts w:ascii="Arial" w:hAnsi="Arial" w:cs="Arial"/>
          <w:b/>
          <w:sz w:val="20"/>
          <w:szCs w:val="20"/>
        </w:rPr>
      </w:pPr>
    </w:p>
    <w:p w:rsidR="003B632E" w:rsidRDefault="003B632E" w:rsidP="003B632E">
      <w:pPr>
        <w:autoSpaceDE w:val="0"/>
        <w:autoSpaceDN w:val="0"/>
        <w:adjustRightInd w:val="0"/>
        <w:jc w:val="both"/>
        <w:rPr>
          <w:rFonts w:ascii="Arial" w:hAnsi="Arial" w:cs="Arial"/>
          <w:b/>
          <w:sz w:val="20"/>
          <w:szCs w:val="20"/>
        </w:rPr>
      </w:pPr>
      <w:r w:rsidRPr="00826906">
        <w:rPr>
          <w:rFonts w:ascii="Arial" w:hAnsi="Arial" w:cs="Arial"/>
          <w:b/>
          <w:sz w:val="20"/>
          <w:szCs w:val="20"/>
        </w:rPr>
        <w:t>II</w:t>
      </w:r>
      <w:r w:rsidR="009113F8">
        <w:rPr>
          <w:rFonts w:ascii="Arial" w:hAnsi="Arial" w:cs="Arial"/>
          <w:b/>
          <w:sz w:val="20"/>
          <w:szCs w:val="20"/>
        </w:rPr>
        <w:t>I</w:t>
      </w:r>
      <w:r w:rsidRPr="00826906">
        <w:rPr>
          <w:rFonts w:ascii="Arial" w:hAnsi="Arial" w:cs="Arial"/>
          <w:b/>
          <w:sz w:val="20"/>
          <w:szCs w:val="20"/>
        </w:rPr>
        <w:t xml:space="preserve"> – Resultados do</w:t>
      </w:r>
      <w:r w:rsidR="00902F2D">
        <w:rPr>
          <w:rFonts w:ascii="Arial" w:hAnsi="Arial" w:cs="Arial"/>
          <w:b/>
          <w:sz w:val="20"/>
          <w:szCs w:val="20"/>
        </w:rPr>
        <w:t>s</w:t>
      </w:r>
      <w:r w:rsidRPr="00826906">
        <w:rPr>
          <w:rFonts w:ascii="Arial" w:hAnsi="Arial" w:cs="Arial"/>
          <w:b/>
          <w:sz w:val="20"/>
          <w:szCs w:val="20"/>
        </w:rPr>
        <w:t xml:space="preserve"> </w:t>
      </w:r>
      <w:r w:rsidR="00902F2D">
        <w:rPr>
          <w:rFonts w:ascii="Arial" w:hAnsi="Arial" w:cs="Arial"/>
          <w:b/>
          <w:sz w:val="20"/>
          <w:szCs w:val="20"/>
        </w:rPr>
        <w:t>Últimos Doze Meses</w:t>
      </w:r>
      <w:r w:rsidRPr="00826906">
        <w:rPr>
          <w:rFonts w:ascii="Arial" w:hAnsi="Arial" w:cs="Arial"/>
          <w:b/>
          <w:sz w:val="20"/>
          <w:szCs w:val="20"/>
        </w:rPr>
        <w:t xml:space="preserve"> (comparativo </w:t>
      </w:r>
      <w:proofErr w:type="gramStart"/>
      <w:r w:rsidR="00DA71E8">
        <w:rPr>
          <w:rFonts w:ascii="Arial" w:hAnsi="Arial" w:cs="Arial"/>
          <w:b/>
          <w:sz w:val="20"/>
          <w:szCs w:val="20"/>
        </w:rPr>
        <w:t>Junho</w:t>
      </w:r>
      <w:proofErr w:type="gramEnd"/>
      <w:r w:rsidR="00DA71E8">
        <w:rPr>
          <w:rFonts w:ascii="Arial" w:hAnsi="Arial" w:cs="Arial"/>
          <w:b/>
          <w:sz w:val="20"/>
          <w:szCs w:val="20"/>
        </w:rPr>
        <w:t xml:space="preserve"> de 2018 a Maio de 2019</w:t>
      </w:r>
      <w:r w:rsidRPr="00826906">
        <w:rPr>
          <w:rFonts w:ascii="Arial" w:hAnsi="Arial" w:cs="Arial"/>
          <w:b/>
          <w:sz w:val="20"/>
          <w:szCs w:val="20"/>
        </w:rPr>
        <w:t xml:space="preserve"> – </w:t>
      </w:r>
      <w:r w:rsidR="00DA71E8">
        <w:rPr>
          <w:rFonts w:ascii="Arial" w:hAnsi="Arial" w:cs="Arial"/>
          <w:b/>
          <w:sz w:val="20"/>
          <w:szCs w:val="20"/>
        </w:rPr>
        <w:t>Junho de 2017 a Maio de 2018</w:t>
      </w:r>
      <w:r w:rsidRPr="00826906">
        <w:rPr>
          <w:rFonts w:ascii="Arial" w:hAnsi="Arial" w:cs="Arial"/>
          <w:b/>
          <w:sz w:val="20"/>
          <w:szCs w:val="20"/>
        </w:rPr>
        <w:t>)</w:t>
      </w:r>
    </w:p>
    <w:p w:rsidR="006E2025" w:rsidRDefault="006E2025" w:rsidP="003B632E">
      <w:pPr>
        <w:autoSpaceDE w:val="0"/>
        <w:autoSpaceDN w:val="0"/>
        <w:adjustRightInd w:val="0"/>
        <w:jc w:val="both"/>
        <w:rPr>
          <w:rFonts w:ascii="Arial" w:hAnsi="Arial" w:cs="Arial"/>
          <w:b/>
          <w:sz w:val="20"/>
          <w:szCs w:val="20"/>
        </w:rPr>
      </w:pPr>
    </w:p>
    <w:p w:rsidR="00FE5DAD" w:rsidRPr="00FE5DAD" w:rsidRDefault="00FE5DAD" w:rsidP="00FE5DAD">
      <w:pPr>
        <w:spacing w:after="160" w:line="259" w:lineRule="auto"/>
        <w:rPr>
          <w:rFonts w:ascii="Calibri" w:eastAsia="Calibri" w:hAnsi="Calibri"/>
          <w:sz w:val="22"/>
          <w:szCs w:val="22"/>
          <w:lang w:eastAsia="en-US"/>
        </w:rPr>
      </w:pPr>
      <w:r w:rsidRPr="00FE5DAD">
        <w:rPr>
          <w:rFonts w:ascii="Calibri" w:eastAsia="Calibri" w:hAnsi="Calibri"/>
          <w:sz w:val="22"/>
          <w:szCs w:val="22"/>
          <w:lang w:eastAsia="en-US"/>
        </w:rPr>
        <w:t>No acumulado em doze meses, de junho de 2018 a maio de 2019, as exportações brasileiras do agronegócio apresentaram 3,3% de alta em relação ao mesmo período de 2017 e 2018 – 42,2% do valor total das exportações brasileiras, atingindo US$ 100,67 bilhões. A alta foi justificada pelo forte desempenho das exportações brasileiras do agronegócio a partir de setembro de 2018, em virtude das exportações de soja em grãos que apresentaram evolução de 74,5% em valor, entre setembro e dezembro de 2018 relativo ao mesmo período de 2017, justificados pela guerra comercial entre Estados Unidos e China, que favoreceu às exportações do grão brasileiro ao país asiático.</w:t>
      </w:r>
    </w:p>
    <w:p w:rsidR="004E6308" w:rsidRPr="004E6308" w:rsidRDefault="004E6308" w:rsidP="004E6308"/>
    <w:p w:rsidR="003B632E" w:rsidRDefault="003B632E" w:rsidP="003B632E">
      <w:pPr>
        <w:pStyle w:val="Ttulo5"/>
        <w:autoSpaceDE/>
        <w:autoSpaceDN/>
        <w:adjustRightInd/>
        <w:rPr>
          <w:rFonts w:ascii="Arial" w:hAnsi="Arial" w:cs="Arial"/>
          <w:sz w:val="20"/>
          <w:szCs w:val="20"/>
        </w:rPr>
      </w:pPr>
      <w:proofErr w:type="spellStart"/>
      <w:r w:rsidRPr="00826906">
        <w:rPr>
          <w:rFonts w:ascii="Arial" w:hAnsi="Arial" w:cs="Arial"/>
          <w:sz w:val="20"/>
          <w:szCs w:val="20"/>
        </w:rPr>
        <w:t>II</w:t>
      </w:r>
      <w:r w:rsidR="009113F8">
        <w:rPr>
          <w:rFonts w:ascii="Arial" w:hAnsi="Arial" w:cs="Arial"/>
          <w:sz w:val="20"/>
          <w:szCs w:val="20"/>
        </w:rPr>
        <w:t>I</w:t>
      </w:r>
      <w:r w:rsidRPr="00826906">
        <w:rPr>
          <w:rFonts w:ascii="Arial" w:hAnsi="Arial" w:cs="Arial"/>
          <w:sz w:val="20"/>
          <w:szCs w:val="20"/>
        </w:rPr>
        <w:t>.a</w:t>
      </w:r>
      <w:proofErr w:type="spellEnd"/>
      <w:r w:rsidRPr="00826906">
        <w:rPr>
          <w:rFonts w:ascii="Arial" w:hAnsi="Arial" w:cs="Arial"/>
          <w:sz w:val="20"/>
          <w:szCs w:val="20"/>
        </w:rPr>
        <w:t xml:space="preserve"> – Setores do Agronegócio</w:t>
      </w:r>
    </w:p>
    <w:p w:rsidR="006E2025" w:rsidRDefault="006E2025" w:rsidP="006E2025"/>
    <w:p w:rsidR="0040441D" w:rsidRPr="0040441D" w:rsidRDefault="0040441D" w:rsidP="0040441D">
      <w:pPr>
        <w:spacing w:after="160" w:line="259" w:lineRule="auto"/>
        <w:jc w:val="both"/>
        <w:rPr>
          <w:rFonts w:ascii="Calibri" w:eastAsia="Calibri" w:hAnsi="Calibri"/>
          <w:sz w:val="22"/>
          <w:szCs w:val="22"/>
          <w:lang w:eastAsia="en-US"/>
        </w:rPr>
      </w:pPr>
      <w:r w:rsidRPr="0040441D">
        <w:rPr>
          <w:rFonts w:ascii="Calibri" w:eastAsia="Calibri" w:hAnsi="Calibri"/>
          <w:sz w:val="22"/>
          <w:szCs w:val="22"/>
          <w:lang w:eastAsia="en-US"/>
        </w:rPr>
        <w:t>O complexo soja apresentou forte desempenho no período, US$ 38,90 bilhões exportados, alta de 17,5% em relação a junho de 2017 e maio de 2018, puxado pela soja em grãos com alta de 18,9% em valor e 20,9% em quantidade exportada. O produto representou 81,4% das exportações totais do complexo.</w:t>
      </w:r>
    </w:p>
    <w:p w:rsidR="0040441D" w:rsidRPr="0040441D" w:rsidRDefault="0040441D" w:rsidP="0040441D">
      <w:pPr>
        <w:spacing w:after="160" w:line="259" w:lineRule="auto"/>
        <w:jc w:val="both"/>
        <w:rPr>
          <w:rFonts w:ascii="Calibri" w:eastAsia="Calibri" w:hAnsi="Calibri"/>
          <w:sz w:val="22"/>
          <w:szCs w:val="22"/>
          <w:lang w:eastAsia="en-US"/>
        </w:rPr>
      </w:pPr>
      <w:r w:rsidRPr="0040441D">
        <w:rPr>
          <w:rFonts w:ascii="Calibri" w:eastAsia="Calibri" w:hAnsi="Calibri"/>
          <w:sz w:val="22"/>
          <w:szCs w:val="22"/>
          <w:lang w:eastAsia="en-US"/>
        </w:rPr>
        <w:t>O segundo setor mais representativo foi o de carnes, mesmo mantendo estabilidade em relação às exportações do mesmo período anterior, alta de 0,6%, com exportações de US$ 15,18 bilhões. Destaque para carne bovina, US$ 6,73 bilhões, com alta de 7,3% das exportações in natura. A carne de frango in natura também observou elevação das exportações no período, de 4,1% - US$ 6,36 bilhões. A Carne suína, no entanto, apresentou redução de 12,9% em valores exportados em relação ao período de junho de 2017 a maio de 2018, atingindo US$ 1,26 bilhão. O preço médio das exportações do setor também apresentou quedas no período: reduções de 6,4% para carne bovina in natura e 16% para carne suína in natura. Carne de frango in natura manteve relativa estabilidade, com alta de 0,9% no período.</w:t>
      </w:r>
    </w:p>
    <w:p w:rsidR="0040441D" w:rsidRPr="0040441D" w:rsidRDefault="0040441D" w:rsidP="0040441D">
      <w:pPr>
        <w:spacing w:after="160" w:line="259" w:lineRule="auto"/>
        <w:jc w:val="both"/>
        <w:rPr>
          <w:rFonts w:ascii="Calibri" w:eastAsia="Calibri" w:hAnsi="Calibri"/>
          <w:sz w:val="22"/>
          <w:szCs w:val="22"/>
          <w:lang w:eastAsia="en-US"/>
        </w:rPr>
      </w:pPr>
      <w:r w:rsidRPr="0040441D">
        <w:rPr>
          <w:rFonts w:ascii="Calibri" w:eastAsia="Calibri" w:hAnsi="Calibri"/>
          <w:sz w:val="22"/>
          <w:szCs w:val="22"/>
          <w:lang w:eastAsia="en-US"/>
        </w:rPr>
        <w:t>O terceiro setor de maior destaque nas exportações do agronegócio brasileiro, nos últimos doze meses, foi o de produtos florestais, US$ 14,36 bilhões, alta de 11,5% em relação ao mesmo período anterior, com destaque para celulose que representou cerca de 60% das exportações do setor.</w:t>
      </w:r>
    </w:p>
    <w:p w:rsidR="0040441D" w:rsidRPr="0040441D" w:rsidRDefault="0040441D" w:rsidP="0040441D">
      <w:pPr>
        <w:spacing w:after="160" w:line="259" w:lineRule="auto"/>
        <w:jc w:val="both"/>
        <w:rPr>
          <w:rFonts w:ascii="Calibri" w:eastAsia="Calibri" w:hAnsi="Calibri"/>
          <w:sz w:val="22"/>
          <w:szCs w:val="22"/>
          <w:lang w:eastAsia="en-US"/>
        </w:rPr>
      </w:pPr>
      <w:r w:rsidRPr="0040441D">
        <w:rPr>
          <w:rFonts w:ascii="Calibri" w:eastAsia="Calibri" w:hAnsi="Calibri"/>
          <w:sz w:val="22"/>
          <w:szCs w:val="22"/>
          <w:lang w:eastAsia="en-US"/>
        </w:rPr>
        <w:lastRenderedPageBreak/>
        <w:t xml:space="preserve">Em quarto lugar ficou o complexo sucroalcooleiro com US$ 6,68 bilhões exportados: redução de 37,1% do valor exportado relativo ao período de junho de 2017 a maio de 2018, com também queda expressiva de volume, -24,6%, e preços, -16,6%. No setor, ambos os produtos exportados, açúcar e álcool, apresentaram reduções de preços. O álcool por sua vez, mesmo com menores preços, 9,7% inferiores comparando-se os dois acumulados de 12 meses, observou alta de exportação em valores, 14,5%, e volumes, 26,7%. Porém, o açúcar é o produto de maior peso no setor, com 86,2% de participação no resultado total destas exportações, e é o produto que mais sofre com o excesso de oferta mundial, </w:t>
      </w:r>
      <w:r w:rsidRPr="0040441D">
        <w:rPr>
          <w:rFonts w:ascii="Calibri" w:eastAsia="Calibri" w:hAnsi="Calibri"/>
          <w:color w:val="000000"/>
          <w:sz w:val="22"/>
          <w:szCs w:val="22"/>
          <w:lang w:eastAsia="en-US"/>
        </w:rPr>
        <w:t xml:space="preserve">estimulada por políticas </w:t>
      </w:r>
      <w:proofErr w:type="spellStart"/>
      <w:r w:rsidRPr="0040441D">
        <w:rPr>
          <w:rFonts w:ascii="Calibri" w:eastAsia="Calibri" w:hAnsi="Calibri"/>
          <w:color w:val="000000"/>
          <w:sz w:val="22"/>
          <w:szCs w:val="22"/>
          <w:lang w:eastAsia="en-US"/>
        </w:rPr>
        <w:t>distorcivas</w:t>
      </w:r>
      <w:proofErr w:type="spellEnd"/>
      <w:r w:rsidRPr="0040441D">
        <w:rPr>
          <w:rFonts w:ascii="Calibri" w:eastAsia="Calibri" w:hAnsi="Calibri"/>
          <w:color w:val="000000"/>
          <w:sz w:val="22"/>
          <w:szCs w:val="22"/>
          <w:lang w:eastAsia="en-US"/>
        </w:rPr>
        <w:t xml:space="preserve"> praticadas em países como Índia, Paquistão, Tailândia e União Europeia. Como resultado, o preço médio das exportações brasileiras de açúcar observou redução de cerca de 20% </w:t>
      </w:r>
      <w:r w:rsidRPr="0040441D">
        <w:rPr>
          <w:rFonts w:ascii="Calibri" w:eastAsia="Calibri" w:hAnsi="Calibri"/>
          <w:sz w:val="22"/>
          <w:szCs w:val="22"/>
          <w:lang w:eastAsia="en-US"/>
        </w:rPr>
        <w:t>comparando-se junho de 2018 a maio de 2019, e os mesmos doze meses anteriores.</w:t>
      </w:r>
    </w:p>
    <w:p w:rsidR="0040441D" w:rsidRPr="0040441D" w:rsidRDefault="0040441D" w:rsidP="0040441D">
      <w:pPr>
        <w:spacing w:after="160" w:line="259" w:lineRule="auto"/>
        <w:jc w:val="both"/>
        <w:rPr>
          <w:rFonts w:ascii="Calibri" w:eastAsia="Calibri" w:hAnsi="Calibri"/>
          <w:sz w:val="22"/>
          <w:szCs w:val="22"/>
          <w:lang w:eastAsia="en-US"/>
        </w:rPr>
      </w:pPr>
      <w:r w:rsidRPr="0040441D">
        <w:rPr>
          <w:rFonts w:ascii="Calibri" w:eastAsia="Calibri" w:hAnsi="Calibri"/>
          <w:sz w:val="22"/>
          <w:szCs w:val="22"/>
          <w:lang w:eastAsia="en-US"/>
        </w:rPr>
        <w:t>Café, cereais, farinhas e preparações, praticamente dividem a quinta posição entre os produtos mais exportados entre junho de 2018 a maio de 2019. O setor de cereais observou exportações no período de US$ 5,31 bilhões, redução de 5,6% em relação aos doze meses anteriores – as exportações de milho representaram 85% das exportações do grupo. O setor de café exportou US$ 5,27 bilhões, alta de 7,7% em relação aos doze meses anteriores – café verde representou cerca de 89% das exportações desse grupo.</w:t>
      </w:r>
    </w:p>
    <w:p w:rsidR="00BF3623" w:rsidRPr="00BF3623" w:rsidRDefault="00BF3623" w:rsidP="00BF3623">
      <w:pPr>
        <w:rPr>
          <w:sz w:val="20"/>
          <w:szCs w:val="20"/>
        </w:rPr>
      </w:pPr>
    </w:p>
    <w:p w:rsidR="006E2025" w:rsidRPr="006E2025" w:rsidRDefault="00DA71E8" w:rsidP="006E2025">
      <w:r w:rsidRPr="00DA71E8">
        <w:drawing>
          <wp:inline distT="0" distB="0" distL="0" distR="0" wp14:anchorId="633D1A3A" wp14:editId="69F12B3F">
            <wp:extent cx="6480175" cy="3859530"/>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175" cy="3859530"/>
                    </a:xfrm>
                    <a:prstGeom prst="rect">
                      <a:avLst/>
                    </a:prstGeom>
                  </pic:spPr>
                </pic:pic>
              </a:graphicData>
            </a:graphic>
          </wp:inline>
        </w:drawing>
      </w:r>
    </w:p>
    <w:p w:rsidR="003B632E" w:rsidRDefault="003B632E" w:rsidP="003B632E">
      <w:pPr>
        <w:rPr>
          <w:rFonts w:ascii="Arial" w:hAnsi="Arial" w:cs="Arial"/>
        </w:rPr>
      </w:pPr>
    </w:p>
    <w:p w:rsidR="003B632E" w:rsidRDefault="003B632E" w:rsidP="003B632E">
      <w:pPr>
        <w:pStyle w:val="Ttulo5"/>
        <w:autoSpaceDE/>
        <w:autoSpaceDN/>
        <w:adjustRightInd/>
        <w:rPr>
          <w:rFonts w:ascii="Arial" w:hAnsi="Arial" w:cs="Arial"/>
          <w:sz w:val="20"/>
          <w:szCs w:val="20"/>
        </w:rPr>
      </w:pPr>
      <w:bookmarkStart w:id="0" w:name="OLE_LINK1"/>
      <w:proofErr w:type="spellStart"/>
      <w:r w:rsidRPr="00826906">
        <w:rPr>
          <w:rFonts w:ascii="Arial" w:hAnsi="Arial" w:cs="Arial"/>
          <w:sz w:val="20"/>
          <w:szCs w:val="20"/>
        </w:rPr>
        <w:t>I</w:t>
      </w:r>
      <w:r w:rsidR="009113F8">
        <w:rPr>
          <w:rFonts w:ascii="Arial" w:hAnsi="Arial" w:cs="Arial"/>
          <w:sz w:val="20"/>
          <w:szCs w:val="20"/>
        </w:rPr>
        <w:t>I</w:t>
      </w:r>
      <w:r w:rsidRPr="00826906">
        <w:rPr>
          <w:rFonts w:ascii="Arial" w:hAnsi="Arial" w:cs="Arial"/>
          <w:sz w:val="20"/>
          <w:szCs w:val="20"/>
        </w:rPr>
        <w:t>I.b</w:t>
      </w:r>
      <w:proofErr w:type="spellEnd"/>
      <w:r w:rsidRPr="00826906">
        <w:rPr>
          <w:rFonts w:ascii="Arial" w:hAnsi="Arial" w:cs="Arial"/>
          <w:sz w:val="20"/>
          <w:szCs w:val="20"/>
        </w:rPr>
        <w:t xml:space="preserve"> – Blocos Econômicos e Regiões Geográficas</w:t>
      </w:r>
    </w:p>
    <w:p w:rsidR="00DE4A04" w:rsidRDefault="00DE4A04" w:rsidP="00DE4A04"/>
    <w:p w:rsidR="0040441D" w:rsidRPr="0040441D" w:rsidRDefault="0040441D" w:rsidP="0040441D">
      <w:pPr>
        <w:spacing w:after="160" w:line="259" w:lineRule="auto"/>
        <w:jc w:val="both"/>
        <w:rPr>
          <w:rFonts w:ascii="Calibri" w:eastAsia="Calibri" w:hAnsi="Calibri"/>
          <w:sz w:val="22"/>
          <w:szCs w:val="22"/>
          <w:lang w:eastAsia="en-US"/>
        </w:rPr>
      </w:pPr>
      <w:r w:rsidRPr="0040441D">
        <w:rPr>
          <w:rFonts w:ascii="Calibri" w:eastAsia="Calibri" w:hAnsi="Calibri"/>
          <w:sz w:val="22"/>
          <w:szCs w:val="22"/>
          <w:lang w:eastAsia="en-US"/>
        </w:rPr>
        <w:t>Quanto aos destinos, a Ásia segue como principal destino das exportações do agronegócio brasileiro, concentrado na China, 68% dos valores exportados para a região entre junho de 2018 a maio de 2019. A participação da China no total das exportações brasileiras do agronegócio no período foi reforçada pelo aumento das exportações de soja em grãos, o que elevou a participação da China de 28,3% para 34,3% no período.</w:t>
      </w:r>
    </w:p>
    <w:p w:rsidR="0040441D" w:rsidRPr="0040441D" w:rsidRDefault="0040441D" w:rsidP="0040441D">
      <w:pPr>
        <w:spacing w:after="160" w:line="259" w:lineRule="auto"/>
        <w:jc w:val="both"/>
        <w:rPr>
          <w:rFonts w:ascii="Calibri" w:eastAsia="Calibri" w:hAnsi="Calibri"/>
          <w:sz w:val="22"/>
          <w:szCs w:val="22"/>
          <w:lang w:eastAsia="en-US"/>
        </w:rPr>
      </w:pPr>
      <w:r w:rsidRPr="0040441D">
        <w:rPr>
          <w:rFonts w:ascii="Calibri" w:eastAsia="Calibri" w:hAnsi="Calibri"/>
          <w:sz w:val="22"/>
          <w:szCs w:val="22"/>
          <w:lang w:eastAsia="en-US"/>
        </w:rPr>
        <w:t>A União Europeia também permanece como segundo principal destino nos últimos doze meses acumulados, com pequena queda na participação das exportações do agronegócio brasileiro.</w:t>
      </w:r>
    </w:p>
    <w:p w:rsidR="0040441D" w:rsidRDefault="0040441D" w:rsidP="00DE4A04"/>
    <w:p w:rsidR="003B632E" w:rsidRDefault="003B632E" w:rsidP="003B632E">
      <w:pPr>
        <w:jc w:val="both"/>
        <w:rPr>
          <w:rFonts w:ascii="Arial" w:hAnsi="Arial" w:cs="Arial"/>
          <w:sz w:val="20"/>
          <w:szCs w:val="20"/>
        </w:rPr>
      </w:pPr>
    </w:p>
    <w:p w:rsidR="001719BA" w:rsidRDefault="00B64293" w:rsidP="003B632E">
      <w:pPr>
        <w:jc w:val="both"/>
        <w:rPr>
          <w:rFonts w:ascii="Arial" w:hAnsi="Arial" w:cs="Arial"/>
          <w:sz w:val="20"/>
          <w:szCs w:val="20"/>
        </w:rPr>
      </w:pPr>
      <w:r w:rsidRPr="00B64293">
        <w:lastRenderedPageBreak/>
        <w:drawing>
          <wp:inline distT="0" distB="0" distL="0" distR="0" wp14:anchorId="7D8DE1AA" wp14:editId="70EB1C3E">
            <wp:extent cx="6480175" cy="235140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80175" cy="2351405"/>
                    </a:xfrm>
                    <a:prstGeom prst="rect">
                      <a:avLst/>
                    </a:prstGeom>
                  </pic:spPr>
                </pic:pic>
              </a:graphicData>
            </a:graphic>
          </wp:inline>
        </w:drawing>
      </w:r>
    </w:p>
    <w:p w:rsidR="00913192" w:rsidRDefault="00913192" w:rsidP="003B632E">
      <w:pPr>
        <w:jc w:val="both"/>
        <w:rPr>
          <w:rFonts w:ascii="Arial" w:hAnsi="Arial" w:cs="Arial"/>
          <w:sz w:val="20"/>
          <w:szCs w:val="20"/>
        </w:rPr>
      </w:pPr>
    </w:p>
    <w:p w:rsidR="009113F8" w:rsidRDefault="009113F8" w:rsidP="003B632E">
      <w:pPr>
        <w:jc w:val="both"/>
        <w:rPr>
          <w:rFonts w:ascii="Arial" w:hAnsi="Arial" w:cs="Arial"/>
          <w:sz w:val="20"/>
          <w:szCs w:val="20"/>
        </w:rPr>
      </w:pPr>
    </w:p>
    <w:bookmarkEnd w:id="0"/>
    <w:p w:rsidR="000076AB" w:rsidRDefault="00056A9E" w:rsidP="00056A9E">
      <w:pPr>
        <w:pStyle w:val="Ttulo5"/>
        <w:autoSpaceDE/>
        <w:autoSpaceDN/>
        <w:adjustRightInd/>
        <w:rPr>
          <w:rFonts w:ascii="Arial" w:hAnsi="Arial" w:cs="Arial"/>
          <w:sz w:val="20"/>
          <w:szCs w:val="20"/>
        </w:rPr>
      </w:pPr>
      <w:proofErr w:type="spellStart"/>
      <w:r w:rsidRPr="00056A9E">
        <w:rPr>
          <w:rFonts w:ascii="Arial" w:hAnsi="Arial" w:cs="Arial"/>
          <w:sz w:val="20"/>
          <w:szCs w:val="20"/>
        </w:rPr>
        <w:t>I</w:t>
      </w:r>
      <w:r w:rsidR="009113F8">
        <w:rPr>
          <w:rFonts w:ascii="Arial" w:hAnsi="Arial" w:cs="Arial"/>
          <w:sz w:val="20"/>
          <w:szCs w:val="20"/>
        </w:rPr>
        <w:t>I</w:t>
      </w:r>
      <w:r w:rsidRPr="00056A9E">
        <w:rPr>
          <w:rFonts w:ascii="Arial" w:hAnsi="Arial" w:cs="Arial"/>
          <w:sz w:val="20"/>
          <w:szCs w:val="20"/>
        </w:rPr>
        <w:t>I.c</w:t>
      </w:r>
      <w:proofErr w:type="spellEnd"/>
      <w:r w:rsidRPr="00056A9E">
        <w:rPr>
          <w:rFonts w:ascii="Arial" w:hAnsi="Arial" w:cs="Arial"/>
          <w:sz w:val="20"/>
          <w:szCs w:val="20"/>
        </w:rPr>
        <w:t xml:space="preserve"> </w:t>
      </w:r>
      <w:r w:rsidR="00401F39">
        <w:rPr>
          <w:rFonts w:ascii="Arial" w:hAnsi="Arial" w:cs="Arial"/>
          <w:sz w:val="20"/>
          <w:szCs w:val="20"/>
        </w:rPr>
        <w:t>–</w:t>
      </w:r>
      <w:r w:rsidRPr="00056A9E">
        <w:rPr>
          <w:rFonts w:ascii="Arial" w:hAnsi="Arial" w:cs="Arial"/>
          <w:sz w:val="20"/>
          <w:szCs w:val="20"/>
        </w:rPr>
        <w:t xml:space="preserve"> Países</w:t>
      </w:r>
    </w:p>
    <w:p w:rsidR="00DE4A04" w:rsidRDefault="00DE4A04" w:rsidP="00DE4A04"/>
    <w:p w:rsidR="0040441D" w:rsidRPr="0040441D" w:rsidRDefault="0040441D" w:rsidP="0040441D">
      <w:pPr>
        <w:spacing w:after="160" w:line="259" w:lineRule="auto"/>
        <w:jc w:val="both"/>
        <w:rPr>
          <w:rFonts w:ascii="Calibri" w:eastAsia="Calibri" w:hAnsi="Calibri"/>
          <w:sz w:val="22"/>
          <w:szCs w:val="22"/>
          <w:lang w:eastAsia="en-US"/>
        </w:rPr>
      </w:pPr>
      <w:r w:rsidRPr="0040441D">
        <w:rPr>
          <w:rFonts w:ascii="Calibri" w:eastAsia="Calibri" w:hAnsi="Calibri"/>
          <w:sz w:val="22"/>
          <w:szCs w:val="22"/>
          <w:lang w:eastAsia="en-US"/>
        </w:rPr>
        <w:t>Observando-se as exportações do agronegócio por países, verifica-se certa estabilidade de valores comparando-se a participação de junho de 2018 a maio de 2019 com os doze meses anteriores. China e Estados Unidos são exceção. Os Estados Unidos elevaram a participação nas exportações no período de 7,1% para 8,9%.</w:t>
      </w:r>
    </w:p>
    <w:p w:rsidR="0040441D" w:rsidRDefault="0040441D" w:rsidP="00401F39"/>
    <w:p w:rsidR="006E2025" w:rsidRDefault="00B64293" w:rsidP="00401F39">
      <w:r w:rsidRPr="00B64293">
        <w:drawing>
          <wp:inline distT="0" distB="0" distL="0" distR="0" wp14:anchorId="79BCE6C3" wp14:editId="0B4B52E2">
            <wp:extent cx="6480175" cy="3884930"/>
            <wp:effectExtent l="0" t="0" r="0" b="127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80175" cy="3884930"/>
                    </a:xfrm>
                    <a:prstGeom prst="rect">
                      <a:avLst/>
                    </a:prstGeom>
                  </pic:spPr>
                </pic:pic>
              </a:graphicData>
            </a:graphic>
          </wp:inline>
        </w:drawing>
      </w:r>
    </w:p>
    <w:p w:rsidR="00C87B02" w:rsidRPr="00826906" w:rsidRDefault="00C87B02">
      <w:pPr>
        <w:pStyle w:val="Ttulo4"/>
        <w:pBdr>
          <w:top w:val="single" w:sz="4" w:space="1" w:color="auto"/>
          <w:left w:val="single" w:sz="4" w:space="4" w:color="auto"/>
          <w:bottom w:val="single" w:sz="4" w:space="1" w:color="auto"/>
          <w:right w:val="single" w:sz="4" w:space="4" w:color="auto"/>
        </w:pBdr>
        <w:spacing w:after="80"/>
        <w:ind w:firstLine="0"/>
        <w:rPr>
          <w:i w:val="0"/>
          <w:sz w:val="20"/>
          <w:szCs w:val="20"/>
          <w:lang w:val="pt-BR"/>
        </w:rPr>
      </w:pPr>
      <w:r w:rsidRPr="00826906">
        <w:rPr>
          <w:i w:val="0"/>
          <w:sz w:val="20"/>
          <w:szCs w:val="20"/>
          <w:lang w:val="pt-BR"/>
        </w:rPr>
        <w:t>NOTA METODOLÓGICA</w:t>
      </w:r>
    </w:p>
    <w:p w:rsidR="00C87B02" w:rsidRPr="00826906" w:rsidRDefault="00C87B02" w:rsidP="00E316DA">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r w:rsidRPr="00826906">
        <w:rPr>
          <w:rFonts w:ascii="Arial" w:hAnsi="Arial" w:cs="Arial"/>
          <w:sz w:val="20"/>
          <w:szCs w:val="20"/>
        </w:rPr>
        <w:t>A classificação de produtos do agronegócio utilizada nesta nota foi atualizada de acordo com a Resolução CAMEX Nº 94, de 8/12/2012, que alterou a Nomenclatura Comum do MERCOSUL – NCM para adaptá-la em relação às modificações do Sistema Harmonizado de Designação e de Codificação de Mercadorias (SH-2012), que estabelece um método internacional para a classificação de mercadorias.</w:t>
      </w:r>
    </w:p>
    <w:p w:rsidR="00C87B02" w:rsidRPr="00826906" w:rsidRDefault="00C87B02" w:rsidP="00E316DA">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p>
    <w:p w:rsidR="00C87B02" w:rsidRPr="00826906" w:rsidRDefault="00C87B02" w:rsidP="00E316DA">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r w:rsidRPr="00826906">
        <w:rPr>
          <w:rFonts w:ascii="Arial" w:hAnsi="Arial" w:cs="Arial"/>
          <w:sz w:val="20"/>
          <w:szCs w:val="20"/>
        </w:rPr>
        <w:t xml:space="preserve">A Balança Comercial do Agronegócio utiliza uma classificação dos produtos do agronegócio que reúne 2.867 </w:t>
      </w:r>
      <w:proofErr w:type="spellStart"/>
      <w:r w:rsidRPr="00826906">
        <w:rPr>
          <w:rFonts w:ascii="Arial" w:hAnsi="Arial" w:cs="Arial"/>
          <w:sz w:val="20"/>
          <w:szCs w:val="20"/>
        </w:rPr>
        <w:t>NCM’s</w:t>
      </w:r>
      <w:proofErr w:type="spellEnd"/>
      <w:r w:rsidRPr="00826906">
        <w:rPr>
          <w:rFonts w:ascii="Arial" w:hAnsi="Arial" w:cs="Arial"/>
          <w:sz w:val="20"/>
          <w:szCs w:val="20"/>
        </w:rPr>
        <w:t xml:space="preserve"> em 25 setores. Essa é a mesma classificação utilizada no AGROSTAT BRASIL - base de dados </w:t>
      </w:r>
      <w:proofErr w:type="spellStart"/>
      <w:r w:rsidRPr="00826906">
        <w:rPr>
          <w:rFonts w:ascii="Arial" w:hAnsi="Arial" w:cs="Arial"/>
          <w:i/>
          <w:sz w:val="20"/>
          <w:szCs w:val="20"/>
        </w:rPr>
        <w:t>on</w:t>
      </w:r>
      <w:proofErr w:type="spellEnd"/>
      <w:r w:rsidRPr="00826906">
        <w:rPr>
          <w:rFonts w:ascii="Arial" w:hAnsi="Arial" w:cs="Arial"/>
          <w:i/>
          <w:sz w:val="20"/>
          <w:szCs w:val="20"/>
        </w:rPr>
        <w:t xml:space="preserve"> </w:t>
      </w:r>
      <w:proofErr w:type="spellStart"/>
      <w:r w:rsidRPr="00826906">
        <w:rPr>
          <w:rFonts w:ascii="Arial" w:hAnsi="Arial" w:cs="Arial"/>
          <w:i/>
          <w:sz w:val="20"/>
          <w:szCs w:val="20"/>
        </w:rPr>
        <w:t>line</w:t>
      </w:r>
      <w:proofErr w:type="spellEnd"/>
      <w:r w:rsidRPr="00826906">
        <w:rPr>
          <w:rFonts w:ascii="Arial" w:hAnsi="Arial" w:cs="Arial"/>
          <w:sz w:val="20"/>
          <w:szCs w:val="20"/>
        </w:rPr>
        <w:t xml:space="preserve"> que oferece uma visão detalhada e atualizada das exportações e importações brasileiras do agronegócio. Mais informações da metodologia e classificação podem ser consultadas no site: </w:t>
      </w:r>
      <w:hyperlink r:id="rId17" w:history="1">
        <w:r w:rsidRPr="00826906">
          <w:rPr>
            <w:rStyle w:val="Hyperlink"/>
            <w:rFonts w:ascii="Arial" w:hAnsi="Arial" w:cs="Arial"/>
            <w:sz w:val="20"/>
            <w:szCs w:val="20"/>
          </w:rPr>
          <w:t>agrostat.agricultura.gov.br</w:t>
        </w:r>
      </w:hyperlink>
      <w:r w:rsidRPr="00826906">
        <w:rPr>
          <w:rFonts w:ascii="Arial" w:hAnsi="Arial" w:cs="Arial"/>
          <w:sz w:val="20"/>
          <w:szCs w:val="20"/>
        </w:rPr>
        <w:t xml:space="preserve"> </w:t>
      </w:r>
    </w:p>
    <w:p w:rsidR="00C87B02" w:rsidRPr="00826906" w:rsidRDefault="00C87B02">
      <w:pPr>
        <w:pStyle w:val="Ttulo2"/>
        <w:jc w:val="right"/>
        <w:rPr>
          <w:rFonts w:ascii="Arial" w:hAnsi="Arial" w:cs="Arial"/>
          <w:b/>
          <w:sz w:val="20"/>
        </w:rPr>
      </w:pPr>
      <w:r w:rsidRPr="00826906">
        <w:rPr>
          <w:rFonts w:ascii="Arial" w:hAnsi="Arial" w:cs="Arial"/>
          <w:b/>
          <w:sz w:val="20"/>
        </w:rPr>
        <w:t>MAPA/S</w:t>
      </w:r>
      <w:r w:rsidR="00056A9E">
        <w:rPr>
          <w:rFonts w:ascii="Arial" w:hAnsi="Arial" w:cs="Arial"/>
          <w:b/>
          <w:sz w:val="20"/>
        </w:rPr>
        <w:t>C</w:t>
      </w:r>
      <w:r w:rsidRPr="00826906">
        <w:rPr>
          <w:rFonts w:ascii="Arial" w:hAnsi="Arial" w:cs="Arial"/>
          <w:b/>
          <w:sz w:val="20"/>
        </w:rPr>
        <w:t>RI/D</w:t>
      </w:r>
      <w:r w:rsidR="00B64293">
        <w:rPr>
          <w:rFonts w:ascii="Arial" w:hAnsi="Arial" w:cs="Arial"/>
          <w:b/>
          <w:sz w:val="20"/>
        </w:rPr>
        <w:t>NAC</w:t>
      </w:r>
    </w:p>
    <w:p w:rsidR="00C87B02" w:rsidRPr="00826906" w:rsidRDefault="00C87B02">
      <w:pPr>
        <w:pStyle w:val="Recuodecorpodetexto"/>
        <w:jc w:val="right"/>
        <w:rPr>
          <w:rFonts w:ascii="Arial" w:hAnsi="Arial" w:cs="Arial"/>
          <w:sz w:val="20"/>
          <w:szCs w:val="20"/>
        </w:rPr>
      </w:pPr>
      <w:r w:rsidRPr="00826906">
        <w:rPr>
          <w:rFonts w:ascii="Arial" w:hAnsi="Arial" w:cs="Arial"/>
          <w:sz w:val="20"/>
          <w:szCs w:val="20"/>
        </w:rPr>
        <w:t xml:space="preserve"> </w:t>
      </w:r>
      <w:r w:rsidR="00B64293">
        <w:rPr>
          <w:rFonts w:ascii="Arial" w:hAnsi="Arial" w:cs="Arial"/>
          <w:sz w:val="20"/>
          <w:szCs w:val="20"/>
        </w:rPr>
        <w:t>13/06</w:t>
      </w:r>
      <w:r w:rsidR="0049444C">
        <w:rPr>
          <w:rFonts w:ascii="Arial" w:hAnsi="Arial" w:cs="Arial"/>
          <w:sz w:val="20"/>
          <w:szCs w:val="20"/>
        </w:rPr>
        <w:t>/2019</w:t>
      </w:r>
      <w:bookmarkStart w:id="1" w:name="_GoBack"/>
      <w:bookmarkEnd w:id="1"/>
    </w:p>
    <w:sectPr w:rsidR="00C87B02" w:rsidRPr="00826906" w:rsidSect="00C2569A">
      <w:footerReference w:type="even" r:id="rId18"/>
      <w:footerReference w:type="default" r:id="rId19"/>
      <w:pgSz w:w="11907" w:h="16840" w:code="9"/>
      <w:pgMar w:top="851" w:right="851" w:bottom="851" w:left="851"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186" w:rsidRDefault="00F35186">
      <w:r>
        <w:separator/>
      </w:r>
    </w:p>
  </w:endnote>
  <w:endnote w:type="continuationSeparator" w:id="0">
    <w:p w:rsidR="00F35186" w:rsidRDefault="00F3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40" w:rsidRDefault="008F4F4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F4F40" w:rsidRDefault="008F4F4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40" w:rsidRPr="000754DD" w:rsidRDefault="008F4F40">
    <w:pPr>
      <w:pStyle w:val="Rodap"/>
      <w:framePr w:wrap="around" w:vAnchor="text" w:hAnchor="margin" w:xAlign="center" w:y="1"/>
      <w:rPr>
        <w:rStyle w:val="Nmerodepgina"/>
        <w:rFonts w:ascii="Arial" w:hAnsi="Arial" w:cs="Arial"/>
        <w:sz w:val="16"/>
        <w:szCs w:val="16"/>
      </w:rPr>
    </w:pPr>
    <w:r w:rsidRPr="000754DD">
      <w:rPr>
        <w:rStyle w:val="Nmerodepgina"/>
        <w:rFonts w:ascii="Arial" w:hAnsi="Arial" w:cs="Arial"/>
        <w:sz w:val="16"/>
        <w:szCs w:val="16"/>
      </w:rPr>
      <w:fldChar w:fldCharType="begin"/>
    </w:r>
    <w:r w:rsidRPr="000754DD">
      <w:rPr>
        <w:rStyle w:val="Nmerodepgina"/>
        <w:rFonts w:ascii="Arial" w:hAnsi="Arial" w:cs="Arial"/>
        <w:sz w:val="16"/>
        <w:szCs w:val="16"/>
      </w:rPr>
      <w:instrText xml:space="preserve">PAGE  </w:instrText>
    </w:r>
    <w:r w:rsidRPr="000754DD">
      <w:rPr>
        <w:rStyle w:val="Nmerodepgina"/>
        <w:rFonts w:ascii="Arial" w:hAnsi="Arial" w:cs="Arial"/>
        <w:sz w:val="16"/>
        <w:szCs w:val="16"/>
      </w:rPr>
      <w:fldChar w:fldCharType="separate"/>
    </w:r>
    <w:r w:rsidR="00BF3623">
      <w:rPr>
        <w:rStyle w:val="Nmerodepgina"/>
        <w:rFonts w:ascii="Arial" w:hAnsi="Arial" w:cs="Arial"/>
        <w:noProof/>
        <w:sz w:val="16"/>
        <w:szCs w:val="16"/>
      </w:rPr>
      <w:t>2</w:t>
    </w:r>
    <w:r w:rsidRPr="000754DD">
      <w:rPr>
        <w:rStyle w:val="Nmerodepgina"/>
        <w:rFonts w:ascii="Arial" w:hAnsi="Arial" w:cs="Arial"/>
        <w:sz w:val="16"/>
        <w:szCs w:val="16"/>
      </w:rPr>
      <w:fldChar w:fldCharType="end"/>
    </w:r>
  </w:p>
  <w:p w:rsidR="008F4F40" w:rsidRDefault="008F4F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186" w:rsidRDefault="00F35186">
      <w:r>
        <w:separator/>
      </w:r>
    </w:p>
  </w:footnote>
  <w:footnote w:type="continuationSeparator" w:id="0">
    <w:p w:rsidR="00F35186" w:rsidRDefault="00F35186">
      <w:r>
        <w:continuationSeparator/>
      </w:r>
    </w:p>
  </w:footnote>
  <w:footnote w:id="1">
    <w:p w:rsidR="004E6308" w:rsidRDefault="004E6308" w:rsidP="004E6308">
      <w:pPr>
        <w:pStyle w:val="Textodenotaderodap"/>
      </w:pPr>
      <w:r>
        <w:rPr>
          <w:rStyle w:val="Refdenotaderodap"/>
        </w:rPr>
        <w:footnoteRef/>
      </w:r>
      <w:r>
        <w:t xml:space="preserve"> Relatório da CONAB, Acompanhamento da Safra Brasileira de Café, Safra 2019, segundo levantamento, maio de 2019.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4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A5"/>
    <w:rsid w:val="000014D2"/>
    <w:rsid w:val="0000209E"/>
    <w:rsid w:val="0000254E"/>
    <w:rsid w:val="000036C3"/>
    <w:rsid w:val="0000402A"/>
    <w:rsid w:val="00004903"/>
    <w:rsid w:val="00006103"/>
    <w:rsid w:val="00006262"/>
    <w:rsid w:val="00006ECB"/>
    <w:rsid w:val="00007083"/>
    <w:rsid w:val="000076AB"/>
    <w:rsid w:val="00007D32"/>
    <w:rsid w:val="00010A70"/>
    <w:rsid w:val="00013681"/>
    <w:rsid w:val="00013B15"/>
    <w:rsid w:val="00013C10"/>
    <w:rsid w:val="0001553F"/>
    <w:rsid w:val="000166CF"/>
    <w:rsid w:val="00017D67"/>
    <w:rsid w:val="00017F9E"/>
    <w:rsid w:val="00023523"/>
    <w:rsid w:val="00023700"/>
    <w:rsid w:val="00024620"/>
    <w:rsid w:val="000246E5"/>
    <w:rsid w:val="00024774"/>
    <w:rsid w:val="00025562"/>
    <w:rsid w:val="0002567E"/>
    <w:rsid w:val="0002592B"/>
    <w:rsid w:val="00026C30"/>
    <w:rsid w:val="00027B9D"/>
    <w:rsid w:val="00027CD6"/>
    <w:rsid w:val="00027FBF"/>
    <w:rsid w:val="000301F8"/>
    <w:rsid w:val="00030275"/>
    <w:rsid w:val="0003161E"/>
    <w:rsid w:val="00031A57"/>
    <w:rsid w:val="0003291F"/>
    <w:rsid w:val="000329DF"/>
    <w:rsid w:val="000348EF"/>
    <w:rsid w:val="00034D11"/>
    <w:rsid w:val="000354EE"/>
    <w:rsid w:val="00035920"/>
    <w:rsid w:val="00035927"/>
    <w:rsid w:val="00035E51"/>
    <w:rsid w:val="000400E7"/>
    <w:rsid w:val="00040781"/>
    <w:rsid w:val="00040AAD"/>
    <w:rsid w:val="00040CEE"/>
    <w:rsid w:val="0004141A"/>
    <w:rsid w:val="0004188A"/>
    <w:rsid w:val="00041926"/>
    <w:rsid w:val="00041C47"/>
    <w:rsid w:val="000421AD"/>
    <w:rsid w:val="00042DA0"/>
    <w:rsid w:val="00043C91"/>
    <w:rsid w:val="00045520"/>
    <w:rsid w:val="00045689"/>
    <w:rsid w:val="000456E0"/>
    <w:rsid w:val="0004621E"/>
    <w:rsid w:val="00047101"/>
    <w:rsid w:val="00047F65"/>
    <w:rsid w:val="00051416"/>
    <w:rsid w:val="00053736"/>
    <w:rsid w:val="000542D8"/>
    <w:rsid w:val="00055505"/>
    <w:rsid w:val="00056A9E"/>
    <w:rsid w:val="00056B26"/>
    <w:rsid w:val="00057E53"/>
    <w:rsid w:val="00060DB6"/>
    <w:rsid w:val="00060E48"/>
    <w:rsid w:val="00060ECE"/>
    <w:rsid w:val="00063D9B"/>
    <w:rsid w:val="00063DE6"/>
    <w:rsid w:val="00066372"/>
    <w:rsid w:val="00066406"/>
    <w:rsid w:val="000666A5"/>
    <w:rsid w:val="000676F5"/>
    <w:rsid w:val="00067C72"/>
    <w:rsid w:val="000708D1"/>
    <w:rsid w:val="00070FDC"/>
    <w:rsid w:val="0007199F"/>
    <w:rsid w:val="0007208F"/>
    <w:rsid w:val="000728BD"/>
    <w:rsid w:val="00072A5A"/>
    <w:rsid w:val="00072BF1"/>
    <w:rsid w:val="000735F0"/>
    <w:rsid w:val="00073B00"/>
    <w:rsid w:val="0007448A"/>
    <w:rsid w:val="00074CFD"/>
    <w:rsid w:val="00074FEC"/>
    <w:rsid w:val="000754DD"/>
    <w:rsid w:val="00076763"/>
    <w:rsid w:val="000777E6"/>
    <w:rsid w:val="00080CDD"/>
    <w:rsid w:val="000838F3"/>
    <w:rsid w:val="0008675A"/>
    <w:rsid w:val="00086BE6"/>
    <w:rsid w:val="00087349"/>
    <w:rsid w:val="00091B89"/>
    <w:rsid w:val="00092CA9"/>
    <w:rsid w:val="000930DA"/>
    <w:rsid w:val="00093FC9"/>
    <w:rsid w:val="0009438C"/>
    <w:rsid w:val="00094CD8"/>
    <w:rsid w:val="00094EAB"/>
    <w:rsid w:val="000950D3"/>
    <w:rsid w:val="00096E13"/>
    <w:rsid w:val="000976B6"/>
    <w:rsid w:val="000978BB"/>
    <w:rsid w:val="00097960"/>
    <w:rsid w:val="00097ADA"/>
    <w:rsid w:val="00097AEB"/>
    <w:rsid w:val="000A0879"/>
    <w:rsid w:val="000A0E3C"/>
    <w:rsid w:val="000A12CC"/>
    <w:rsid w:val="000A14AC"/>
    <w:rsid w:val="000A16C5"/>
    <w:rsid w:val="000A3C7F"/>
    <w:rsid w:val="000A412F"/>
    <w:rsid w:val="000A58CA"/>
    <w:rsid w:val="000A6462"/>
    <w:rsid w:val="000A6B29"/>
    <w:rsid w:val="000A7772"/>
    <w:rsid w:val="000B1245"/>
    <w:rsid w:val="000B1599"/>
    <w:rsid w:val="000B2CCF"/>
    <w:rsid w:val="000B3E60"/>
    <w:rsid w:val="000B4CB7"/>
    <w:rsid w:val="000B617B"/>
    <w:rsid w:val="000B6F56"/>
    <w:rsid w:val="000B778B"/>
    <w:rsid w:val="000C0B2D"/>
    <w:rsid w:val="000C101E"/>
    <w:rsid w:val="000C1354"/>
    <w:rsid w:val="000C4843"/>
    <w:rsid w:val="000C4CA1"/>
    <w:rsid w:val="000C4E0B"/>
    <w:rsid w:val="000C5899"/>
    <w:rsid w:val="000C5BC6"/>
    <w:rsid w:val="000C64AB"/>
    <w:rsid w:val="000C6B89"/>
    <w:rsid w:val="000D0A1C"/>
    <w:rsid w:val="000D0A49"/>
    <w:rsid w:val="000D1791"/>
    <w:rsid w:val="000D26FA"/>
    <w:rsid w:val="000D279E"/>
    <w:rsid w:val="000D39E2"/>
    <w:rsid w:val="000D4068"/>
    <w:rsid w:val="000D5591"/>
    <w:rsid w:val="000D5BE5"/>
    <w:rsid w:val="000E03A7"/>
    <w:rsid w:val="000E0754"/>
    <w:rsid w:val="000E1F98"/>
    <w:rsid w:val="000E3005"/>
    <w:rsid w:val="000E33C3"/>
    <w:rsid w:val="000E398E"/>
    <w:rsid w:val="000E39A2"/>
    <w:rsid w:val="000E3FFC"/>
    <w:rsid w:val="000E42AC"/>
    <w:rsid w:val="000E4AF7"/>
    <w:rsid w:val="000E4D0B"/>
    <w:rsid w:val="000E7154"/>
    <w:rsid w:val="000E7667"/>
    <w:rsid w:val="000E7821"/>
    <w:rsid w:val="000F20EC"/>
    <w:rsid w:val="000F2478"/>
    <w:rsid w:val="000F3A73"/>
    <w:rsid w:val="000F4768"/>
    <w:rsid w:val="000F5D88"/>
    <w:rsid w:val="000F67E1"/>
    <w:rsid w:val="000F6FB8"/>
    <w:rsid w:val="000F7529"/>
    <w:rsid w:val="000F7E4B"/>
    <w:rsid w:val="000F7E56"/>
    <w:rsid w:val="001002A5"/>
    <w:rsid w:val="001009DA"/>
    <w:rsid w:val="00102086"/>
    <w:rsid w:val="00102714"/>
    <w:rsid w:val="001028A9"/>
    <w:rsid w:val="00102FA0"/>
    <w:rsid w:val="00103608"/>
    <w:rsid w:val="00103A27"/>
    <w:rsid w:val="0010432D"/>
    <w:rsid w:val="00104345"/>
    <w:rsid w:val="00106AE7"/>
    <w:rsid w:val="0011004F"/>
    <w:rsid w:val="0011065F"/>
    <w:rsid w:val="0011143D"/>
    <w:rsid w:val="001120A0"/>
    <w:rsid w:val="0011278C"/>
    <w:rsid w:val="00112CB5"/>
    <w:rsid w:val="0011359A"/>
    <w:rsid w:val="00114060"/>
    <w:rsid w:val="001145E1"/>
    <w:rsid w:val="00114767"/>
    <w:rsid w:val="001148DB"/>
    <w:rsid w:val="00116244"/>
    <w:rsid w:val="00116DF6"/>
    <w:rsid w:val="001172F2"/>
    <w:rsid w:val="00120C53"/>
    <w:rsid w:val="00120FC3"/>
    <w:rsid w:val="001214F0"/>
    <w:rsid w:val="00121674"/>
    <w:rsid w:val="00121B82"/>
    <w:rsid w:val="001230EB"/>
    <w:rsid w:val="00123AEA"/>
    <w:rsid w:val="00123C08"/>
    <w:rsid w:val="00124184"/>
    <w:rsid w:val="00124275"/>
    <w:rsid w:val="001248CD"/>
    <w:rsid w:val="00125976"/>
    <w:rsid w:val="00127EF3"/>
    <w:rsid w:val="001302B1"/>
    <w:rsid w:val="00130896"/>
    <w:rsid w:val="00130BEF"/>
    <w:rsid w:val="00131883"/>
    <w:rsid w:val="00131C03"/>
    <w:rsid w:val="00132734"/>
    <w:rsid w:val="001343E9"/>
    <w:rsid w:val="00134A6E"/>
    <w:rsid w:val="00135398"/>
    <w:rsid w:val="00135405"/>
    <w:rsid w:val="00135BA2"/>
    <w:rsid w:val="001360B0"/>
    <w:rsid w:val="00136B69"/>
    <w:rsid w:val="00136D9F"/>
    <w:rsid w:val="00137206"/>
    <w:rsid w:val="00137272"/>
    <w:rsid w:val="0013770C"/>
    <w:rsid w:val="00140494"/>
    <w:rsid w:val="00140CC4"/>
    <w:rsid w:val="001410C3"/>
    <w:rsid w:val="00142592"/>
    <w:rsid w:val="00142F1E"/>
    <w:rsid w:val="00143382"/>
    <w:rsid w:val="00144082"/>
    <w:rsid w:val="0014413D"/>
    <w:rsid w:val="00144D60"/>
    <w:rsid w:val="0014572B"/>
    <w:rsid w:val="0014658F"/>
    <w:rsid w:val="0014766D"/>
    <w:rsid w:val="001479CC"/>
    <w:rsid w:val="00147F3E"/>
    <w:rsid w:val="0015012C"/>
    <w:rsid w:val="00150D5F"/>
    <w:rsid w:val="00151988"/>
    <w:rsid w:val="00153702"/>
    <w:rsid w:val="00155044"/>
    <w:rsid w:val="001553E1"/>
    <w:rsid w:val="0015622C"/>
    <w:rsid w:val="00156437"/>
    <w:rsid w:val="00157AFB"/>
    <w:rsid w:val="00161E99"/>
    <w:rsid w:val="001631E2"/>
    <w:rsid w:val="001653C9"/>
    <w:rsid w:val="001654D4"/>
    <w:rsid w:val="00165A56"/>
    <w:rsid w:val="001668BA"/>
    <w:rsid w:val="00166F09"/>
    <w:rsid w:val="00167040"/>
    <w:rsid w:val="00167101"/>
    <w:rsid w:val="00167A20"/>
    <w:rsid w:val="00171552"/>
    <w:rsid w:val="001715EE"/>
    <w:rsid w:val="001719BA"/>
    <w:rsid w:val="00171A0D"/>
    <w:rsid w:val="00172239"/>
    <w:rsid w:val="0017334E"/>
    <w:rsid w:val="001737BF"/>
    <w:rsid w:val="001739E0"/>
    <w:rsid w:val="00173C33"/>
    <w:rsid w:val="001740EF"/>
    <w:rsid w:val="0017415F"/>
    <w:rsid w:val="00175DF5"/>
    <w:rsid w:val="00175FD4"/>
    <w:rsid w:val="001765E5"/>
    <w:rsid w:val="001768DC"/>
    <w:rsid w:val="00177C36"/>
    <w:rsid w:val="00180987"/>
    <w:rsid w:val="00181959"/>
    <w:rsid w:val="00181A5E"/>
    <w:rsid w:val="00181F12"/>
    <w:rsid w:val="001845DB"/>
    <w:rsid w:val="001855B7"/>
    <w:rsid w:val="001877D0"/>
    <w:rsid w:val="00187C56"/>
    <w:rsid w:val="0019065E"/>
    <w:rsid w:val="00191D61"/>
    <w:rsid w:val="00192430"/>
    <w:rsid w:val="00193C52"/>
    <w:rsid w:val="00193F46"/>
    <w:rsid w:val="0019506D"/>
    <w:rsid w:val="001950E2"/>
    <w:rsid w:val="001965D0"/>
    <w:rsid w:val="00196B83"/>
    <w:rsid w:val="001A002C"/>
    <w:rsid w:val="001A0A6C"/>
    <w:rsid w:val="001A0C5C"/>
    <w:rsid w:val="001A1062"/>
    <w:rsid w:val="001A1AD0"/>
    <w:rsid w:val="001A1F94"/>
    <w:rsid w:val="001A29EA"/>
    <w:rsid w:val="001A3C0C"/>
    <w:rsid w:val="001A47BE"/>
    <w:rsid w:val="001A4C12"/>
    <w:rsid w:val="001A551F"/>
    <w:rsid w:val="001A5F2C"/>
    <w:rsid w:val="001A69E4"/>
    <w:rsid w:val="001A7D65"/>
    <w:rsid w:val="001B0348"/>
    <w:rsid w:val="001B15A0"/>
    <w:rsid w:val="001B18D8"/>
    <w:rsid w:val="001B21EA"/>
    <w:rsid w:val="001B23D6"/>
    <w:rsid w:val="001B272C"/>
    <w:rsid w:val="001B290B"/>
    <w:rsid w:val="001B48AD"/>
    <w:rsid w:val="001B5153"/>
    <w:rsid w:val="001B5F0E"/>
    <w:rsid w:val="001B7C51"/>
    <w:rsid w:val="001B7EA7"/>
    <w:rsid w:val="001C10B3"/>
    <w:rsid w:val="001C182B"/>
    <w:rsid w:val="001C2AFB"/>
    <w:rsid w:val="001C2BE2"/>
    <w:rsid w:val="001C3C0D"/>
    <w:rsid w:val="001C499D"/>
    <w:rsid w:val="001C75BF"/>
    <w:rsid w:val="001C7639"/>
    <w:rsid w:val="001D1357"/>
    <w:rsid w:val="001D3304"/>
    <w:rsid w:val="001D35D6"/>
    <w:rsid w:val="001D3640"/>
    <w:rsid w:val="001D51EE"/>
    <w:rsid w:val="001D5DA7"/>
    <w:rsid w:val="001E005F"/>
    <w:rsid w:val="001E2DBF"/>
    <w:rsid w:val="001E3298"/>
    <w:rsid w:val="001E3EA2"/>
    <w:rsid w:val="001E4FEE"/>
    <w:rsid w:val="001E605F"/>
    <w:rsid w:val="001E649C"/>
    <w:rsid w:val="001E7836"/>
    <w:rsid w:val="001F03E4"/>
    <w:rsid w:val="001F1E12"/>
    <w:rsid w:val="001F1E86"/>
    <w:rsid w:val="001F25CA"/>
    <w:rsid w:val="001F304D"/>
    <w:rsid w:val="001F39C4"/>
    <w:rsid w:val="001F59FD"/>
    <w:rsid w:val="001F6377"/>
    <w:rsid w:val="001F6BD9"/>
    <w:rsid w:val="00200422"/>
    <w:rsid w:val="00200C1F"/>
    <w:rsid w:val="00201721"/>
    <w:rsid w:val="00201EB6"/>
    <w:rsid w:val="0020228A"/>
    <w:rsid w:val="00202D83"/>
    <w:rsid w:val="00202E7D"/>
    <w:rsid w:val="002037B1"/>
    <w:rsid w:val="00203C2C"/>
    <w:rsid w:val="00204020"/>
    <w:rsid w:val="002048AD"/>
    <w:rsid w:val="0020496C"/>
    <w:rsid w:val="00204E09"/>
    <w:rsid w:val="00204E55"/>
    <w:rsid w:val="00205177"/>
    <w:rsid w:val="00206CCC"/>
    <w:rsid w:val="0020757C"/>
    <w:rsid w:val="002104CA"/>
    <w:rsid w:val="002106CF"/>
    <w:rsid w:val="0021144F"/>
    <w:rsid w:val="00211702"/>
    <w:rsid w:val="00214201"/>
    <w:rsid w:val="00214566"/>
    <w:rsid w:val="0021521E"/>
    <w:rsid w:val="0021634D"/>
    <w:rsid w:val="00216841"/>
    <w:rsid w:val="002175BC"/>
    <w:rsid w:val="00217690"/>
    <w:rsid w:val="0021787B"/>
    <w:rsid w:val="00220165"/>
    <w:rsid w:val="00224391"/>
    <w:rsid w:val="00224683"/>
    <w:rsid w:val="0022533F"/>
    <w:rsid w:val="002259FA"/>
    <w:rsid w:val="00230941"/>
    <w:rsid w:val="00230FEE"/>
    <w:rsid w:val="00231034"/>
    <w:rsid w:val="0023186C"/>
    <w:rsid w:val="00232DF4"/>
    <w:rsid w:val="00232F99"/>
    <w:rsid w:val="00233BE6"/>
    <w:rsid w:val="00233C69"/>
    <w:rsid w:val="0023409D"/>
    <w:rsid w:val="00234BDA"/>
    <w:rsid w:val="00235D98"/>
    <w:rsid w:val="002365E6"/>
    <w:rsid w:val="00236C8A"/>
    <w:rsid w:val="0023726D"/>
    <w:rsid w:val="00240914"/>
    <w:rsid w:val="00243565"/>
    <w:rsid w:val="00244DAD"/>
    <w:rsid w:val="00244FFD"/>
    <w:rsid w:val="00246FFB"/>
    <w:rsid w:val="0025029B"/>
    <w:rsid w:val="00252568"/>
    <w:rsid w:val="00253BAB"/>
    <w:rsid w:val="00253F6E"/>
    <w:rsid w:val="0025449A"/>
    <w:rsid w:val="00256A85"/>
    <w:rsid w:val="0025703A"/>
    <w:rsid w:val="00257972"/>
    <w:rsid w:val="00257CA9"/>
    <w:rsid w:val="00260952"/>
    <w:rsid w:val="00260A3D"/>
    <w:rsid w:val="00261D76"/>
    <w:rsid w:val="00262474"/>
    <w:rsid w:val="0026519E"/>
    <w:rsid w:val="00265916"/>
    <w:rsid w:val="00265B91"/>
    <w:rsid w:val="0026638C"/>
    <w:rsid w:val="00266F5A"/>
    <w:rsid w:val="00267384"/>
    <w:rsid w:val="00270FB8"/>
    <w:rsid w:val="00272B5F"/>
    <w:rsid w:val="00273ED5"/>
    <w:rsid w:val="00274325"/>
    <w:rsid w:val="002759C4"/>
    <w:rsid w:val="00275FD2"/>
    <w:rsid w:val="002765C2"/>
    <w:rsid w:val="0027693B"/>
    <w:rsid w:val="00277191"/>
    <w:rsid w:val="00280B61"/>
    <w:rsid w:val="00280D1E"/>
    <w:rsid w:val="00280F43"/>
    <w:rsid w:val="00281796"/>
    <w:rsid w:val="00281CB4"/>
    <w:rsid w:val="00282463"/>
    <w:rsid w:val="002825B3"/>
    <w:rsid w:val="00282A21"/>
    <w:rsid w:val="002834B5"/>
    <w:rsid w:val="002846ED"/>
    <w:rsid w:val="00286307"/>
    <w:rsid w:val="00286682"/>
    <w:rsid w:val="00286980"/>
    <w:rsid w:val="00286EB2"/>
    <w:rsid w:val="0028796C"/>
    <w:rsid w:val="00287BF8"/>
    <w:rsid w:val="00287C5B"/>
    <w:rsid w:val="002905B3"/>
    <w:rsid w:val="00292902"/>
    <w:rsid w:val="00292C37"/>
    <w:rsid w:val="00292F48"/>
    <w:rsid w:val="002954AE"/>
    <w:rsid w:val="002954F3"/>
    <w:rsid w:val="0029641D"/>
    <w:rsid w:val="00296626"/>
    <w:rsid w:val="002A0A91"/>
    <w:rsid w:val="002A451B"/>
    <w:rsid w:val="002A4B0B"/>
    <w:rsid w:val="002A50D8"/>
    <w:rsid w:val="002A5A16"/>
    <w:rsid w:val="002A5B80"/>
    <w:rsid w:val="002A5D48"/>
    <w:rsid w:val="002A699C"/>
    <w:rsid w:val="002A69F4"/>
    <w:rsid w:val="002A7051"/>
    <w:rsid w:val="002A707F"/>
    <w:rsid w:val="002A7318"/>
    <w:rsid w:val="002A750D"/>
    <w:rsid w:val="002A7843"/>
    <w:rsid w:val="002B0032"/>
    <w:rsid w:val="002B0264"/>
    <w:rsid w:val="002B0AA4"/>
    <w:rsid w:val="002B0BBC"/>
    <w:rsid w:val="002B1708"/>
    <w:rsid w:val="002B19C3"/>
    <w:rsid w:val="002B225F"/>
    <w:rsid w:val="002B3FF6"/>
    <w:rsid w:val="002B3FFA"/>
    <w:rsid w:val="002B40D1"/>
    <w:rsid w:val="002B4209"/>
    <w:rsid w:val="002B48DF"/>
    <w:rsid w:val="002B4BFF"/>
    <w:rsid w:val="002B5200"/>
    <w:rsid w:val="002B6586"/>
    <w:rsid w:val="002B728E"/>
    <w:rsid w:val="002B76D5"/>
    <w:rsid w:val="002C006D"/>
    <w:rsid w:val="002C0364"/>
    <w:rsid w:val="002C0938"/>
    <w:rsid w:val="002C2E49"/>
    <w:rsid w:val="002C2EBD"/>
    <w:rsid w:val="002C41FE"/>
    <w:rsid w:val="002C5A64"/>
    <w:rsid w:val="002C61C3"/>
    <w:rsid w:val="002C71CF"/>
    <w:rsid w:val="002D057E"/>
    <w:rsid w:val="002D15C6"/>
    <w:rsid w:val="002D198F"/>
    <w:rsid w:val="002D2497"/>
    <w:rsid w:val="002D35B6"/>
    <w:rsid w:val="002D37D5"/>
    <w:rsid w:val="002D4505"/>
    <w:rsid w:val="002D5693"/>
    <w:rsid w:val="002D58E0"/>
    <w:rsid w:val="002D6145"/>
    <w:rsid w:val="002D6B4E"/>
    <w:rsid w:val="002D6E77"/>
    <w:rsid w:val="002D7367"/>
    <w:rsid w:val="002E05B8"/>
    <w:rsid w:val="002E1A76"/>
    <w:rsid w:val="002E1D8A"/>
    <w:rsid w:val="002E2A6B"/>
    <w:rsid w:val="002E416C"/>
    <w:rsid w:val="002E50B6"/>
    <w:rsid w:val="002E50CA"/>
    <w:rsid w:val="002E5A8C"/>
    <w:rsid w:val="002E64B9"/>
    <w:rsid w:val="002E6B13"/>
    <w:rsid w:val="002E6CA1"/>
    <w:rsid w:val="002E7085"/>
    <w:rsid w:val="002E78F4"/>
    <w:rsid w:val="002F00B6"/>
    <w:rsid w:val="002F2AA2"/>
    <w:rsid w:val="002F37D6"/>
    <w:rsid w:val="002F4822"/>
    <w:rsid w:val="002F4B47"/>
    <w:rsid w:val="002F6408"/>
    <w:rsid w:val="002F69FB"/>
    <w:rsid w:val="002F6A42"/>
    <w:rsid w:val="002F6CE0"/>
    <w:rsid w:val="00301BFC"/>
    <w:rsid w:val="00301E82"/>
    <w:rsid w:val="00302D1E"/>
    <w:rsid w:val="0030347E"/>
    <w:rsid w:val="003054FC"/>
    <w:rsid w:val="0030680F"/>
    <w:rsid w:val="0031100B"/>
    <w:rsid w:val="003114C5"/>
    <w:rsid w:val="00311EF8"/>
    <w:rsid w:val="00311F32"/>
    <w:rsid w:val="00312E0B"/>
    <w:rsid w:val="00313A73"/>
    <w:rsid w:val="003146D2"/>
    <w:rsid w:val="00314BFA"/>
    <w:rsid w:val="00316822"/>
    <w:rsid w:val="00316C31"/>
    <w:rsid w:val="003202FE"/>
    <w:rsid w:val="003213EA"/>
    <w:rsid w:val="00321FD3"/>
    <w:rsid w:val="003222A3"/>
    <w:rsid w:val="003224EB"/>
    <w:rsid w:val="00322652"/>
    <w:rsid w:val="003231D5"/>
    <w:rsid w:val="00323974"/>
    <w:rsid w:val="00323A54"/>
    <w:rsid w:val="00324322"/>
    <w:rsid w:val="003243CC"/>
    <w:rsid w:val="00324ECE"/>
    <w:rsid w:val="00324F68"/>
    <w:rsid w:val="003259EE"/>
    <w:rsid w:val="00327472"/>
    <w:rsid w:val="00330581"/>
    <w:rsid w:val="003306C9"/>
    <w:rsid w:val="00330D35"/>
    <w:rsid w:val="00332895"/>
    <w:rsid w:val="00334232"/>
    <w:rsid w:val="00334E38"/>
    <w:rsid w:val="00334ED4"/>
    <w:rsid w:val="00334FCC"/>
    <w:rsid w:val="00335352"/>
    <w:rsid w:val="00335889"/>
    <w:rsid w:val="00335DB5"/>
    <w:rsid w:val="00336A86"/>
    <w:rsid w:val="00341FEA"/>
    <w:rsid w:val="00343CAD"/>
    <w:rsid w:val="00345AEE"/>
    <w:rsid w:val="00345C1A"/>
    <w:rsid w:val="00350F51"/>
    <w:rsid w:val="0035125D"/>
    <w:rsid w:val="00352DE2"/>
    <w:rsid w:val="00353472"/>
    <w:rsid w:val="0035436D"/>
    <w:rsid w:val="00354FF6"/>
    <w:rsid w:val="00355FCD"/>
    <w:rsid w:val="00361C71"/>
    <w:rsid w:val="003630D6"/>
    <w:rsid w:val="0036317F"/>
    <w:rsid w:val="00364842"/>
    <w:rsid w:val="00367D6B"/>
    <w:rsid w:val="00370C77"/>
    <w:rsid w:val="00370F4A"/>
    <w:rsid w:val="00372F4E"/>
    <w:rsid w:val="003734AA"/>
    <w:rsid w:val="003743B9"/>
    <w:rsid w:val="00374794"/>
    <w:rsid w:val="00374A21"/>
    <w:rsid w:val="003766EA"/>
    <w:rsid w:val="0038134C"/>
    <w:rsid w:val="003820BA"/>
    <w:rsid w:val="003823A1"/>
    <w:rsid w:val="00382526"/>
    <w:rsid w:val="00382C83"/>
    <w:rsid w:val="00383C89"/>
    <w:rsid w:val="00383D01"/>
    <w:rsid w:val="00384177"/>
    <w:rsid w:val="003862C2"/>
    <w:rsid w:val="00386C6D"/>
    <w:rsid w:val="003909E2"/>
    <w:rsid w:val="00390CD1"/>
    <w:rsid w:val="00392E0F"/>
    <w:rsid w:val="00392FC0"/>
    <w:rsid w:val="003947CB"/>
    <w:rsid w:val="003949D8"/>
    <w:rsid w:val="00394ED0"/>
    <w:rsid w:val="003952C4"/>
    <w:rsid w:val="0039561C"/>
    <w:rsid w:val="003A0B29"/>
    <w:rsid w:val="003A0E82"/>
    <w:rsid w:val="003A1348"/>
    <w:rsid w:val="003A1858"/>
    <w:rsid w:val="003A47B8"/>
    <w:rsid w:val="003A510C"/>
    <w:rsid w:val="003A7A2A"/>
    <w:rsid w:val="003B049D"/>
    <w:rsid w:val="003B0ACC"/>
    <w:rsid w:val="003B0D74"/>
    <w:rsid w:val="003B1517"/>
    <w:rsid w:val="003B1EC6"/>
    <w:rsid w:val="003B2B76"/>
    <w:rsid w:val="003B3718"/>
    <w:rsid w:val="003B5497"/>
    <w:rsid w:val="003B6186"/>
    <w:rsid w:val="003B632E"/>
    <w:rsid w:val="003B6A83"/>
    <w:rsid w:val="003B6C9F"/>
    <w:rsid w:val="003B73D5"/>
    <w:rsid w:val="003B7B3B"/>
    <w:rsid w:val="003C13B7"/>
    <w:rsid w:val="003C1449"/>
    <w:rsid w:val="003C3151"/>
    <w:rsid w:val="003C3CF6"/>
    <w:rsid w:val="003C54E1"/>
    <w:rsid w:val="003C59B2"/>
    <w:rsid w:val="003C69D0"/>
    <w:rsid w:val="003D07AA"/>
    <w:rsid w:val="003D11F0"/>
    <w:rsid w:val="003D17C5"/>
    <w:rsid w:val="003D1872"/>
    <w:rsid w:val="003D27B6"/>
    <w:rsid w:val="003D302B"/>
    <w:rsid w:val="003D31BB"/>
    <w:rsid w:val="003D39F3"/>
    <w:rsid w:val="003D3D98"/>
    <w:rsid w:val="003D4CD5"/>
    <w:rsid w:val="003D5703"/>
    <w:rsid w:val="003D62F6"/>
    <w:rsid w:val="003D7895"/>
    <w:rsid w:val="003E091B"/>
    <w:rsid w:val="003E146F"/>
    <w:rsid w:val="003E165E"/>
    <w:rsid w:val="003E1EE3"/>
    <w:rsid w:val="003E2AF6"/>
    <w:rsid w:val="003E30EC"/>
    <w:rsid w:val="003E31CD"/>
    <w:rsid w:val="003E367B"/>
    <w:rsid w:val="003E4A98"/>
    <w:rsid w:val="003E53C5"/>
    <w:rsid w:val="003E56D8"/>
    <w:rsid w:val="003E7039"/>
    <w:rsid w:val="003F07E7"/>
    <w:rsid w:val="003F0A4D"/>
    <w:rsid w:val="003F150F"/>
    <w:rsid w:val="003F1C93"/>
    <w:rsid w:val="003F2069"/>
    <w:rsid w:val="003F3106"/>
    <w:rsid w:val="003F3114"/>
    <w:rsid w:val="003F349D"/>
    <w:rsid w:val="003F4615"/>
    <w:rsid w:val="003F49CC"/>
    <w:rsid w:val="003F5D9B"/>
    <w:rsid w:val="003F71CE"/>
    <w:rsid w:val="003F73EB"/>
    <w:rsid w:val="003F79EF"/>
    <w:rsid w:val="004004D6"/>
    <w:rsid w:val="004005E8"/>
    <w:rsid w:val="004005EF"/>
    <w:rsid w:val="004012D9"/>
    <w:rsid w:val="00401A32"/>
    <w:rsid w:val="00401F39"/>
    <w:rsid w:val="00402BD6"/>
    <w:rsid w:val="004033C1"/>
    <w:rsid w:val="00403F4D"/>
    <w:rsid w:val="0040441D"/>
    <w:rsid w:val="00405739"/>
    <w:rsid w:val="0040583E"/>
    <w:rsid w:val="00405BFA"/>
    <w:rsid w:val="00405D60"/>
    <w:rsid w:val="00406822"/>
    <w:rsid w:val="00407255"/>
    <w:rsid w:val="004130A6"/>
    <w:rsid w:val="0041356D"/>
    <w:rsid w:val="00413ADB"/>
    <w:rsid w:val="00414AB5"/>
    <w:rsid w:val="0041502E"/>
    <w:rsid w:val="00415075"/>
    <w:rsid w:val="004150FC"/>
    <w:rsid w:val="0041600B"/>
    <w:rsid w:val="004169FB"/>
    <w:rsid w:val="004215B4"/>
    <w:rsid w:val="00421D62"/>
    <w:rsid w:val="00422301"/>
    <w:rsid w:val="00422C8B"/>
    <w:rsid w:val="004233BC"/>
    <w:rsid w:val="004238B9"/>
    <w:rsid w:val="00426013"/>
    <w:rsid w:val="0042676A"/>
    <w:rsid w:val="00426779"/>
    <w:rsid w:val="00427339"/>
    <w:rsid w:val="00430556"/>
    <w:rsid w:val="00431374"/>
    <w:rsid w:val="0043165A"/>
    <w:rsid w:val="00431DFE"/>
    <w:rsid w:val="004320F4"/>
    <w:rsid w:val="00432541"/>
    <w:rsid w:val="00433948"/>
    <w:rsid w:val="00433AE8"/>
    <w:rsid w:val="004343AC"/>
    <w:rsid w:val="00434639"/>
    <w:rsid w:val="00434E4E"/>
    <w:rsid w:val="00435123"/>
    <w:rsid w:val="00435284"/>
    <w:rsid w:val="0043540E"/>
    <w:rsid w:val="004360EB"/>
    <w:rsid w:val="00436328"/>
    <w:rsid w:val="00436E8A"/>
    <w:rsid w:val="004375F6"/>
    <w:rsid w:val="00437C17"/>
    <w:rsid w:val="004418ED"/>
    <w:rsid w:val="00443955"/>
    <w:rsid w:val="00445579"/>
    <w:rsid w:val="00445D12"/>
    <w:rsid w:val="00446752"/>
    <w:rsid w:val="00446BC7"/>
    <w:rsid w:val="00447251"/>
    <w:rsid w:val="0044758F"/>
    <w:rsid w:val="004476F8"/>
    <w:rsid w:val="00447760"/>
    <w:rsid w:val="00450323"/>
    <w:rsid w:val="004515A0"/>
    <w:rsid w:val="00452393"/>
    <w:rsid w:val="00452B1D"/>
    <w:rsid w:val="00452EA9"/>
    <w:rsid w:val="004556F3"/>
    <w:rsid w:val="00457723"/>
    <w:rsid w:val="00457AA1"/>
    <w:rsid w:val="00457DB3"/>
    <w:rsid w:val="00463C85"/>
    <w:rsid w:val="004645F5"/>
    <w:rsid w:val="0046493C"/>
    <w:rsid w:val="00465925"/>
    <w:rsid w:val="00466B47"/>
    <w:rsid w:val="004673C8"/>
    <w:rsid w:val="00470511"/>
    <w:rsid w:val="004717FE"/>
    <w:rsid w:val="004719BB"/>
    <w:rsid w:val="004719DB"/>
    <w:rsid w:val="004731CC"/>
    <w:rsid w:val="00473237"/>
    <w:rsid w:val="00473872"/>
    <w:rsid w:val="004742BC"/>
    <w:rsid w:val="0047504C"/>
    <w:rsid w:val="0047558D"/>
    <w:rsid w:val="00475ADE"/>
    <w:rsid w:val="004772A2"/>
    <w:rsid w:val="004776F1"/>
    <w:rsid w:val="00480B14"/>
    <w:rsid w:val="00480BCC"/>
    <w:rsid w:val="00481D08"/>
    <w:rsid w:val="00482630"/>
    <w:rsid w:val="00482E82"/>
    <w:rsid w:val="004831BB"/>
    <w:rsid w:val="00483AB6"/>
    <w:rsid w:val="00484481"/>
    <w:rsid w:val="0048481F"/>
    <w:rsid w:val="00485744"/>
    <w:rsid w:val="00486ECE"/>
    <w:rsid w:val="00487FB1"/>
    <w:rsid w:val="0049174C"/>
    <w:rsid w:val="00492292"/>
    <w:rsid w:val="0049292E"/>
    <w:rsid w:val="00492C73"/>
    <w:rsid w:val="004931C5"/>
    <w:rsid w:val="0049405D"/>
    <w:rsid w:val="0049444C"/>
    <w:rsid w:val="0049568A"/>
    <w:rsid w:val="00495E53"/>
    <w:rsid w:val="00496096"/>
    <w:rsid w:val="004A00D7"/>
    <w:rsid w:val="004A019B"/>
    <w:rsid w:val="004A0AD4"/>
    <w:rsid w:val="004A106D"/>
    <w:rsid w:val="004A12EB"/>
    <w:rsid w:val="004A1E44"/>
    <w:rsid w:val="004A31C4"/>
    <w:rsid w:val="004A4252"/>
    <w:rsid w:val="004A454D"/>
    <w:rsid w:val="004A5CAF"/>
    <w:rsid w:val="004A63D2"/>
    <w:rsid w:val="004A68FB"/>
    <w:rsid w:val="004A6A6F"/>
    <w:rsid w:val="004A77C5"/>
    <w:rsid w:val="004A78A2"/>
    <w:rsid w:val="004A7FE9"/>
    <w:rsid w:val="004B0525"/>
    <w:rsid w:val="004B0DEA"/>
    <w:rsid w:val="004B151F"/>
    <w:rsid w:val="004B1A1C"/>
    <w:rsid w:val="004B289F"/>
    <w:rsid w:val="004B336A"/>
    <w:rsid w:val="004B37C4"/>
    <w:rsid w:val="004B3949"/>
    <w:rsid w:val="004B5C0A"/>
    <w:rsid w:val="004B6007"/>
    <w:rsid w:val="004B6A3B"/>
    <w:rsid w:val="004B739D"/>
    <w:rsid w:val="004B7D09"/>
    <w:rsid w:val="004C1656"/>
    <w:rsid w:val="004C191A"/>
    <w:rsid w:val="004C1E56"/>
    <w:rsid w:val="004C28BB"/>
    <w:rsid w:val="004C30A8"/>
    <w:rsid w:val="004C38B2"/>
    <w:rsid w:val="004C3A69"/>
    <w:rsid w:val="004C41CC"/>
    <w:rsid w:val="004C4B68"/>
    <w:rsid w:val="004C5467"/>
    <w:rsid w:val="004C5F79"/>
    <w:rsid w:val="004C6E0A"/>
    <w:rsid w:val="004C6EE3"/>
    <w:rsid w:val="004D12C0"/>
    <w:rsid w:val="004D17C2"/>
    <w:rsid w:val="004D46C1"/>
    <w:rsid w:val="004E065A"/>
    <w:rsid w:val="004E0700"/>
    <w:rsid w:val="004E0FE6"/>
    <w:rsid w:val="004E10B6"/>
    <w:rsid w:val="004E3415"/>
    <w:rsid w:val="004E3776"/>
    <w:rsid w:val="004E51AB"/>
    <w:rsid w:val="004E60E3"/>
    <w:rsid w:val="004E6308"/>
    <w:rsid w:val="004E71DB"/>
    <w:rsid w:val="004E74B2"/>
    <w:rsid w:val="004F0B9D"/>
    <w:rsid w:val="004F101C"/>
    <w:rsid w:val="004F4B16"/>
    <w:rsid w:val="004F4C23"/>
    <w:rsid w:val="004F5D9D"/>
    <w:rsid w:val="004F68B1"/>
    <w:rsid w:val="004F70EC"/>
    <w:rsid w:val="004F710D"/>
    <w:rsid w:val="00500160"/>
    <w:rsid w:val="005002E2"/>
    <w:rsid w:val="00500EAF"/>
    <w:rsid w:val="005012E3"/>
    <w:rsid w:val="0050139D"/>
    <w:rsid w:val="00501795"/>
    <w:rsid w:val="00501B3F"/>
    <w:rsid w:val="00502105"/>
    <w:rsid w:val="00502FFC"/>
    <w:rsid w:val="00503EF2"/>
    <w:rsid w:val="00504C04"/>
    <w:rsid w:val="005052A2"/>
    <w:rsid w:val="0050583C"/>
    <w:rsid w:val="005069AD"/>
    <w:rsid w:val="00506B9A"/>
    <w:rsid w:val="00506D6A"/>
    <w:rsid w:val="0050737E"/>
    <w:rsid w:val="00507E5C"/>
    <w:rsid w:val="005106CE"/>
    <w:rsid w:val="005137DD"/>
    <w:rsid w:val="00513DA7"/>
    <w:rsid w:val="005153C5"/>
    <w:rsid w:val="00515548"/>
    <w:rsid w:val="00515B3A"/>
    <w:rsid w:val="00517835"/>
    <w:rsid w:val="005209A5"/>
    <w:rsid w:val="00520C74"/>
    <w:rsid w:val="005211A7"/>
    <w:rsid w:val="00522B94"/>
    <w:rsid w:val="00525E76"/>
    <w:rsid w:val="00526112"/>
    <w:rsid w:val="00526F60"/>
    <w:rsid w:val="00530B31"/>
    <w:rsid w:val="0053113E"/>
    <w:rsid w:val="00531DCE"/>
    <w:rsid w:val="00531E2F"/>
    <w:rsid w:val="005326B6"/>
    <w:rsid w:val="00532F6C"/>
    <w:rsid w:val="005334B2"/>
    <w:rsid w:val="00533766"/>
    <w:rsid w:val="0053494E"/>
    <w:rsid w:val="00534954"/>
    <w:rsid w:val="0053642E"/>
    <w:rsid w:val="00537060"/>
    <w:rsid w:val="00540A2B"/>
    <w:rsid w:val="005416D7"/>
    <w:rsid w:val="00542256"/>
    <w:rsid w:val="00543648"/>
    <w:rsid w:val="00543885"/>
    <w:rsid w:val="00544917"/>
    <w:rsid w:val="005474C2"/>
    <w:rsid w:val="005476ED"/>
    <w:rsid w:val="00550BE0"/>
    <w:rsid w:val="00553174"/>
    <w:rsid w:val="00553574"/>
    <w:rsid w:val="00553C17"/>
    <w:rsid w:val="00554A36"/>
    <w:rsid w:val="00554BA8"/>
    <w:rsid w:val="00554FBD"/>
    <w:rsid w:val="00555759"/>
    <w:rsid w:val="005558D4"/>
    <w:rsid w:val="00556259"/>
    <w:rsid w:val="00560934"/>
    <w:rsid w:val="00561A9B"/>
    <w:rsid w:val="00561C8B"/>
    <w:rsid w:val="00561DCD"/>
    <w:rsid w:val="00562601"/>
    <w:rsid w:val="00562EC0"/>
    <w:rsid w:val="00563206"/>
    <w:rsid w:val="00563922"/>
    <w:rsid w:val="00563E31"/>
    <w:rsid w:val="00564C24"/>
    <w:rsid w:val="00564DCC"/>
    <w:rsid w:val="005656C2"/>
    <w:rsid w:val="00567CF5"/>
    <w:rsid w:val="0057119B"/>
    <w:rsid w:val="0057128D"/>
    <w:rsid w:val="005729B2"/>
    <w:rsid w:val="00573EDD"/>
    <w:rsid w:val="0057461A"/>
    <w:rsid w:val="005747FB"/>
    <w:rsid w:val="00574C37"/>
    <w:rsid w:val="00575079"/>
    <w:rsid w:val="00575363"/>
    <w:rsid w:val="00575449"/>
    <w:rsid w:val="005757C4"/>
    <w:rsid w:val="00575A5D"/>
    <w:rsid w:val="005765A4"/>
    <w:rsid w:val="00576A24"/>
    <w:rsid w:val="00576B4D"/>
    <w:rsid w:val="00577DF1"/>
    <w:rsid w:val="00580A75"/>
    <w:rsid w:val="00582727"/>
    <w:rsid w:val="00583441"/>
    <w:rsid w:val="0058410D"/>
    <w:rsid w:val="005842E1"/>
    <w:rsid w:val="00584359"/>
    <w:rsid w:val="005863B1"/>
    <w:rsid w:val="0058686F"/>
    <w:rsid w:val="00587010"/>
    <w:rsid w:val="0059163E"/>
    <w:rsid w:val="005919DE"/>
    <w:rsid w:val="00592638"/>
    <w:rsid w:val="00592C77"/>
    <w:rsid w:val="00594D75"/>
    <w:rsid w:val="00595490"/>
    <w:rsid w:val="00595A34"/>
    <w:rsid w:val="00595CE1"/>
    <w:rsid w:val="005A04FC"/>
    <w:rsid w:val="005A1ADA"/>
    <w:rsid w:val="005A1EEF"/>
    <w:rsid w:val="005A2565"/>
    <w:rsid w:val="005A2EF8"/>
    <w:rsid w:val="005A34B6"/>
    <w:rsid w:val="005A3524"/>
    <w:rsid w:val="005A51F4"/>
    <w:rsid w:val="005A707C"/>
    <w:rsid w:val="005B0013"/>
    <w:rsid w:val="005B04C0"/>
    <w:rsid w:val="005B0A08"/>
    <w:rsid w:val="005B1238"/>
    <w:rsid w:val="005B173D"/>
    <w:rsid w:val="005B30F3"/>
    <w:rsid w:val="005B5B16"/>
    <w:rsid w:val="005B6B2A"/>
    <w:rsid w:val="005C01FF"/>
    <w:rsid w:val="005C1DBC"/>
    <w:rsid w:val="005C1F05"/>
    <w:rsid w:val="005C2FE7"/>
    <w:rsid w:val="005C3C51"/>
    <w:rsid w:val="005C4401"/>
    <w:rsid w:val="005C493E"/>
    <w:rsid w:val="005C4D06"/>
    <w:rsid w:val="005C4DF4"/>
    <w:rsid w:val="005C54D4"/>
    <w:rsid w:val="005C6E9D"/>
    <w:rsid w:val="005C7E19"/>
    <w:rsid w:val="005D0B74"/>
    <w:rsid w:val="005D0E00"/>
    <w:rsid w:val="005D2202"/>
    <w:rsid w:val="005D2627"/>
    <w:rsid w:val="005D294F"/>
    <w:rsid w:val="005D349E"/>
    <w:rsid w:val="005D3EDB"/>
    <w:rsid w:val="005D497D"/>
    <w:rsid w:val="005D4D9F"/>
    <w:rsid w:val="005D535C"/>
    <w:rsid w:val="005D581A"/>
    <w:rsid w:val="005D71E2"/>
    <w:rsid w:val="005D7673"/>
    <w:rsid w:val="005E00C1"/>
    <w:rsid w:val="005E26F5"/>
    <w:rsid w:val="005E387F"/>
    <w:rsid w:val="005E396F"/>
    <w:rsid w:val="005E4BC9"/>
    <w:rsid w:val="005E4C1C"/>
    <w:rsid w:val="005E67DD"/>
    <w:rsid w:val="005E726E"/>
    <w:rsid w:val="005E783E"/>
    <w:rsid w:val="005F0EDC"/>
    <w:rsid w:val="005F216C"/>
    <w:rsid w:val="005F40B5"/>
    <w:rsid w:val="005F45DB"/>
    <w:rsid w:val="005F507B"/>
    <w:rsid w:val="005F5266"/>
    <w:rsid w:val="005F66A0"/>
    <w:rsid w:val="005F69F8"/>
    <w:rsid w:val="005F6A69"/>
    <w:rsid w:val="005F7682"/>
    <w:rsid w:val="006020C0"/>
    <w:rsid w:val="006022F2"/>
    <w:rsid w:val="006029F1"/>
    <w:rsid w:val="006033BB"/>
    <w:rsid w:val="00603A63"/>
    <w:rsid w:val="00603C16"/>
    <w:rsid w:val="0060433B"/>
    <w:rsid w:val="00604CE0"/>
    <w:rsid w:val="00604F97"/>
    <w:rsid w:val="00605CCD"/>
    <w:rsid w:val="006063EA"/>
    <w:rsid w:val="00606817"/>
    <w:rsid w:val="006078EA"/>
    <w:rsid w:val="00607CBD"/>
    <w:rsid w:val="00610997"/>
    <w:rsid w:val="006115FE"/>
    <w:rsid w:val="00611A3B"/>
    <w:rsid w:val="00611DCE"/>
    <w:rsid w:val="00613DE1"/>
    <w:rsid w:val="00615182"/>
    <w:rsid w:val="00615F17"/>
    <w:rsid w:val="00616501"/>
    <w:rsid w:val="00616C3F"/>
    <w:rsid w:val="00617839"/>
    <w:rsid w:val="006203F4"/>
    <w:rsid w:val="00623381"/>
    <w:rsid w:val="006237F7"/>
    <w:rsid w:val="00623A62"/>
    <w:rsid w:val="006248BE"/>
    <w:rsid w:val="0063124C"/>
    <w:rsid w:val="0063325D"/>
    <w:rsid w:val="006337C9"/>
    <w:rsid w:val="00634E94"/>
    <w:rsid w:val="00634F64"/>
    <w:rsid w:val="00635D33"/>
    <w:rsid w:val="006405ED"/>
    <w:rsid w:val="00640EC4"/>
    <w:rsid w:val="0064101C"/>
    <w:rsid w:val="006416FB"/>
    <w:rsid w:val="00641D1A"/>
    <w:rsid w:val="006425D4"/>
    <w:rsid w:val="006425F1"/>
    <w:rsid w:val="006430B7"/>
    <w:rsid w:val="0064386E"/>
    <w:rsid w:val="00643E9C"/>
    <w:rsid w:val="00645B96"/>
    <w:rsid w:val="00645E6B"/>
    <w:rsid w:val="006467C5"/>
    <w:rsid w:val="006469AF"/>
    <w:rsid w:val="00646F34"/>
    <w:rsid w:val="006479DC"/>
    <w:rsid w:val="00647DA6"/>
    <w:rsid w:val="0065028B"/>
    <w:rsid w:val="006507C0"/>
    <w:rsid w:val="006513EB"/>
    <w:rsid w:val="00651518"/>
    <w:rsid w:val="00653A3C"/>
    <w:rsid w:val="00653E16"/>
    <w:rsid w:val="00653EA3"/>
    <w:rsid w:val="00654F3D"/>
    <w:rsid w:val="00655FE1"/>
    <w:rsid w:val="00656298"/>
    <w:rsid w:val="0065655C"/>
    <w:rsid w:val="006568E2"/>
    <w:rsid w:val="0066066A"/>
    <w:rsid w:val="00661356"/>
    <w:rsid w:val="006619F8"/>
    <w:rsid w:val="00661A7D"/>
    <w:rsid w:val="0066245A"/>
    <w:rsid w:val="00664122"/>
    <w:rsid w:val="00664C23"/>
    <w:rsid w:val="00664EDE"/>
    <w:rsid w:val="0066542A"/>
    <w:rsid w:val="00665DC8"/>
    <w:rsid w:val="00666D8F"/>
    <w:rsid w:val="00667067"/>
    <w:rsid w:val="0066714E"/>
    <w:rsid w:val="00670C8A"/>
    <w:rsid w:val="00671808"/>
    <w:rsid w:val="00673DE8"/>
    <w:rsid w:val="006749F3"/>
    <w:rsid w:val="00674FDF"/>
    <w:rsid w:val="00676890"/>
    <w:rsid w:val="00682255"/>
    <w:rsid w:val="00683DAF"/>
    <w:rsid w:val="006843BB"/>
    <w:rsid w:val="00684A7F"/>
    <w:rsid w:val="00684AB5"/>
    <w:rsid w:val="00684DDA"/>
    <w:rsid w:val="00684DEC"/>
    <w:rsid w:val="00684FDD"/>
    <w:rsid w:val="00686CA6"/>
    <w:rsid w:val="006871A0"/>
    <w:rsid w:val="00692C0D"/>
    <w:rsid w:val="0069324B"/>
    <w:rsid w:val="00693F5B"/>
    <w:rsid w:val="00695337"/>
    <w:rsid w:val="00695E6E"/>
    <w:rsid w:val="006966D5"/>
    <w:rsid w:val="00696EFB"/>
    <w:rsid w:val="00697955"/>
    <w:rsid w:val="00697BF0"/>
    <w:rsid w:val="00697D83"/>
    <w:rsid w:val="00697F2A"/>
    <w:rsid w:val="006A01AB"/>
    <w:rsid w:val="006A06D6"/>
    <w:rsid w:val="006A1D97"/>
    <w:rsid w:val="006A2369"/>
    <w:rsid w:val="006A38B2"/>
    <w:rsid w:val="006A3DA8"/>
    <w:rsid w:val="006A5836"/>
    <w:rsid w:val="006A7B5D"/>
    <w:rsid w:val="006B018A"/>
    <w:rsid w:val="006B0E1E"/>
    <w:rsid w:val="006B2564"/>
    <w:rsid w:val="006B25D6"/>
    <w:rsid w:val="006B2DCE"/>
    <w:rsid w:val="006B3017"/>
    <w:rsid w:val="006B43BC"/>
    <w:rsid w:val="006B4D07"/>
    <w:rsid w:val="006B53BB"/>
    <w:rsid w:val="006B56A9"/>
    <w:rsid w:val="006B5BF9"/>
    <w:rsid w:val="006C03D7"/>
    <w:rsid w:val="006C1071"/>
    <w:rsid w:val="006C1389"/>
    <w:rsid w:val="006C1BC1"/>
    <w:rsid w:val="006C37DB"/>
    <w:rsid w:val="006C46E0"/>
    <w:rsid w:val="006C4D3E"/>
    <w:rsid w:val="006C5B3E"/>
    <w:rsid w:val="006C615F"/>
    <w:rsid w:val="006C72EB"/>
    <w:rsid w:val="006C7903"/>
    <w:rsid w:val="006C7F46"/>
    <w:rsid w:val="006D02DF"/>
    <w:rsid w:val="006D0B36"/>
    <w:rsid w:val="006D35ED"/>
    <w:rsid w:val="006D3D26"/>
    <w:rsid w:val="006D3DB2"/>
    <w:rsid w:val="006D43E1"/>
    <w:rsid w:val="006D50C1"/>
    <w:rsid w:val="006D5726"/>
    <w:rsid w:val="006D6CC0"/>
    <w:rsid w:val="006D7072"/>
    <w:rsid w:val="006D7B33"/>
    <w:rsid w:val="006E0361"/>
    <w:rsid w:val="006E1195"/>
    <w:rsid w:val="006E142C"/>
    <w:rsid w:val="006E145A"/>
    <w:rsid w:val="006E15E3"/>
    <w:rsid w:val="006E2025"/>
    <w:rsid w:val="006E22EC"/>
    <w:rsid w:val="006E2387"/>
    <w:rsid w:val="006E24AD"/>
    <w:rsid w:val="006E26A0"/>
    <w:rsid w:val="006E510D"/>
    <w:rsid w:val="006E5173"/>
    <w:rsid w:val="006E5200"/>
    <w:rsid w:val="006E672C"/>
    <w:rsid w:val="006E773E"/>
    <w:rsid w:val="006E7AC8"/>
    <w:rsid w:val="006E7BC3"/>
    <w:rsid w:val="006E7BFD"/>
    <w:rsid w:val="006F0571"/>
    <w:rsid w:val="006F182E"/>
    <w:rsid w:val="006F3AE3"/>
    <w:rsid w:val="006F5B00"/>
    <w:rsid w:val="006F5D30"/>
    <w:rsid w:val="006F6D8D"/>
    <w:rsid w:val="006F71A9"/>
    <w:rsid w:val="006F7377"/>
    <w:rsid w:val="006F7D59"/>
    <w:rsid w:val="0070000E"/>
    <w:rsid w:val="0070014F"/>
    <w:rsid w:val="00700F57"/>
    <w:rsid w:val="00702E28"/>
    <w:rsid w:val="00703EFC"/>
    <w:rsid w:val="0070415B"/>
    <w:rsid w:val="0070418D"/>
    <w:rsid w:val="007043A6"/>
    <w:rsid w:val="0070444C"/>
    <w:rsid w:val="007051B7"/>
    <w:rsid w:val="00705217"/>
    <w:rsid w:val="007053D4"/>
    <w:rsid w:val="0070567E"/>
    <w:rsid w:val="00705A22"/>
    <w:rsid w:val="00705D3F"/>
    <w:rsid w:val="00706146"/>
    <w:rsid w:val="007066F2"/>
    <w:rsid w:val="00706976"/>
    <w:rsid w:val="00710BD6"/>
    <w:rsid w:val="00710C98"/>
    <w:rsid w:val="007122A8"/>
    <w:rsid w:val="00713508"/>
    <w:rsid w:val="00713608"/>
    <w:rsid w:val="007140B5"/>
    <w:rsid w:val="00716027"/>
    <w:rsid w:val="007162FA"/>
    <w:rsid w:val="00716332"/>
    <w:rsid w:val="00717443"/>
    <w:rsid w:val="00717C33"/>
    <w:rsid w:val="00717EB6"/>
    <w:rsid w:val="007211C8"/>
    <w:rsid w:val="0072273E"/>
    <w:rsid w:val="00724D08"/>
    <w:rsid w:val="00725BD7"/>
    <w:rsid w:val="00727264"/>
    <w:rsid w:val="0073050D"/>
    <w:rsid w:val="0073056F"/>
    <w:rsid w:val="0073167F"/>
    <w:rsid w:val="007321B4"/>
    <w:rsid w:val="0073254D"/>
    <w:rsid w:val="00732AF2"/>
    <w:rsid w:val="007332D5"/>
    <w:rsid w:val="00734D98"/>
    <w:rsid w:val="00735795"/>
    <w:rsid w:val="0073628B"/>
    <w:rsid w:val="00736449"/>
    <w:rsid w:val="00737BA7"/>
    <w:rsid w:val="00741BBA"/>
    <w:rsid w:val="00741C21"/>
    <w:rsid w:val="00742623"/>
    <w:rsid w:val="00743211"/>
    <w:rsid w:val="0074579E"/>
    <w:rsid w:val="00746225"/>
    <w:rsid w:val="00746768"/>
    <w:rsid w:val="00750B82"/>
    <w:rsid w:val="007511D9"/>
    <w:rsid w:val="00751CB0"/>
    <w:rsid w:val="00753CD4"/>
    <w:rsid w:val="0075478E"/>
    <w:rsid w:val="0075509A"/>
    <w:rsid w:val="00755E97"/>
    <w:rsid w:val="00756A0B"/>
    <w:rsid w:val="00756D7C"/>
    <w:rsid w:val="00757359"/>
    <w:rsid w:val="00763458"/>
    <w:rsid w:val="007637C1"/>
    <w:rsid w:val="007646E7"/>
    <w:rsid w:val="00766856"/>
    <w:rsid w:val="007669F0"/>
    <w:rsid w:val="00766DEB"/>
    <w:rsid w:val="00770A47"/>
    <w:rsid w:val="00771D2A"/>
    <w:rsid w:val="007722FF"/>
    <w:rsid w:val="007731E5"/>
    <w:rsid w:val="00773A1B"/>
    <w:rsid w:val="0077430C"/>
    <w:rsid w:val="00774D6E"/>
    <w:rsid w:val="00776353"/>
    <w:rsid w:val="007763E4"/>
    <w:rsid w:val="0077732B"/>
    <w:rsid w:val="00777445"/>
    <w:rsid w:val="0077791D"/>
    <w:rsid w:val="007800C1"/>
    <w:rsid w:val="007801FC"/>
    <w:rsid w:val="00780C12"/>
    <w:rsid w:val="007811A2"/>
    <w:rsid w:val="00781286"/>
    <w:rsid w:val="007815E1"/>
    <w:rsid w:val="00783B2F"/>
    <w:rsid w:val="007840F1"/>
    <w:rsid w:val="0078520D"/>
    <w:rsid w:val="007917AC"/>
    <w:rsid w:val="007919AE"/>
    <w:rsid w:val="00792DC4"/>
    <w:rsid w:val="00792E5A"/>
    <w:rsid w:val="00793F51"/>
    <w:rsid w:val="007944D6"/>
    <w:rsid w:val="0079485F"/>
    <w:rsid w:val="00794E8F"/>
    <w:rsid w:val="00794FFA"/>
    <w:rsid w:val="00796077"/>
    <w:rsid w:val="00796ED6"/>
    <w:rsid w:val="0079756F"/>
    <w:rsid w:val="007A009E"/>
    <w:rsid w:val="007A03C6"/>
    <w:rsid w:val="007A095F"/>
    <w:rsid w:val="007A21EA"/>
    <w:rsid w:val="007A25F1"/>
    <w:rsid w:val="007A33FE"/>
    <w:rsid w:val="007A3900"/>
    <w:rsid w:val="007A3A36"/>
    <w:rsid w:val="007A405C"/>
    <w:rsid w:val="007A4626"/>
    <w:rsid w:val="007A59F1"/>
    <w:rsid w:val="007A5AFF"/>
    <w:rsid w:val="007A5FD1"/>
    <w:rsid w:val="007A62ED"/>
    <w:rsid w:val="007A7222"/>
    <w:rsid w:val="007B075C"/>
    <w:rsid w:val="007B35B2"/>
    <w:rsid w:val="007B4B22"/>
    <w:rsid w:val="007B5E02"/>
    <w:rsid w:val="007B654B"/>
    <w:rsid w:val="007B719B"/>
    <w:rsid w:val="007B7637"/>
    <w:rsid w:val="007B7819"/>
    <w:rsid w:val="007C0915"/>
    <w:rsid w:val="007C1C13"/>
    <w:rsid w:val="007C225E"/>
    <w:rsid w:val="007C2E24"/>
    <w:rsid w:val="007C35FD"/>
    <w:rsid w:val="007C3DE5"/>
    <w:rsid w:val="007C4F7F"/>
    <w:rsid w:val="007C541E"/>
    <w:rsid w:val="007C6CBD"/>
    <w:rsid w:val="007C6E1E"/>
    <w:rsid w:val="007C78C4"/>
    <w:rsid w:val="007C7A97"/>
    <w:rsid w:val="007D0604"/>
    <w:rsid w:val="007D152B"/>
    <w:rsid w:val="007D1C11"/>
    <w:rsid w:val="007D310E"/>
    <w:rsid w:val="007D4290"/>
    <w:rsid w:val="007D5905"/>
    <w:rsid w:val="007D5C34"/>
    <w:rsid w:val="007D5E9F"/>
    <w:rsid w:val="007D765E"/>
    <w:rsid w:val="007D7D4C"/>
    <w:rsid w:val="007E0D1C"/>
    <w:rsid w:val="007E195E"/>
    <w:rsid w:val="007E1CC3"/>
    <w:rsid w:val="007E28FE"/>
    <w:rsid w:val="007E3965"/>
    <w:rsid w:val="007E42A0"/>
    <w:rsid w:val="007E4986"/>
    <w:rsid w:val="007E49AF"/>
    <w:rsid w:val="007E58B4"/>
    <w:rsid w:val="007E5FEB"/>
    <w:rsid w:val="007E6383"/>
    <w:rsid w:val="007F0942"/>
    <w:rsid w:val="007F2AAD"/>
    <w:rsid w:val="007F39BA"/>
    <w:rsid w:val="007F4F2F"/>
    <w:rsid w:val="007F5863"/>
    <w:rsid w:val="007F63F2"/>
    <w:rsid w:val="007F6D79"/>
    <w:rsid w:val="007F6FE3"/>
    <w:rsid w:val="00800357"/>
    <w:rsid w:val="00800B28"/>
    <w:rsid w:val="008021A1"/>
    <w:rsid w:val="008027CA"/>
    <w:rsid w:val="008030F9"/>
    <w:rsid w:val="0080332E"/>
    <w:rsid w:val="008035E6"/>
    <w:rsid w:val="00805618"/>
    <w:rsid w:val="00807432"/>
    <w:rsid w:val="00810BC5"/>
    <w:rsid w:val="00810D66"/>
    <w:rsid w:val="00813347"/>
    <w:rsid w:val="00813489"/>
    <w:rsid w:val="00814124"/>
    <w:rsid w:val="0081418F"/>
    <w:rsid w:val="008141ED"/>
    <w:rsid w:val="00814700"/>
    <w:rsid w:val="00820347"/>
    <w:rsid w:val="00820F85"/>
    <w:rsid w:val="008229D4"/>
    <w:rsid w:val="008230E8"/>
    <w:rsid w:val="008232CA"/>
    <w:rsid w:val="00823ADA"/>
    <w:rsid w:val="00823B3E"/>
    <w:rsid w:val="00824E01"/>
    <w:rsid w:val="00825103"/>
    <w:rsid w:val="00825C2F"/>
    <w:rsid w:val="00826338"/>
    <w:rsid w:val="00826906"/>
    <w:rsid w:val="00826965"/>
    <w:rsid w:val="00827260"/>
    <w:rsid w:val="00830765"/>
    <w:rsid w:val="00830AA3"/>
    <w:rsid w:val="00831416"/>
    <w:rsid w:val="00833D8C"/>
    <w:rsid w:val="0083425C"/>
    <w:rsid w:val="00835121"/>
    <w:rsid w:val="008351E1"/>
    <w:rsid w:val="008362ED"/>
    <w:rsid w:val="00836903"/>
    <w:rsid w:val="00836E39"/>
    <w:rsid w:val="00836F2A"/>
    <w:rsid w:val="00837798"/>
    <w:rsid w:val="00840E89"/>
    <w:rsid w:val="00842DFB"/>
    <w:rsid w:val="008449F7"/>
    <w:rsid w:val="00845DCD"/>
    <w:rsid w:val="0084665B"/>
    <w:rsid w:val="008474CD"/>
    <w:rsid w:val="00847F55"/>
    <w:rsid w:val="00850AA7"/>
    <w:rsid w:val="00850D44"/>
    <w:rsid w:val="00850E6D"/>
    <w:rsid w:val="00851631"/>
    <w:rsid w:val="0085234F"/>
    <w:rsid w:val="00853282"/>
    <w:rsid w:val="0085401B"/>
    <w:rsid w:val="008549FD"/>
    <w:rsid w:val="00855568"/>
    <w:rsid w:val="00855FFD"/>
    <w:rsid w:val="008560AA"/>
    <w:rsid w:val="00856101"/>
    <w:rsid w:val="0085725D"/>
    <w:rsid w:val="00857CC3"/>
    <w:rsid w:val="008608A3"/>
    <w:rsid w:val="008616E7"/>
    <w:rsid w:val="0086177F"/>
    <w:rsid w:val="00861D7A"/>
    <w:rsid w:val="00862470"/>
    <w:rsid w:val="008651E9"/>
    <w:rsid w:val="0086620F"/>
    <w:rsid w:val="00866AF3"/>
    <w:rsid w:val="00866C82"/>
    <w:rsid w:val="008672E6"/>
    <w:rsid w:val="008677E5"/>
    <w:rsid w:val="00867C57"/>
    <w:rsid w:val="00874311"/>
    <w:rsid w:val="00874A6B"/>
    <w:rsid w:val="00874EC5"/>
    <w:rsid w:val="00875741"/>
    <w:rsid w:val="00875B00"/>
    <w:rsid w:val="00875C31"/>
    <w:rsid w:val="00876E75"/>
    <w:rsid w:val="008775EA"/>
    <w:rsid w:val="008775F8"/>
    <w:rsid w:val="0087780F"/>
    <w:rsid w:val="00877CD3"/>
    <w:rsid w:val="008811E5"/>
    <w:rsid w:val="0088215D"/>
    <w:rsid w:val="008826D8"/>
    <w:rsid w:val="00882832"/>
    <w:rsid w:val="008832C1"/>
    <w:rsid w:val="00883EE7"/>
    <w:rsid w:val="00884F3F"/>
    <w:rsid w:val="00885016"/>
    <w:rsid w:val="00885243"/>
    <w:rsid w:val="00885D64"/>
    <w:rsid w:val="00885F8A"/>
    <w:rsid w:val="008867D4"/>
    <w:rsid w:val="00886823"/>
    <w:rsid w:val="00886BC0"/>
    <w:rsid w:val="0089075D"/>
    <w:rsid w:val="008913B9"/>
    <w:rsid w:val="008917A2"/>
    <w:rsid w:val="008938BD"/>
    <w:rsid w:val="008938D5"/>
    <w:rsid w:val="00893DCA"/>
    <w:rsid w:val="00894718"/>
    <w:rsid w:val="008964DA"/>
    <w:rsid w:val="0089703E"/>
    <w:rsid w:val="00897ED9"/>
    <w:rsid w:val="008A05B4"/>
    <w:rsid w:val="008A16AF"/>
    <w:rsid w:val="008A1A26"/>
    <w:rsid w:val="008A1D16"/>
    <w:rsid w:val="008A400D"/>
    <w:rsid w:val="008A48EB"/>
    <w:rsid w:val="008A600D"/>
    <w:rsid w:val="008A6118"/>
    <w:rsid w:val="008A7119"/>
    <w:rsid w:val="008A7EBA"/>
    <w:rsid w:val="008B07D3"/>
    <w:rsid w:val="008B131C"/>
    <w:rsid w:val="008B1E0A"/>
    <w:rsid w:val="008B1E53"/>
    <w:rsid w:val="008B22B6"/>
    <w:rsid w:val="008B3178"/>
    <w:rsid w:val="008B42C0"/>
    <w:rsid w:val="008B5CE8"/>
    <w:rsid w:val="008B5DEB"/>
    <w:rsid w:val="008B600B"/>
    <w:rsid w:val="008B6B63"/>
    <w:rsid w:val="008B7B94"/>
    <w:rsid w:val="008C1980"/>
    <w:rsid w:val="008C1A4B"/>
    <w:rsid w:val="008C1D6E"/>
    <w:rsid w:val="008C390E"/>
    <w:rsid w:val="008C3EC2"/>
    <w:rsid w:val="008C4304"/>
    <w:rsid w:val="008C4C74"/>
    <w:rsid w:val="008C4FFF"/>
    <w:rsid w:val="008C6BCA"/>
    <w:rsid w:val="008C6D79"/>
    <w:rsid w:val="008C71C7"/>
    <w:rsid w:val="008C7941"/>
    <w:rsid w:val="008D0AE2"/>
    <w:rsid w:val="008D0C17"/>
    <w:rsid w:val="008D4D27"/>
    <w:rsid w:val="008D4F19"/>
    <w:rsid w:val="008D6C81"/>
    <w:rsid w:val="008D7021"/>
    <w:rsid w:val="008E09E2"/>
    <w:rsid w:val="008E1610"/>
    <w:rsid w:val="008E1E4F"/>
    <w:rsid w:val="008E35C2"/>
    <w:rsid w:val="008E5112"/>
    <w:rsid w:val="008E74FA"/>
    <w:rsid w:val="008E7876"/>
    <w:rsid w:val="008E7C8C"/>
    <w:rsid w:val="008E7F8D"/>
    <w:rsid w:val="008E7FB7"/>
    <w:rsid w:val="008F132E"/>
    <w:rsid w:val="008F13C2"/>
    <w:rsid w:val="008F18DE"/>
    <w:rsid w:val="008F2EF0"/>
    <w:rsid w:val="008F3198"/>
    <w:rsid w:val="008F3F61"/>
    <w:rsid w:val="008F49A9"/>
    <w:rsid w:val="008F4F40"/>
    <w:rsid w:val="008F63CE"/>
    <w:rsid w:val="008F6657"/>
    <w:rsid w:val="008F7B0E"/>
    <w:rsid w:val="00901136"/>
    <w:rsid w:val="0090272A"/>
    <w:rsid w:val="00902823"/>
    <w:rsid w:val="00902F2D"/>
    <w:rsid w:val="009031A1"/>
    <w:rsid w:val="00904EBC"/>
    <w:rsid w:val="00905482"/>
    <w:rsid w:val="009065F0"/>
    <w:rsid w:val="009068F1"/>
    <w:rsid w:val="0090713F"/>
    <w:rsid w:val="00910995"/>
    <w:rsid w:val="00910A4F"/>
    <w:rsid w:val="009113F8"/>
    <w:rsid w:val="00912067"/>
    <w:rsid w:val="00912803"/>
    <w:rsid w:val="00913192"/>
    <w:rsid w:val="009137DC"/>
    <w:rsid w:val="0091402A"/>
    <w:rsid w:val="0091434B"/>
    <w:rsid w:val="00915AB5"/>
    <w:rsid w:val="00915D7D"/>
    <w:rsid w:val="00916501"/>
    <w:rsid w:val="00917C96"/>
    <w:rsid w:val="00920F9E"/>
    <w:rsid w:val="00921058"/>
    <w:rsid w:val="00921199"/>
    <w:rsid w:val="00923040"/>
    <w:rsid w:val="009233A1"/>
    <w:rsid w:val="0092386C"/>
    <w:rsid w:val="0092388F"/>
    <w:rsid w:val="0092470C"/>
    <w:rsid w:val="00924F1E"/>
    <w:rsid w:val="00924F61"/>
    <w:rsid w:val="00925627"/>
    <w:rsid w:val="009256FC"/>
    <w:rsid w:val="009324AF"/>
    <w:rsid w:val="00932E54"/>
    <w:rsid w:val="00933552"/>
    <w:rsid w:val="00935227"/>
    <w:rsid w:val="00940E00"/>
    <w:rsid w:val="009428F3"/>
    <w:rsid w:val="0094410E"/>
    <w:rsid w:val="009451A4"/>
    <w:rsid w:val="00945744"/>
    <w:rsid w:val="00946812"/>
    <w:rsid w:val="00947B6C"/>
    <w:rsid w:val="00947C7C"/>
    <w:rsid w:val="00950C83"/>
    <w:rsid w:val="00950F37"/>
    <w:rsid w:val="00951AB8"/>
    <w:rsid w:val="009524D4"/>
    <w:rsid w:val="0095253D"/>
    <w:rsid w:val="009532F9"/>
    <w:rsid w:val="0095391A"/>
    <w:rsid w:val="0095569D"/>
    <w:rsid w:val="009575C9"/>
    <w:rsid w:val="00957AF1"/>
    <w:rsid w:val="0096015F"/>
    <w:rsid w:val="0096044E"/>
    <w:rsid w:val="0096076D"/>
    <w:rsid w:val="009607F8"/>
    <w:rsid w:val="009613F6"/>
    <w:rsid w:val="009621AF"/>
    <w:rsid w:val="009629AE"/>
    <w:rsid w:val="009629DB"/>
    <w:rsid w:val="00964A83"/>
    <w:rsid w:val="00964B22"/>
    <w:rsid w:val="009667A2"/>
    <w:rsid w:val="00966B28"/>
    <w:rsid w:val="00966F68"/>
    <w:rsid w:val="009676F5"/>
    <w:rsid w:val="00967F78"/>
    <w:rsid w:val="00970F1D"/>
    <w:rsid w:val="0097115D"/>
    <w:rsid w:val="009713DE"/>
    <w:rsid w:val="00971EEE"/>
    <w:rsid w:val="00972FC0"/>
    <w:rsid w:val="00974CC4"/>
    <w:rsid w:val="0097555C"/>
    <w:rsid w:val="00975D71"/>
    <w:rsid w:val="00976A55"/>
    <w:rsid w:val="00980252"/>
    <w:rsid w:val="00980542"/>
    <w:rsid w:val="00980CD5"/>
    <w:rsid w:val="00981CE7"/>
    <w:rsid w:val="00982D21"/>
    <w:rsid w:val="00984915"/>
    <w:rsid w:val="00986F45"/>
    <w:rsid w:val="009872B2"/>
    <w:rsid w:val="0099046C"/>
    <w:rsid w:val="00990A43"/>
    <w:rsid w:val="00990CD5"/>
    <w:rsid w:val="009919E7"/>
    <w:rsid w:val="0099219C"/>
    <w:rsid w:val="00992989"/>
    <w:rsid w:val="009929C8"/>
    <w:rsid w:val="00993241"/>
    <w:rsid w:val="009936C3"/>
    <w:rsid w:val="0099535D"/>
    <w:rsid w:val="00997281"/>
    <w:rsid w:val="009A08B6"/>
    <w:rsid w:val="009A0F29"/>
    <w:rsid w:val="009A17C8"/>
    <w:rsid w:val="009A1E68"/>
    <w:rsid w:val="009A3692"/>
    <w:rsid w:val="009A499C"/>
    <w:rsid w:val="009A5127"/>
    <w:rsid w:val="009A5547"/>
    <w:rsid w:val="009A6296"/>
    <w:rsid w:val="009A688D"/>
    <w:rsid w:val="009A695F"/>
    <w:rsid w:val="009A7259"/>
    <w:rsid w:val="009A7774"/>
    <w:rsid w:val="009A7CAB"/>
    <w:rsid w:val="009B020F"/>
    <w:rsid w:val="009B0584"/>
    <w:rsid w:val="009B437D"/>
    <w:rsid w:val="009B58BE"/>
    <w:rsid w:val="009B5C2C"/>
    <w:rsid w:val="009C053F"/>
    <w:rsid w:val="009C1A09"/>
    <w:rsid w:val="009C1F8A"/>
    <w:rsid w:val="009C2965"/>
    <w:rsid w:val="009C4C42"/>
    <w:rsid w:val="009C6CBA"/>
    <w:rsid w:val="009C6E7A"/>
    <w:rsid w:val="009C7265"/>
    <w:rsid w:val="009C7A13"/>
    <w:rsid w:val="009C7F03"/>
    <w:rsid w:val="009D2063"/>
    <w:rsid w:val="009D2132"/>
    <w:rsid w:val="009D255F"/>
    <w:rsid w:val="009D2FA2"/>
    <w:rsid w:val="009D3F28"/>
    <w:rsid w:val="009D44AD"/>
    <w:rsid w:val="009D5EAE"/>
    <w:rsid w:val="009D66B5"/>
    <w:rsid w:val="009D7A04"/>
    <w:rsid w:val="009E048A"/>
    <w:rsid w:val="009E31B8"/>
    <w:rsid w:val="009E4AAC"/>
    <w:rsid w:val="009E526E"/>
    <w:rsid w:val="009E5282"/>
    <w:rsid w:val="009E61B6"/>
    <w:rsid w:val="009E70DC"/>
    <w:rsid w:val="009E7F5C"/>
    <w:rsid w:val="009F0115"/>
    <w:rsid w:val="009F0DD1"/>
    <w:rsid w:val="009F17C4"/>
    <w:rsid w:val="009F1836"/>
    <w:rsid w:val="009F2CA1"/>
    <w:rsid w:val="009F3D33"/>
    <w:rsid w:val="009F47E4"/>
    <w:rsid w:val="009F4883"/>
    <w:rsid w:val="009F48D9"/>
    <w:rsid w:val="009F4BDE"/>
    <w:rsid w:val="009F5173"/>
    <w:rsid w:val="009F5563"/>
    <w:rsid w:val="009F5924"/>
    <w:rsid w:val="009F610B"/>
    <w:rsid w:val="009F6484"/>
    <w:rsid w:val="00A015D1"/>
    <w:rsid w:val="00A02588"/>
    <w:rsid w:val="00A02BB4"/>
    <w:rsid w:val="00A03186"/>
    <w:rsid w:val="00A033F9"/>
    <w:rsid w:val="00A054DF"/>
    <w:rsid w:val="00A0558C"/>
    <w:rsid w:val="00A05F29"/>
    <w:rsid w:val="00A0773C"/>
    <w:rsid w:val="00A10502"/>
    <w:rsid w:val="00A114E6"/>
    <w:rsid w:val="00A13A5D"/>
    <w:rsid w:val="00A14063"/>
    <w:rsid w:val="00A15217"/>
    <w:rsid w:val="00A16A06"/>
    <w:rsid w:val="00A16A28"/>
    <w:rsid w:val="00A17AAD"/>
    <w:rsid w:val="00A17CA3"/>
    <w:rsid w:val="00A21722"/>
    <w:rsid w:val="00A22329"/>
    <w:rsid w:val="00A224F9"/>
    <w:rsid w:val="00A235D0"/>
    <w:rsid w:val="00A23781"/>
    <w:rsid w:val="00A23D17"/>
    <w:rsid w:val="00A250FE"/>
    <w:rsid w:val="00A253AC"/>
    <w:rsid w:val="00A2572B"/>
    <w:rsid w:val="00A260FA"/>
    <w:rsid w:val="00A26301"/>
    <w:rsid w:val="00A26CA1"/>
    <w:rsid w:val="00A26DAB"/>
    <w:rsid w:val="00A278AC"/>
    <w:rsid w:val="00A30096"/>
    <w:rsid w:val="00A30794"/>
    <w:rsid w:val="00A30AE2"/>
    <w:rsid w:val="00A319A8"/>
    <w:rsid w:val="00A32233"/>
    <w:rsid w:val="00A324D9"/>
    <w:rsid w:val="00A32704"/>
    <w:rsid w:val="00A32BEE"/>
    <w:rsid w:val="00A334DE"/>
    <w:rsid w:val="00A348F6"/>
    <w:rsid w:val="00A34AFC"/>
    <w:rsid w:val="00A35215"/>
    <w:rsid w:val="00A3632C"/>
    <w:rsid w:val="00A367CC"/>
    <w:rsid w:val="00A369A1"/>
    <w:rsid w:val="00A408D1"/>
    <w:rsid w:val="00A41354"/>
    <w:rsid w:val="00A4281D"/>
    <w:rsid w:val="00A43002"/>
    <w:rsid w:val="00A433A3"/>
    <w:rsid w:val="00A44BC8"/>
    <w:rsid w:val="00A44DAA"/>
    <w:rsid w:val="00A4523C"/>
    <w:rsid w:val="00A4551E"/>
    <w:rsid w:val="00A45B45"/>
    <w:rsid w:val="00A52898"/>
    <w:rsid w:val="00A532A2"/>
    <w:rsid w:val="00A5428F"/>
    <w:rsid w:val="00A542A3"/>
    <w:rsid w:val="00A54377"/>
    <w:rsid w:val="00A54E5C"/>
    <w:rsid w:val="00A55B7B"/>
    <w:rsid w:val="00A55F87"/>
    <w:rsid w:val="00A5783E"/>
    <w:rsid w:val="00A605D2"/>
    <w:rsid w:val="00A61182"/>
    <w:rsid w:val="00A6185B"/>
    <w:rsid w:val="00A61CB6"/>
    <w:rsid w:val="00A627B6"/>
    <w:rsid w:val="00A64812"/>
    <w:rsid w:val="00A65618"/>
    <w:rsid w:val="00A65B6E"/>
    <w:rsid w:val="00A65F9C"/>
    <w:rsid w:val="00A6651D"/>
    <w:rsid w:val="00A67704"/>
    <w:rsid w:val="00A67F18"/>
    <w:rsid w:val="00A70297"/>
    <w:rsid w:val="00A704A9"/>
    <w:rsid w:val="00A70557"/>
    <w:rsid w:val="00A7098B"/>
    <w:rsid w:val="00A717F0"/>
    <w:rsid w:val="00A71E8F"/>
    <w:rsid w:val="00A72A3E"/>
    <w:rsid w:val="00A7398C"/>
    <w:rsid w:val="00A739B7"/>
    <w:rsid w:val="00A73A9A"/>
    <w:rsid w:val="00A73AFF"/>
    <w:rsid w:val="00A74508"/>
    <w:rsid w:val="00A76061"/>
    <w:rsid w:val="00A7661C"/>
    <w:rsid w:val="00A7699A"/>
    <w:rsid w:val="00A76A4F"/>
    <w:rsid w:val="00A76F4F"/>
    <w:rsid w:val="00A774BC"/>
    <w:rsid w:val="00A778FF"/>
    <w:rsid w:val="00A81A6E"/>
    <w:rsid w:val="00A823AE"/>
    <w:rsid w:val="00A826FD"/>
    <w:rsid w:val="00A828ED"/>
    <w:rsid w:val="00A83A08"/>
    <w:rsid w:val="00A84E18"/>
    <w:rsid w:val="00A8529D"/>
    <w:rsid w:val="00A868FD"/>
    <w:rsid w:val="00A87F69"/>
    <w:rsid w:val="00A87FD4"/>
    <w:rsid w:val="00A91244"/>
    <w:rsid w:val="00A917EB"/>
    <w:rsid w:val="00A91AF4"/>
    <w:rsid w:val="00A93D13"/>
    <w:rsid w:val="00A93F46"/>
    <w:rsid w:val="00A943DA"/>
    <w:rsid w:val="00A952F3"/>
    <w:rsid w:val="00A95807"/>
    <w:rsid w:val="00A96395"/>
    <w:rsid w:val="00A96693"/>
    <w:rsid w:val="00AA18A2"/>
    <w:rsid w:val="00AA19BE"/>
    <w:rsid w:val="00AA2245"/>
    <w:rsid w:val="00AA3730"/>
    <w:rsid w:val="00AA3A8A"/>
    <w:rsid w:val="00AA3E62"/>
    <w:rsid w:val="00AA44D2"/>
    <w:rsid w:val="00AA5B6A"/>
    <w:rsid w:val="00AA6057"/>
    <w:rsid w:val="00AA6899"/>
    <w:rsid w:val="00AB1FEE"/>
    <w:rsid w:val="00AB2FF5"/>
    <w:rsid w:val="00AB30EB"/>
    <w:rsid w:val="00AB3924"/>
    <w:rsid w:val="00AB3C6A"/>
    <w:rsid w:val="00AB7282"/>
    <w:rsid w:val="00AB7D44"/>
    <w:rsid w:val="00AC0044"/>
    <w:rsid w:val="00AC0945"/>
    <w:rsid w:val="00AC0B82"/>
    <w:rsid w:val="00AC2159"/>
    <w:rsid w:val="00AC296A"/>
    <w:rsid w:val="00AC4B90"/>
    <w:rsid w:val="00AC651B"/>
    <w:rsid w:val="00AC6658"/>
    <w:rsid w:val="00AD02AE"/>
    <w:rsid w:val="00AD06F8"/>
    <w:rsid w:val="00AD1523"/>
    <w:rsid w:val="00AD1BEF"/>
    <w:rsid w:val="00AD316A"/>
    <w:rsid w:val="00AD3B15"/>
    <w:rsid w:val="00AD3D96"/>
    <w:rsid w:val="00AD402A"/>
    <w:rsid w:val="00AD460E"/>
    <w:rsid w:val="00AD47F3"/>
    <w:rsid w:val="00AD636B"/>
    <w:rsid w:val="00AD6967"/>
    <w:rsid w:val="00AD7BDF"/>
    <w:rsid w:val="00AD7EB2"/>
    <w:rsid w:val="00AD7EEA"/>
    <w:rsid w:val="00AE4CB0"/>
    <w:rsid w:val="00AE631D"/>
    <w:rsid w:val="00AE6DA6"/>
    <w:rsid w:val="00AE7134"/>
    <w:rsid w:val="00AE74CE"/>
    <w:rsid w:val="00AF0C76"/>
    <w:rsid w:val="00AF0D0C"/>
    <w:rsid w:val="00AF2948"/>
    <w:rsid w:val="00AF41A2"/>
    <w:rsid w:val="00AF4EF0"/>
    <w:rsid w:val="00AF6167"/>
    <w:rsid w:val="00AF67BC"/>
    <w:rsid w:val="00AF6CB5"/>
    <w:rsid w:val="00AF71FF"/>
    <w:rsid w:val="00AF7227"/>
    <w:rsid w:val="00B01BA2"/>
    <w:rsid w:val="00B01BD6"/>
    <w:rsid w:val="00B01CD0"/>
    <w:rsid w:val="00B02D8A"/>
    <w:rsid w:val="00B03A5D"/>
    <w:rsid w:val="00B0431D"/>
    <w:rsid w:val="00B04E09"/>
    <w:rsid w:val="00B068E6"/>
    <w:rsid w:val="00B0766E"/>
    <w:rsid w:val="00B0798C"/>
    <w:rsid w:val="00B10AA6"/>
    <w:rsid w:val="00B114BA"/>
    <w:rsid w:val="00B11845"/>
    <w:rsid w:val="00B11C98"/>
    <w:rsid w:val="00B13141"/>
    <w:rsid w:val="00B1389F"/>
    <w:rsid w:val="00B147A6"/>
    <w:rsid w:val="00B15F52"/>
    <w:rsid w:val="00B161A9"/>
    <w:rsid w:val="00B166FD"/>
    <w:rsid w:val="00B16F17"/>
    <w:rsid w:val="00B17B5E"/>
    <w:rsid w:val="00B20491"/>
    <w:rsid w:val="00B220B5"/>
    <w:rsid w:val="00B2223C"/>
    <w:rsid w:val="00B226CF"/>
    <w:rsid w:val="00B241FD"/>
    <w:rsid w:val="00B242A3"/>
    <w:rsid w:val="00B24A68"/>
    <w:rsid w:val="00B273A2"/>
    <w:rsid w:val="00B27D3C"/>
    <w:rsid w:val="00B30923"/>
    <w:rsid w:val="00B338A0"/>
    <w:rsid w:val="00B33DF4"/>
    <w:rsid w:val="00B355DA"/>
    <w:rsid w:val="00B366ED"/>
    <w:rsid w:val="00B3791F"/>
    <w:rsid w:val="00B4029E"/>
    <w:rsid w:val="00B40438"/>
    <w:rsid w:val="00B40C7D"/>
    <w:rsid w:val="00B41E70"/>
    <w:rsid w:val="00B43FC8"/>
    <w:rsid w:val="00B4546D"/>
    <w:rsid w:val="00B456E8"/>
    <w:rsid w:val="00B46C39"/>
    <w:rsid w:val="00B512FC"/>
    <w:rsid w:val="00B51F2E"/>
    <w:rsid w:val="00B52321"/>
    <w:rsid w:val="00B530C2"/>
    <w:rsid w:val="00B53930"/>
    <w:rsid w:val="00B5434B"/>
    <w:rsid w:val="00B54C7D"/>
    <w:rsid w:val="00B552A7"/>
    <w:rsid w:val="00B55ABC"/>
    <w:rsid w:val="00B564E6"/>
    <w:rsid w:val="00B62EFA"/>
    <w:rsid w:val="00B63EED"/>
    <w:rsid w:val="00B64293"/>
    <w:rsid w:val="00B659AA"/>
    <w:rsid w:val="00B6710B"/>
    <w:rsid w:val="00B67136"/>
    <w:rsid w:val="00B67968"/>
    <w:rsid w:val="00B70E95"/>
    <w:rsid w:val="00B71106"/>
    <w:rsid w:val="00B72D1A"/>
    <w:rsid w:val="00B732F4"/>
    <w:rsid w:val="00B74506"/>
    <w:rsid w:val="00B77826"/>
    <w:rsid w:val="00B77A9C"/>
    <w:rsid w:val="00B8009C"/>
    <w:rsid w:val="00B80E9D"/>
    <w:rsid w:val="00B81B35"/>
    <w:rsid w:val="00B81E15"/>
    <w:rsid w:val="00B83088"/>
    <w:rsid w:val="00B836A7"/>
    <w:rsid w:val="00B85C47"/>
    <w:rsid w:val="00B86910"/>
    <w:rsid w:val="00B875C0"/>
    <w:rsid w:val="00B877EB"/>
    <w:rsid w:val="00B87E35"/>
    <w:rsid w:val="00B915C7"/>
    <w:rsid w:val="00B916ED"/>
    <w:rsid w:val="00B91E50"/>
    <w:rsid w:val="00B923A7"/>
    <w:rsid w:val="00B93C0D"/>
    <w:rsid w:val="00B93DFE"/>
    <w:rsid w:val="00B9446C"/>
    <w:rsid w:val="00B953FF"/>
    <w:rsid w:val="00B95E59"/>
    <w:rsid w:val="00B96DDE"/>
    <w:rsid w:val="00B9731A"/>
    <w:rsid w:val="00B97FD0"/>
    <w:rsid w:val="00BA03E2"/>
    <w:rsid w:val="00BA0E6F"/>
    <w:rsid w:val="00BA14BA"/>
    <w:rsid w:val="00BA36FC"/>
    <w:rsid w:val="00BA3FAE"/>
    <w:rsid w:val="00BA4F13"/>
    <w:rsid w:val="00BA5D03"/>
    <w:rsid w:val="00BA5E67"/>
    <w:rsid w:val="00BA76A4"/>
    <w:rsid w:val="00BA79FF"/>
    <w:rsid w:val="00BB1883"/>
    <w:rsid w:val="00BB1BDA"/>
    <w:rsid w:val="00BB1F9A"/>
    <w:rsid w:val="00BB20F4"/>
    <w:rsid w:val="00BB2338"/>
    <w:rsid w:val="00BB39EE"/>
    <w:rsid w:val="00BB4F2B"/>
    <w:rsid w:val="00BB5469"/>
    <w:rsid w:val="00BB5C4F"/>
    <w:rsid w:val="00BB7744"/>
    <w:rsid w:val="00BB78F6"/>
    <w:rsid w:val="00BC0CFC"/>
    <w:rsid w:val="00BC0E8B"/>
    <w:rsid w:val="00BC1F44"/>
    <w:rsid w:val="00BC2907"/>
    <w:rsid w:val="00BC2AA2"/>
    <w:rsid w:val="00BC2ABD"/>
    <w:rsid w:val="00BC39BA"/>
    <w:rsid w:val="00BC698D"/>
    <w:rsid w:val="00BC72C6"/>
    <w:rsid w:val="00BC793E"/>
    <w:rsid w:val="00BC7B26"/>
    <w:rsid w:val="00BD0CEA"/>
    <w:rsid w:val="00BD0DBF"/>
    <w:rsid w:val="00BD22B7"/>
    <w:rsid w:val="00BD3AB6"/>
    <w:rsid w:val="00BD5176"/>
    <w:rsid w:val="00BD60FF"/>
    <w:rsid w:val="00BD75B3"/>
    <w:rsid w:val="00BE1894"/>
    <w:rsid w:val="00BE1A5B"/>
    <w:rsid w:val="00BE1CDE"/>
    <w:rsid w:val="00BE2F01"/>
    <w:rsid w:val="00BE37EC"/>
    <w:rsid w:val="00BE5DD4"/>
    <w:rsid w:val="00BE6491"/>
    <w:rsid w:val="00BE7A0F"/>
    <w:rsid w:val="00BF0523"/>
    <w:rsid w:val="00BF273A"/>
    <w:rsid w:val="00BF3424"/>
    <w:rsid w:val="00BF3623"/>
    <w:rsid w:val="00BF44A8"/>
    <w:rsid w:val="00BF59E7"/>
    <w:rsid w:val="00BF5EC6"/>
    <w:rsid w:val="00BF6BDE"/>
    <w:rsid w:val="00BF74B7"/>
    <w:rsid w:val="00BF7D0E"/>
    <w:rsid w:val="00BF7E78"/>
    <w:rsid w:val="00C00500"/>
    <w:rsid w:val="00C02B98"/>
    <w:rsid w:val="00C05376"/>
    <w:rsid w:val="00C05E57"/>
    <w:rsid w:val="00C065DD"/>
    <w:rsid w:val="00C06932"/>
    <w:rsid w:val="00C06FA5"/>
    <w:rsid w:val="00C07BAD"/>
    <w:rsid w:val="00C07CCA"/>
    <w:rsid w:val="00C1036A"/>
    <w:rsid w:val="00C10663"/>
    <w:rsid w:val="00C11396"/>
    <w:rsid w:val="00C11866"/>
    <w:rsid w:val="00C13E72"/>
    <w:rsid w:val="00C15A13"/>
    <w:rsid w:val="00C16370"/>
    <w:rsid w:val="00C16A03"/>
    <w:rsid w:val="00C16B6D"/>
    <w:rsid w:val="00C16C19"/>
    <w:rsid w:val="00C16D18"/>
    <w:rsid w:val="00C17059"/>
    <w:rsid w:val="00C17262"/>
    <w:rsid w:val="00C17ABB"/>
    <w:rsid w:val="00C200AA"/>
    <w:rsid w:val="00C200CA"/>
    <w:rsid w:val="00C20C09"/>
    <w:rsid w:val="00C2360C"/>
    <w:rsid w:val="00C23F69"/>
    <w:rsid w:val="00C24095"/>
    <w:rsid w:val="00C24C03"/>
    <w:rsid w:val="00C2569A"/>
    <w:rsid w:val="00C25D09"/>
    <w:rsid w:val="00C30902"/>
    <w:rsid w:val="00C31116"/>
    <w:rsid w:val="00C34305"/>
    <w:rsid w:val="00C35649"/>
    <w:rsid w:val="00C35A16"/>
    <w:rsid w:val="00C35D86"/>
    <w:rsid w:val="00C402DE"/>
    <w:rsid w:val="00C40451"/>
    <w:rsid w:val="00C4088D"/>
    <w:rsid w:val="00C40936"/>
    <w:rsid w:val="00C41375"/>
    <w:rsid w:val="00C41A2B"/>
    <w:rsid w:val="00C41B5D"/>
    <w:rsid w:val="00C41B73"/>
    <w:rsid w:val="00C423D7"/>
    <w:rsid w:val="00C424D3"/>
    <w:rsid w:val="00C424DE"/>
    <w:rsid w:val="00C4362E"/>
    <w:rsid w:val="00C44248"/>
    <w:rsid w:val="00C44D23"/>
    <w:rsid w:val="00C44EAB"/>
    <w:rsid w:val="00C459CE"/>
    <w:rsid w:val="00C46DE0"/>
    <w:rsid w:val="00C46E79"/>
    <w:rsid w:val="00C47091"/>
    <w:rsid w:val="00C51706"/>
    <w:rsid w:val="00C51C28"/>
    <w:rsid w:val="00C53C75"/>
    <w:rsid w:val="00C5454F"/>
    <w:rsid w:val="00C55CB5"/>
    <w:rsid w:val="00C56D48"/>
    <w:rsid w:val="00C60339"/>
    <w:rsid w:val="00C60938"/>
    <w:rsid w:val="00C6094B"/>
    <w:rsid w:val="00C609CE"/>
    <w:rsid w:val="00C61D05"/>
    <w:rsid w:val="00C61F48"/>
    <w:rsid w:val="00C62CD8"/>
    <w:rsid w:val="00C64AD4"/>
    <w:rsid w:val="00C656DC"/>
    <w:rsid w:val="00C667C2"/>
    <w:rsid w:val="00C66DAC"/>
    <w:rsid w:val="00C70734"/>
    <w:rsid w:val="00C70FFC"/>
    <w:rsid w:val="00C71BD8"/>
    <w:rsid w:val="00C748FD"/>
    <w:rsid w:val="00C80349"/>
    <w:rsid w:val="00C8049A"/>
    <w:rsid w:val="00C814C7"/>
    <w:rsid w:val="00C82054"/>
    <w:rsid w:val="00C83394"/>
    <w:rsid w:val="00C8455F"/>
    <w:rsid w:val="00C8507B"/>
    <w:rsid w:val="00C861D7"/>
    <w:rsid w:val="00C866A8"/>
    <w:rsid w:val="00C86785"/>
    <w:rsid w:val="00C879D6"/>
    <w:rsid w:val="00C87B02"/>
    <w:rsid w:val="00C91B28"/>
    <w:rsid w:val="00C925D1"/>
    <w:rsid w:val="00C92606"/>
    <w:rsid w:val="00C92B75"/>
    <w:rsid w:val="00C9339A"/>
    <w:rsid w:val="00C93955"/>
    <w:rsid w:val="00C9450C"/>
    <w:rsid w:val="00C949CA"/>
    <w:rsid w:val="00C9538D"/>
    <w:rsid w:val="00C954C7"/>
    <w:rsid w:val="00C95757"/>
    <w:rsid w:val="00C95BD6"/>
    <w:rsid w:val="00C96290"/>
    <w:rsid w:val="00C96292"/>
    <w:rsid w:val="00C96BB8"/>
    <w:rsid w:val="00CA1B9E"/>
    <w:rsid w:val="00CA1DF3"/>
    <w:rsid w:val="00CA2B15"/>
    <w:rsid w:val="00CA3624"/>
    <w:rsid w:val="00CA3EDC"/>
    <w:rsid w:val="00CA487E"/>
    <w:rsid w:val="00CA601A"/>
    <w:rsid w:val="00CA67BF"/>
    <w:rsid w:val="00CA6E26"/>
    <w:rsid w:val="00CB0A29"/>
    <w:rsid w:val="00CB0CEE"/>
    <w:rsid w:val="00CB3CE5"/>
    <w:rsid w:val="00CB3FEA"/>
    <w:rsid w:val="00CB46A6"/>
    <w:rsid w:val="00CB47CC"/>
    <w:rsid w:val="00CB5EA1"/>
    <w:rsid w:val="00CB6869"/>
    <w:rsid w:val="00CB70F2"/>
    <w:rsid w:val="00CB7354"/>
    <w:rsid w:val="00CC0922"/>
    <w:rsid w:val="00CC0E59"/>
    <w:rsid w:val="00CC17B5"/>
    <w:rsid w:val="00CC1901"/>
    <w:rsid w:val="00CC2450"/>
    <w:rsid w:val="00CC55CC"/>
    <w:rsid w:val="00CC5754"/>
    <w:rsid w:val="00CC5B7D"/>
    <w:rsid w:val="00CC6A38"/>
    <w:rsid w:val="00CC7814"/>
    <w:rsid w:val="00CD0380"/>
    <w:rsid w:val="00CD063B"/>
    <w:rsid w:val="00CD0F10"/>
    <w:rsid w:val="00CD15A0"/>
    <w:rsid w:val="00CD1675"/>
    <w:rsid w:val="00CD2285"/>
    <w:rsid w:val="00CD256C"/>
    <w:rsid w:val="00CD3C33"/>
    <w:rsid w:val="00CD3E89"/>
    <w:rsid w:val="00CD44D9"/>
    <w:rsid w:val="00CD556D"/>
    <w:rsid w:val="00CD7B80"/>
    <w:rsid w:val="00CD7D63"/>
    <w:rsid w:val="00CE04FD"/>
    <w:rsid w:val="00CE1073"/>
    <w:rsid w:val="00CE13E8"/>
    <w:rsid w:val="00CE1B3B"/>
    <w:rsid w:val="00CE246A"/>
    <w:rsid w:val="00CE2617"/>
    <w:rsid w:val="00CE2C57"/>
    <w:rsid w:val="00CE3D39"/>
    <w:rsid w:val="00CE45A5"/>
    <w:rsid w:val="00CE49EA"/>
    <w:rsid w:val="00CE5997"/>
    <w:rsid w:val="00CE673C"/>
    <w:rsid w:val="00CE6752"/>
    <w:rsid w:val="00CE68F0"/>
    <w:rsid w:val="00CE70C8"/>
    <w:rsid w:val="00CE7243"/>
    <w:rsid w:val="00CE7FE8"/>
    <w:rsid w:val="00CF1547"/>
    <w:rsid w:val="00CF1599"/>
    <w:rsid w:val="00CF168B"/>
    <w:rsid w:val="00CF1EA8"/>
    <w:rsid w:val="00CF29CF"/>
    <w:rsid w:val="00CF3602"/>
    <w:rsid w:val="00CF37F3"/>
    <w:rsid w:val="00CF562A"/>
    <w:rsid w:val="00CF5D17"/>
    <w:rsid w:val="00D0188B"/>
    <w:rsid w:val="00D02BCE"/>
    <w:rsid w:val="00D02C19"/>
    <w:rsid w:val="00D039CD"/>
    <w:rsid w:val="00D03F91"/>
    <w:rsid w:val="00D05AF3"/>
    <w:rsid w:val="00D0618A"/>
    <w:rsid w:val="00D06350"/>
    <w:rsid w:val="00D0682E"/>
    <w:rsid w:val="00D07798"/>
    <w:rsid w:val="00D102D6"/>
    <w:rsid w:val="00D13501"/>
    <w:rsid w:val="00D13BBD"/>
    <w:rsid w:val="00D13FA4"/>
    <w:rsid w:val="00D14615"/>
    <w:rsid w:val="00D1492D"/>
    <w:rsid w:val="00D161CE"/>
    <w:rsid w:val="00D167B2"/>
    <w:rsid w:val="00D16801"/>
    <w:rsid w:val="00D17753"/>
    <w:rsid w:val="00D17D50"/>
    <w:rsid w:val="00D20F23"/>
    <w:rsid w:val="00D21B83"/>
    <w:rsid w:val="00D22583"/>
    <w:rsid w:val="00D256BD"/>
    <w:rsid w:val="00D25FCA"/>
    <w:rsid w:val="00D261B1"/>
    <w:rsid w:val="00D26D23"/>
    <w:rsid w:val="00D27180"/>
    <w:rsid w:val="00D31267"/>
    <w:rsid w:val="00D31975"/>
    <w:rsid w:val="00D31BCF"/>
    <w:rsid w:val="00D31E7C"/>
    <w:rsid w:val="00D324E9"/>
    <w:rsid w:val="00D34B67"/>
    <w:rsid w:val="00D4012C"/>
    <w:rsid w:val="00D40203"/>
    <w:rsid w:val="00D40D7C"/>
    <w:rsid w:val="00D41833"/>
    <w:rsid w:val="00D42C77"/>
    <w:rsid w:val="00D437F1"/>
    <w:rsid w:val="00D439AE"/>
    <w:rsid w:val="00D44B92"/>
    <w:rsid w:val="00D47493"/>
    <w:rsid w:val="00D479D1"/>
    <w:rsid w:val="00D479F0"/>
    <w:rsid w:val="00D50BB5"/>
    <w:rsid w:val="00D50C65"/>
    <w:rsid w:val="00D50DED"/>
    <w:rsid w:val="00D52743"/>
    <w:rsid w:val="00D535A8"/>
    <w:rsid w:val="00D53ADD"/>
    <w:rsid w:val="00D53C30"/>
    <w:rsid w:val="00D547DA"/>
    <w:rsid w:val="00D54F2D"/>
    <w:rsid w:val="00D551BC"/>
    <w:rsid w:val="00D5766C"/>
    <w:rsid w:val="00D577AD"/>
    <w:rsid w:val="00D5795A"/>
    <w:rsid w:val="00D60379"/>
    <w:rsid w:val="00D60812"/>
    <w:rsid w:val="00D610E6"/>
    <w:rsid w:val="00D6187C"/>
    <w:rsid w:val="00D61CD7"/>
    <w:rsid w:val="00D62110"/>
    <w:rsid w:val="00D630EF"/>
    <w:rsid w:val="00D643F6"/>
    <w:rsid w:val="00D66C33"/>
    <w:rsid w:val="00D66F0E"/>
    <w:rsid w:val="00D67D96"/>
    <w:rsid w:val="00D7119E"/>
    <w:rsid w:val="00D72256"/>
    <w:rsid w:val="00D73C27"/>
    <w:rsid w:val="00D75BB1"/>
    <w:rsid w:val="00D76560"/>
    <w:rsid w:val="00D76FC9"/>
    <w:rsid w:val="00D773BD"/>
    <w:rsid w:val="00D774E2"/>
    <w:rsid w:val="00D779FC"/>
    <w:rsid w:val="00D80247"/>
    <w:rsid w:val="00D81C64"/>
    <w:rsid w:val="00D81EBF"/>
    <w:rsid w:val="00D82D93"/>
    <w:rsid w:val="00D8514E"/>
    <w:rsid w:val="00D85A42"/>
    <w:rsid w:val="00D85F3D"/>
    <w:rsid w:val="00D8652F"/>
    <w:rsid w:val="00D8680A"/>
    <w:rsid w:val="00D86FDF"/>
    <w:rsid w:val="00D918B7"/>
    <w:rsid w:val="00D93958"/>
    <w:rsid w:val="00D94957"/>
    <w:rsid w:val="00D958BA"/>
    <w:rsid w:val="00D95C18"/>
    <w:rsid w:val="00D97177"/>
    <w:rsid w:val="00D971B8"/>
    <w:rsid w:val="00D97ECD"/>
    <w:rsid w:val="00DA06EB"/>
    <w:rsid w:val="00DA391F"/>
    <w:rsid w:val="00DA59DE"/>
    <w:rsid w:val="00DA6A61"/>
    <w:rsid w:val="00DA71E8"/>
    <w:rsid w:val="00DA78BF"/>
    <w:rsid w:val="00DB23FD"/>
    <w:rsid w:val="00DB3669"/>
    <w:rsid w:val="00DB4519"/>
    <w:rsid w:val="00DB6DCE"/>
    <w:rsid w:val="00DC135E"/>
    <w:rsid w:val="00DC25AE"/>
    <w:rsid w:val="00DC26A2"/>
    <w:rsid w:val="00DC307F"/>
    <w:rsid w:val="00DC393B"/>
    <w:rsid w:val="00DC3DA7"/>
    <w:rsid w:val="00DC4BD3"/>
    <w:rsid w:val="00DC6411"/>
    <w:rsid w:val="00DC69A6"/>
    <w:rsid w:val="00DC7211"/>
    <w:rsid w:val="00DC72E0"/>
    <w:rsid w:val="00DC7ECE"/>
    <w:rsid w:val="00DD1D74"/>
    <w:rsid w:val="00DD1E2F"/>
    <w:rsid w:val="00DD2444"/>
    <w:rsid w:val="00DD3051"/>
    <w:rsid w:val="00DD3216"/>
    <w:rsid w:val="00DD322B"/>
    <w:rsid w:val="00DD3FD8"/>
    <w:rsid w:val="00DD5278"/>
    <w:rsid w:val="00DD5B09"/>
    <w:rsid w:val="00DD61AB"/>
    <w:rsid w:val="00DD6B4A"/>
    <w:rsid w:val="00DD7BC2"/>
    <w:rsid w:val="00DE0530"/>
    <w:rsid w:val="00DE128E"/>
    <w:rsid w:val="00DE236C"/>
    <w:rsid w:val="00DE29AA"/>
    <w:rsid w:val="00DE2E3E"/>
    <w:rsid w:val="00DE3C1D"/>
    <w:rsid w:val="00DE4A04"/>
    <w:rsid w:val="00DE541B"/>
    <w:rsid w:val="00DE5439"/>
    <w:rsid w:val="00DE5EA2"/>
    <w:rsid w:val="00DE65B2"/>
    <w:rsid w:val="00DE6948"/>
    <w:rsid w:val="00DE6BAA"/>
    <w:rsid w:val="00DE7351"/>
    <w:rsid w:val="00DF00BD"/>
    <w:rsid w:val="00DF01C2"/>
    <w:rsid w:val="00DF0C4E"/>
    <w:rsid w:val="00DF1D05"/>
    <w:rsid w:val="00DF2151"/>
    <w:rsid w:val="00DF300B"/>
    <w:rsid w:val="00DF3023"/>
    <w:rsid w:val="00DF5EA3"/>
    <w:rsid w:val="00DF6078"/>
    <w:rsid w:val="00DF6300"/>
    <w:rsid w:val="00E003CF"/>
    <w:rsid w:val="00E00B0B"/>
    <w:rsid w:val="00E040DC"/>
    <w:rsid w:val="00E041D9"/>
    <w:rsid w:val="00E04FAF"/>
    <w:rsid w:val="00E050CD"/>
    <w:rsid w:val="00E062DE"/>
    <w:rsid w:val="00E128DD"/>
    <w:rsid w:val="00E13F1A"/>
    <w:rsid w:val="00E207EB"/>
    <w:rsid w:val="00E214A2"/>
    <w:rsid w:val="00E214C6"/>
    <w:rsid w:val="00E21D9C"/>
    <w:rsid w:val="00E22DAA"/>
    <w:rsid w:val="00E2435E"/>
    <w:rsid w:val="00E24955"/>
    <w:rsid w:val="00E25659"/>
    <w:rsid w:val="00E26546"/>
    <w:rsid w:val="00E26827"/>
    <w:rsid w:val="00E269D2"/>
    <w:rsid w:val="00E27B8C"/>
    <w:rsid w:val="00E304BD"/>
    <w:rsid w:val="00E30B81"/>
    <w:rsid w:val="00E314F8"/>
    <w:rsid w:val="00E316DA"/>
    <w:rsid w:val="00E34A2F"/>
    <w:rsid w:val="00E34CA2"/>
    <w:rsid w:val="00E35739"/>
    <w:rsid w:val="00E35872"/>
    <w:rsid w:val="00E40143"/>
    <w:rsid w:val="00E40910"/>
    <w:rsid w:val="00E41D96"/>
    <w:rsid w:val="00E4250F"/>
    <w:rsid w:val="00E4284B"/>
    <w:rsid w:val="00E439F2"/>
    <w:rsid w:val="00E43C09"/>
    <w:rsid w:val="00E449B9"/>
    <w:rsid w:val="00E456A0"/>
    <w:rsid w:val="00E45A1C"/>
    <w:rsid w:val="00E4771A"/>
    <w:rsid w:val="00E50020"/>
    <w:rsid w:val="00E51113"/>
    <w:rsid w:val="00E51357"/>
    <w:rsid w:val="00E51427"/>
    <w:rsid w:val="00E51827"/>
    <w:rsid w:val="00E52223"/>
    <w:rsid w:val="00E54628"/>
    <w:rsid w:val="00E555B7"/>
    <w:rsid w:val="00E555E2"/>
    <w:rsid w:val="00E5560C"/>
    <w:rsid w:val="00E56368"/>
    <w:rsid w:val="00E60068"/>
    <w:rsid w:val="00E6011C"/>
    <w:rsid w:val="00E61834"/>
    <w:rsid w:val="00E61AD0"/>
    <w:rsid w:val="00E634D7"/>
    <w:rsid w:val="00E647E3"/>
    <w:rsid w:val="00E647F8"/>
    <w:rsid w:val="00E6549E"/>
    <w:rsid w:val="00E65628"/>
    <w:rsid w:val="00E658AF"/>
    <w:rsid w:val="00E66230"/>
    <w:rsid w:val="00E66711"/>
    <w:rsid w:val="00E67187"/>
    <w:rsid w:val="00E70A91"/>
    <w:rsid w:val="00E72607"/>
    <w:rsid w:val="00E73C29"/>
    <w:rsid w:val="00E745DD"/>
    <w:rsid w:val="00E74D87"/>
    <w:rsid w:val="00E76F7E"/>
    <w:rsid w:val="00E81687"/>
    <w:rsid w:val="00E81DAA"/>
    <w:rsid w:val="00E82655"/>
    <w:rsid w:val="00E8349A"/>
    <w:rsid w:val="00E834D5"/>
    <w:rsid w:val="00E85942"/>
    <w:rsid w:val="00E85EF8"/>
    <w:rsid w:val="00E8721F"/>
    <w:rsid w:val="00E902CC"/>
    <w:rsid w:val="00E90587"/>
    <w:rsid w:val="00E905A1"/>
    <w:rsid w:val="00E9073B"/>
    <w:rsid w:val="00E90D7F"/>
    <w:rsid w:val="00E919C9"/>
    <w:rsid w:val="00E92125"/>
    <w:rsid w:val="00E93284"/>
    <w:rsid w:val="00E94854"/>
    <w:rsid w:val="00E95F2A"/>
    <w:rsid w:val="00E96154"/>
    <w:rsid w:val="00E96794"/>
    <w:rsid w:val="00E97DE6"/>
    <w:rsid w:val="00EA291F"/>
    <w:rsid w:val="00EA414E"/>
    <w:rsid w:val="00EA46E1"/>
    <w:rsid w:val="00EA4A1D"/>
    <w:rsid w:val="00EA4EC6"/>
    <w:rsid w:val="00EA4F37"/>
    <w:rsid w:val="00EA56F1"/>
    <w:rsid w:val="00EA594D"/>
    <w:rsid w:val="00EA59B1"/>
    <w:rsid w:val="00EA5D55"/>
    <w:rsid w:val="00EA655C"/>
    <w:rsid w:val="00EA7386"/>
    <w:rsid w:val="00EA7896"/>
    <w:rsid w:val="00EA7D2D"/>
    <w:rsid w:val="00EB0B3E"/>
    <w:rsid w:val="00EB15DA"/>
    <w:rsid w:val="00EB27E9"/>
    <w:rsid w:val="00EB2DEE"/>
    <w:rsid w:val="00EB549D"/>
    <w:rsid w:val="00EB5812"/>
    <w:rsid w:val="00EB5922"/>
    <w:rsid w:val="00EB5C51"/>
    <w:rsid w:val="00EB65FD"/>
    <w:rsid w:val="00EB6796"/>
    <w:rsid w:val="00EB6E5F"/>
    <w:rsid w:val="00EC0CBF"/>
    <w:rsid w:val="00EC14DF"/>
    <w:rsid w:val="00EC21B0"/>
    <w:rsid w:val="00EC2923"/>
    <w:rsid w:val="00EC29F7"/>
    <w:rsid w:val="00EC4744"/>
    <w:rsid w:val="00EC66ED"/>
    <w:rsid w:val="00EC6A17"/>
    <w:rsid w:val="00EC6B62"/>
    <w:rsid w:val="00EC6E73"/>
    <w:rsid w:val="00EC74E4"/>
    <w:rsid w:val="00ED05D8"/>
    <w:rsid w:val="00ED0926"/>
    <w:rsid w:val="00ED10DD"/>
    <w:rsid w:val="00ED15FC"/>
    <w:rsid w:val="00ED25C3"/>
    <w:rsid w:val="00ED48FF"/>
    <w:rsid w:val="00ED4F1D"/>
    <w:rsid w:val="00ED50BF"/>
    <w:rsid w:val="00ED65E0"/>
    <w:rsid w:val="00ED6B8E"/>
    <w:rsid w:val="00ED6D95"/>
    <w:rsid w:val="00ED6F02"/>
    <w:rsid w:val="00ED72C1"/>
    <w:rsid w:val="00EE1C1D"/>
    <w:rsid w:val="00EE3DC2"/>
    <w:rsid w:val="00EE3E01"/>
    <w:rsid w:val="00EE4DCA"/>
    <w:rsid w:val="00EE5189"/>
    <w:rsid w:val="00EE545E"/>
    <w:rsid w:val="00EE59E7"/>
    <w:rsid w:val="00EE5CB3"/>
    <w:rsid w:val="00EE6D33"/>
    <w:rsid w:val="00EE7350"/>
    <w:rsid w:val="00EE766B"/>
    <w:rsid w:val="00EE77CD"/>
    <w:rsid w:val="00EE7C36"/>
    <w:rsid w:val="00EF02C4"/>
    <w:rsid w:val="00EF193B"/>
    <w:rsid w:val="00EF1ECE"/>
    <w:rsid w:val="00EF201E"/>
    <w:rsid w:val="00EF610A"/>
    <w:rsid w:val="00EF68EE"/>
    <w:rsid w:val="00EF77AD"/>
    <w:rsid w:val="00F01400"/>
    <w:rsid w:val="00F0192F"/>
    <w:rsid w:val="00F027B2"/>
    <w:rsid w:val="00F04080"/>
    <w:rsid w:val="00F05AA4"/>
    <w:rsid w:val="00F05DE3"/>
    <w:rsid w:val="00F06512"/>
    <w:rsid w:val="00F07935"/>
    <w:rsid w:val="00F10108"/>
    <w:rsid w:val="00F13231"/>
    <w:rsid w:val="00F14B47"/>
    <w:rsid w:val="00F154E9"/>
    <w:rsid w:val="00F165C5"/>
    <w:rsid w:val="00F175F1"/>
    <w:rsid w:val="00F17D24"/>
    <w:rsid w:val="00F23814"/>
    <w:rsid w:val="00F23AC8"/>
    <w:rsid w:val="00F2439C"/>
    <w:rsid w:val="00F2598E"/>
    <w:rsid w:val="00F26372"/>
    <w:rsid w:val="00F26462"/>
    <w:rsid w:val="00F27298"/>
    <w:rsid w:val="00F27530"/>
    <w:rsid w:val="00F3061D"/>
    <w:rsid w:val="00F32065"/>
    <w:rsid w:val="00F35186"/>
    <w:rsid w:val="00F36F25"/>
    <w:rsid w:val="00F37217"/>
    <w:rsid w:val="00F3742E"/>
    <w:rsid w:val="00F40CD7"/>
    <w:rsid w:val="00F40D52"/>
    <w:rsid w:val="00F40D6D"/>
    <w:rsid w:val="00F41BB6"/>
    <w:rsid w:val="00F420A4"/>
    <w:rsid w:val="00F42173"/>
    <w:rsid w:val="00F43948"/>
    <w:rsid w:val="00F43B2E"/>
    <w:rsid w:val="00F44458"/>
    <w:rsid w:val="00F44BDA"/>
    <w:rsid w:val="00F46B51"/>
    <w:rsid w:val="00F46E5F"/>
    <w:rsid w:val="00F47E44"/>
    <w:rsid w:val="00F506C7"/>
    <w:rsid w:val="00F50BB2"/>
    <w:rsid w:val="00F50ECD"/>
    <w:rsid w:val="00F52E21"/>
    <w:rsid w:val="00F537A6"/>
    <w:rsid w:val="00F544E4"/>
    <w:rsid w:val="00F548BB"/>
    <w:rsid w:val="00F54FCD"/>
    <w:rsid w:val="00F559EF"/>
    <w:rsid w:val="00F561B7"/>
    <w:rsid w:val="00F565E1"/>
    <w:rsid w:val="00F56AE7"/>
    <w:rsid w:val="00F60A3C"/>
    <w:rsid w:val="00F60C61"/>
    <w:rsid w:val="00F6237C"/>
    <w:rsid w:val="00F62D4C"/>
    <w:rsid w:val="00F62E24"/>
    <w:rsid w:val="00F652DB"/>
    <w:rsid w:val="00F65A0C"/>
    <w:rsid w:val="00F6622B"/>
    <w:rsid w:val="00F66E4D"/>
    <w:rsid w:val="00F7114A"/>
    <w:rsid w:val="00F7116F"/>
    <w:rsid w:val="00F7120A"/>
    <w:rsid w:val="00F71ABF"/>
    <w:rsid w:val="00F71B38"/>
    <w:rsid w:val="00F722B4"/>
    <w:rsid w:val="00F72364"/>
    <w:rsid w:val="00F734AA"/>
    <w:rsid w:val="00F7391E"/>
    <w:rsid w:val="00F73C63"/>
    <w:rsid w:val="00F75541"/>
    <w:rsid w:val="00F75E56"/>
    <w:rsid w:val="00F772CE"/>
    <w:rsid w:val="00F772D4"/>
    <w:rsid w:val="00F80D22"/>
    <w:rsid w:val="00F81771"/>
    <w:rsid w:val="00F81E67"/>
    <w:rsid w:val="00F82959"/>
    <w:rsid w:val="00F8331E"/>
    <w:rsid w:val="00F839CD"/>
    <w:rsid w:val="00F83CCF"/>
    <w:rsid w:val="00F8449A"/>
    <w:rsid w:val="00F84581"/>
    <w:rsid w:val="00F85552"/>
    <w:rsid w:val="00F856F0"/>
    <w:rsid w:val="00F86BE9"/>
    <w:rsid w:val="00F8728D"/>
    <w:rsid w:val="00F87CF3"/>
    <w:rsid w:val="00F917BF"/>
    <w:rsid w:val="00F91B79"/>
    <w:rsid w:val="00F92FF8"/>
    <w:rsid w:val="00F93242"/>
    <w:rsid w:val="00F93D21"/>
    <w:rsid w:val="00F95783"/>
    <w:rsid w:val="00F96DFD"/>
    <w:rsid w:val="00F97AC4"/>
    <w:rsid w:val="00F97EC8"/>
    <w:rsid w:val="00FA32B7"/>
    <w:rsid w:val="00FA40A1"/>
    <w:rsid w:val="00FA5348"/>
    <w:rsid w:val="00FA7038"/>
    <w:rsid w:val="00FB0251"/>
    <w:rsid w:val="00FB0D2E"/>
    <w:rsid w:val="00FB1206"/>
    <w:rsid w:val="00FB150C"/>
    <w:rsid w:val="00FB1AF0"/>
    <w:rsid w:val="00FB2168"/>
    <w:rsid w:val="00FB2399"/>
    <w:rsid w:val="00FB281B"/>
    <w:rsid w:val="00FB3B79"/>
    <w:rsid w:val="00FB685E"/>
    <w:rsid w:val="00FB6AD2"/>
    <w:rsid w:val="00FB75E4"/>
    <w:rsid w:val="00FB7616"/>
    <w:rsid w:val="00FB79C0"/>
    <w:rsid w:val="00FC1388"/>
    <w:rsid w:val="00FC28CD"/>
    <w:rsid w:val="00FC2E48"/>
    <w:rsid w:val="00FC30BF"/>
    <w:rsid w:val="00FC3144"/>
    <w:rsid w:val="00FC3EE0"/>
    <w:rsid w:val="00FC4003"/>
    <w:rsid w:val="00FC4006"/>
    <w:rsid w:val="00FC4F13"/>
    <w:rsid w:val="00FC57BC"/>
    <w:rsid w:val="00FC5A03"/>
    <w:rsid w:val="00FC6B73"/>
    <w:rsid w:val="00FD346C"/>
    <w:rsid w:val="00FD3B47"/>
    <w:rsid w:val="00FD3FF5"/>
    <w:rsid w:val="00FD50AD"/>
    <w:rsid w:val="00FD57B4"/>
    <w:rsid w:val="00FD5A2F"/>
    <w:rsid w:val="00FE0482"/>
    <w:rsid w:val="00FE0E4B"/>
    <w:rsid w:val="00FE1325"/>
    <w:rsid w:val="00FE172D"/>
    <w:rsid w:val="00FE1986"/>
    <w:rsid w:val="00FE20A0"/>
    <w:rsid w:val="00FE25A3"/>
    <w:rsid w:val="00FE278F"/>
    <w:rsid w:val="00FE2879"/>
    <w:rsid w:val="00FE378D"/>
    <w:rsid w:val="00FE37FA"/>
    <w:rsid w:val="00FE5DAD"/>
    <w:rsid w:val="00FE68EE"/>
    <w:rsid w:val="00FF079F"/>
    <w:rsid w:val="00FF1039"/>
    <w:rsid w:val="00FF17BE"/>
    <w:rsid w:val="00FF1B7C"/>
    <w:rsid w:val="00FF1DF3"/>
    <w:rsid w:val="00FF2437"/>
    <w:rsid w:val="00FF2BC6"/>
    <w:rsid w:val="00FF37BE"/>
    <w:rsid w:val="00FF466B"/>
    <w:rsid w:val="00FF5D96"/>
    <w:rsid w:val="00FF66AB"/>
    <w:rsid w:val="00FF6E73"/>
    <w:rsid w:val="00FF79B4"/>
    <w:rsid w:val="00FF7E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352B3"/>
  <w15:chartTrackingRefBased/>
  <w15:docId w15:val="{30799950-5A6B-4FC5-8D51-440D928F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69A"/>
    <w:rPr>
      <w:sz w:val="24"/>
      <w:szCs w:val="24"/>
    </w:rPr>
  </w:style>
  <w:style w:type="paragraph" w:styleId="Ttulo1">
    <w:name w:val="heading 1"/>
    <w:basedOn w:val="Normal"/>
    <w:next w:val="Normal"/>
    <w:link w:val="Ttulo1Char"/>
    <w:uiPriority w:val="99"/>
    <w:qFormat/>
    <w:rsid w:val="00C2569A"/>
    <w:pPr>
      <w:keepNext/>
      <w:outlineLvl w:val="0"/>
    </w:pPr>
    <w:rPr>
      <w:b/>
      <w:bCs/>
    </w:rPr>
  </w:style>
  <w:style w:type="paragraph" w:styleId="Ttulo2">
    <w:name w:val="heading 2"/>
    <w:basedOn w:val="Normal"/>
    <w:next w:val="Normal"/>
    <w:link w:val="Ttulo2Char"/>
    <w:uiPriority w:val="99"/>
    <w:qFormat/>
    <w:rsid w:val="00C2569A"/>
    <w:pPr>
      <w:keepNext/>
      <w:jc w:val="both"/>
      <w:outlineLvl w:val="1"/>
    </w:pPr>
    <w:rPr>
      <w:szCs w:val="20"/>
    </w:rPr>
  </w:style>
  <w:style w:type="paragraph" w:styleId="Ttulo3">
    <w:name w:val="heading 3"/>
    <w:basedOn w:val="Normal"/>
    <w:next w:val="Normal"/>
    <w:link w:val="Ttulo3Char"/>
    <w:uiPriority w:val="99"/>
    <w:qFormat/>
    <w:rsid w:val="00C2569A"/>
    <w:pPr>
      <w:keepNext/>
      <w:ind w:firstLine="136"/>
      <w:outlineLvl w:val="2"/>
    </w:pPr>
    <w:rPr>
      <w:rFonts w:ascii="Arial" w:hAnsi="Arial" w:cs="Arial"/>
      <w:i/>
      <w:iCs/>
      <w:sz w:val="16"/>
      <w:szCs w:val="14"/>
    </w:rPr>
  </w:style>
  <w:style w:type="paragraph" w:styleId="Ttulo4">
    <w:name w:val="heading 4"/>
    <w:basedOn w:val="Normal"/>
    <w:next w:val="Normal"/>
    <w:link w:val="Ttulo4Char"/>
    <w:uiPriority w:val="99"/>
    <w:qFormat/>
    <w:rsid w:val="00C2569A"/>
    <w:pPr>
      <w:keepNext/>
      <w:ind w:firstLine="136"/>
      <w:jc w:val="center"/>
      <w:outlineLvl w:val="3"/>
    </w:pPr>
    <w:rPr>
      <w:rFonts w:ascii="Arial" w:hAnsi="Arial" w:cs="Arial"/>
      <w:b/>
      <w:bCs/>
      <w:i/>
      <w:iCs/>
      <w:sz w:val="16"/>
      <w:szCs w:val="14"/>
      <w:lang w:val="en-US"/>
    </w:rPr>
  </w:style>
  <w:style w:type="paragraph" w:styleId="Ttulo5">
    <w:name w:val="heading 5"/>
    <w:basedOn w:val="Normal"/>
    <w:next w:val="Normal"/>
    <w:link w:val="Ttulo5Char"/>
    <w:uiPriority w:val="99"/>
    <w:qFormat/>
    <w:rsid w:val="00C2569A"/>
    <w:pPr>
      <w:keepNext/>
      <w:autoSpaceDE w:val="0"/>
      <w:autoSpaceDN w:val="0"/>
      <w:adjustRightInd w:val="0"/>
      <w:jc w:val="both"/>
      <w:outlineLvl w:val="4"/>
    </w:pPr>
    <w:rPr>
      <w:b/>
    </w:rPr>
  </w:style>
  <w:style w:type="paragraph" w:styleId="Ttulo6">
    <w:name w:val="heading 6"/>
    <w:basedOn w:val="Normal"/>
    <w:next w:val="Normal"/>
    <w:link w:val="Ttulo6Char"/>
    <w:uiPriority w:val="99"/>
    <w:qFormat/>
    <w:rsid w:val="00C2569A"/>
    <w:pPr>
      <w:keepNext/>
      <w:outlineLvl w:val="5"/>
    </w:pPr>
    <w:rPr>
      <w:rFonts w:ascii="Arial" w:hAnsi="Arial"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1214F0"/>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1214F0"/>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1214F0"/>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1214F0"/>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1214F0"/>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1214F0"/>
    <w:rPr>
      <w:rFonts w:ascii="Calibri" w:hAnsi="Calibri" w:cs="Times New Roman"/>
      <w:b/>
      <w:bCs/>
    </w:rPr>
  </w:style>
  <w:style w:type="paragraph" w:styleId="Recuodecorpodetexto3">
    <w:name w:val="Body Text Indent 3"/>
    <w:basedOn w:val="Normal"/>
    <w:link w:val="Recuodecorpodetexto3Char"/>
    <w:uiPriority w:val="99"/>
    <w:rsid w:val="00C2569A"/>
    <w:pPr>
      <w:ind w:left="3060"/>
    </w:pPr>
    <w:rPr>
      <w:b/>
      <w:bCs/>
      <w:i/>
      <w:iCs/>
    </w:rPr>
  </w:style>
  <w:style w:type="character" w:customStyle="1" w:styleId="Recuodecorpodetexto3Char">
    <w:name w:val="Recuo de corpo de texto 3 Char"/>
    <w:basedOn w:val="Fontepargpadro"/>
    <w:link w:val="Recuodecorpodetexto3"/>
    <w:uiPriority w:val="99"/>
    <w:semiHidden/>
    <w:locked/>
    <w:rsid w:val="001214F0"/>
    <w:rPr>
      <w:rFonts w:cs="Times New Roman"/>
      <w:sz w:val="16"/>
      <w:szCs w:val="16"/>
    </w:rPr>
  </w:style>
  <w:style w:type="paragraph" w:styleId="Cabealho">
    <w:name w:val="header"/>
    <w:basedOn w:val="Normal"/>
    <w:link w:val="CabealhoChar"/>
    <w:uiPriority w:val="99"/>
    <w:rsid w:val="00C2569A"/>
    <w:pPr>
      <w:widowControl w:val="0"/>
      <w:tabs>
        <w:tab w:val="center" w:pos="4419"/>
        <w:tab w:val="right" w:pos="8838"/>
      </w:tabs>
    </w:pPr>
    <w:rPr>
      <w:sz w:val="20"/>
      <w:szCs w:val="20"/>
      <w:lang w:eastAsia="en-US"/>
    </w:rPr>
  </w:style>
  <w:style w:type="character" w:customStyle="1" w:styleId="CabealhoChar">
    <w:name w:val="Cabeçalho Char"/>
    <w:basedOn w:val="Fontepargpadro"/>
    <w:link w:val="Cabealho"/>
    <w:uiPriority w:val="99"/>
    <w:semiHidden/>
    <w:locked/>
    <w:rsid w:val="001214F0"/>
    <w:rPr>
      <w:rFonts w:cs="Times New Roman"/>
      <w:sz w:val="24"/>
      <w:szCs w:val="24"/>
    </w:rPr>
  </w:style>
  <w:style w:type="paragraph" w:styleId="Recuodecorpodetexto">
    <w:name w:val="Body Text Indent"/>
    <w:basedOn w:val="Normal"/>
    <w:link w:val="RecuodecorpodetextoChar"/>
    <w:rsid w:val="00C2569A"/>
    <w:pPr>
      <w:ind w:firstLine="708"/>
      <w:jc w:val="both"/>
    </w:pPr>
  </w:style>
  <w:style w:type="character" w:customStyle="1" w:styleId="RecuodecorpodetextoChar">
    <w:name w:val="Recuo de corpo de texto Char"/>
    <w:basedOn w:val="Fontepargpadro"/>
    <w:link w:val="Recuodecorpodetexto"/>
    <w:locked/>
    <w:rsid w:val="00563922"/>
    <w:rPr>
      <w:rFonts w:cs="Times New Roman"/>
      <w:sz w:val="24"/>
      <w:szCs w:val="24"/>
    </w:rPr>
  </w:style>
  <w:style w:type="paragraph" w:styleId="Recuodecorpodetexto2">
    <w:name w:val="Body Text Indent 2"/>
    <w:basedOn w:val="Normal"/>
    <w:link w:val="Recuodecorpodetexto2Char"/>
    <w:uiPriority w:val="99"/>
    <w:rsid w:val="00C2569A"/>
    <w:pPr>
      <w:spacing w:after="120"/>
      <w:ind w:firstLine="709"/>
      <w:jc w:val="both"/>
    </w:pPr>
    <w:rPr>
      <w:szCs w:val="20"/>
    </w:rPr>
  </w:style>
  <w:style w:type="character" w:customStyle="1" w:styleId="Recuodecorpodetexto2Char">
    <w:name w:val="Recuo de corpo de texto 2 Char"/>
    <w:basedOn w:val="Fontepargpadro"/>
    <w:link w:val="Recuodecorpodetexto2"/>
    <w:uiPriority w:val="99"/>
    <w:locked/>
    <w:rsid w:val="00332895"/>
    <w:rPr>
      <w:rFonts w:cs="Times New Roman"/>
      <w:sz w:val="24"/>
    </w:rPr>
  </w:style>
  <w:style w:type="paragraph" w:customStyle="1" w:styleId="xl29">
    <w:name w:val="xl29"/>
    <w:basedOn w:val="Normal"/>
    <w:uiPriority w:val="99"/>
    <w:rsid w:val="00C2569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0">
    <w:name w:val="xl30"/>
    <w:basedOn w:val="Normal"/>
    <w:uiPriority w:val="99"/>
    <w:rsid w:val="00C2569A"/>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1">
    <w:name w:val="xl31"/>
    <w:basedOn w:val="Normal"/>
    <w:uiPriority w:val="99"/>
    <w:rsid w:val="00C2569A"/>
    <w:pPr>
      <w:pBdr>
        <w:top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2">
    <w:name w:val="xl32"/>
    <w:basedOn w:val="Normal"/>
    <w:uiPriority w:val="99"/>
    <w:rsid w:val="00C2569A"/>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3">
    <w:name w:val="xl33"/>
    <w:basedOn w:val="Normal"/>
    <w:uiPriority w:val="99"/>
    <w:rsid w:val="00C2569A"/>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4">
    <w:name w:val="xl34"/>
    <w:basedOn w:val="Normal"/>
    <w:uiPriority w:val="99"/>
    <w:rsid w:val="00C2569A"/>
    <w:pPr>
      <w:pBdr>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5">
    <w:name w:val="xl35"/>
    <w:basedOn w:val="Normal"/>
    <w:uiPriority w:val="99"/>
    <w:rsid w:val="00C2569A"/>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6">
    <w:name w:val="xl36"/>
    <w:basedOn w:val="Normal"/>
    <w:uiPriority w:val="99"/>
    <w:rsid w:val="00C25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7">
    <w:name w:val="xl37"/>
    <w:basedOn w:val="Normal"/>
    <w:uiPriority w:val="99"/>
    <w:rsid w:val="00C25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8">
    <w:name w:val="xl38"/>
    <w:basedOn w:val="Normal"/>
    <w:uiPriority w:val="99"/>
    <w:rsid w:val="00C2569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9">
    <w:name w:val="xl39"/>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0">
    <w:name w:val="xl40"/>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1">
    <w:name w:val="xl41"/>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2">
    <w:name w:val="xl42"/>
    <w:basedOn w:val="Normal"/>
    <w:uiPriority w:val="99"/>
    <w:rsid w:val="00C2569A"/>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3">
    <w:name w:val="xl43"/>
    <w:basedOn w:val="Normal"/>
    <w:uiPriority w:val="99"/>
    <w:rsid w:val="00C2569A"/>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4">
    <w:name w:val="xl44"/>
    <w:basedOn w:val="Normal"/>
    <w:uiPriority w:val="99"/>
    <w:rsid w:val="00C2569A"/>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7">
    <w:name w:val="xl27"/>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28">
    <w:name w:val="xl28"/>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styleId="Rodap">
    <w:name w:val="footer"/>
    <w:basedOn w:val="Normal"/>
    <w:link w:val="RodapChar"/>
    <w:uiPriority w:val="99"/>
    <w:rsid w:val="00C2569A"/>
    <w:pPr>
      <w:tabs>
        <w:tab w:val="center" w:pos="4419"/>
        <w:tab w:val="right" w:pos="8838"/>
      </w:tabs>
    </w:pPr>
  </w:style>
  <w:style w:type="character" w:customStyle="1" w:styleId="RodapChar">
    <w:name w:val="Rodapé Char"/>
    <w:basedOn w:val="Fontepargpadro"/>
    <w:link w:val="Rodap"/>
    <w:uiPriority w:val="99"/>
    <w:semiHidden/>
    <w:locked/>
    <w:rsid w:val="001214F0"/>
    <w:rPr>
      <w:rFonts w:cs="Times New Roman"/>
      <w:sz w:val="24"/>
      <w:szCs w:val="24"/>
    </w:rPr>
  </w:style>
  <w:style w:type="character" w:styleId="Nmerodepgina">
    <w:name w:val="page number"/>
    <w:basedOn w:val="Fontepargpadro"/>
    <w:uiPriority w:val="99"/>
    <w:rsid w:val="00C2569A"/>
    <w:rPr>
      <w:rFonts w:cs="Times New Roman"/>
    </w:rPr>
  </w:style>
  <w:style w:type="paragraph" w:styleId="Corpodetexto">
    <w:name w:val="Body Text"/>
    <w:basedOn w:val="Normal"/>
    <w:link w:val="CorpodetextoChar"/>
    <w:uiPriority w:val="99"/>
    <w:rsid w:val="00C2569A"/>
    <w:pPr>
      <w:jc w:val="both"/>
    </w:pPr>
    <w:rPr>
      <w:szCs w:val="20"/>
    </w:rPr>
  </w:style>
  <w:style w:type="character" w:customStyle="1" w:styleId="CorpodetextoChar">
    <w:name w:val="Corpo de texto Char"/>
    <w:basedOn w:val="Fontepargpadro"/>
    <w:link w:val="Corpodetexto"/>
    <w:uiPriority w:val="99"/>
    <w:semiHidden/>
    <w:locked/>
    <w:rsid w:val="001214F0"/>
    <w:rPr>
      <w:rFonts w:cs="Times New Roman"/>
      <w:sz w:val="24"/>
      <w:szCs w:val="24"/>
    </w:rPr>
  </w:style>
  <w:style w:type="paragraph" w:styleId="Textodenotaderodap">
    <w:name w:val="footnote text"/>
    <w:basedOn w:val="Normal"/>
    <w:link w:val="TextodenotaderodapChar"/>
    <w:uiPriority w:val="99"/>
    <w:semiHidden/>
    <w:rsid w:val="00C2569A"/>
    <w:rPr>
      <w:sz w:val="20"/>
      <w:szCs w:val="20"/>
    </w:rPr>
  </w:style>
  <w:style w:type="character" w:customStyle="1" w:styleId="TextodenotaderodapChar">
    <w:name w:val="Texto de nota de rodapé Char"/>
    <w:basedOn w:val="Fontepargpadro"/>
    <w:link w:val="Textodenotaderodap"/>
    <w:uiPriority w:val="99"/>
    <w:semiHidden/>
    <w:locked/>
    <w:rsid w:val="001214F0"/>
    <w:rPr>
      <w:rFonts w:cs="Times New Roman"/>
      <w:sz w:val="20"/>
      <w:szCs w:val="20"/>
    </w:rPr>
  </w:style>
  <w:style w:type="paragraph" w:customStyle="1" w:styleId="xl24">
    <w:name w:val="xl24"/>
    <w:basedOn w:val="Normal"/>
    <w:uiPriority w:val="99"/>
    <w:rsid w:val="00C2569A"/>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color w:val="000000"/>
      <w:sz w:val="14"/>
      <w:szCs w:val="14"/>
    </w:rPr>
  </w:style>
  <w:style w:type="paragraph" w:customStyle="1" w:styleId="xl25">
    <w:name w:val="xl25"/>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b/>
      <w:bCs/>
      <w:i/>
      <w:iCs/>
      <w:color w:val="000000"/>
      <w:sz w:val="18"/>
      <w:szCs w:val="18"/>
    </w:rPr>
  </w:style>
  <w:style w:type="paragraph" w:customStyle="1" w:styleId="xl26">
    <w:name w:val="xl26"/>
    <w:basedOn w:val="Normal"/>
    <w:uiPriority w:val="99"/>
    <w:rsid w:val="00C2569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color w:val="000000"/>
      <w:sz w:val="18"/>
      <w:szCs w:val="18"/>
    </w:rPr>
  </w:style>
  <w:style w:type="paragraph" w:customStyle="1" w:styleId="xl45">
    <w:name w:val="xl45"/>
    <w:basedOn w:val="Normal"/>
    <w:uiPriority w:val="99"/>
    <w:rsid w:val="00C2569A"/>
    <w:pPr>
      <w:pBdr>
        <w:bottom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46">
    <w:name w:val="xl46"/>
    <w:basedOn w:val="Normal"/>
    <w:uiPriority w:val="99"/>
    <w:rsid w:val="00C2569A"/>
    <w:pPr>
      <w:pBdr>
        <w:bottom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7">
    <w:name w:val="xl47"/>
    <w:basedOn w:val="Normal"/>
    <w:uiPriority w:val="99"/>
    <w:rsid w:val="00C2569A"/>
    <w:pPr>
      <w:pBdr>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8">
    <w:name w:val="xl48"/>
    <w:basedOn w:val="Normal"/>
    <w:uiPriority w:val="99"/>
    <w:rsid w:val="00C2569A"/>
    <w:pPr>
      <w:pBdr>
        <w:bottom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9">
    <w:name w:val="xl49"/>
    <w:basedOn w:val="Normal"/>
    <w:uiPriority w:val="99"/>
    <w:rsid w:val="00C2569A"/>
    <w:pPr>
      <w:pBdr>
        <w:bottom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50">
    <w:name w:val="xl50"/>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51">
    <w:name w:val="xl51"/>
    <w:basedOn w:val="Normal"/>
    <w:uiPriority w:val="99"/>
    <w:rsid w:val="00C2569A"/>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2">
    <w:name w:val="xl52"/>
    <w:basedOn w:val="Normal"/>
    <w:uiPriority w:val="99"/>
    <w:rsid w:val="00C2569A"/>
    <w:pPr>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53">
    <w:name w:val="xl53"/>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54">
    <w:name w:val="xl54"/>
    <w:basedOn w:val="Normal"/>
    <w:uiPriority w:val="99"/>
    <w:rsid w:val="00C2569A"/>
    <w:pPr>
      <w:spacing w:before="100" w:beforeAutospacing="1" w:after="100" w:afterAutospacing="1"/>
      <w:jc w:val="center"/>
    </w:pPr>
    <w:rPr>
      <w:rFonts w:ascii="Arial" w:eastAsia="Arial Unicode MS" w:hAnsi="Arial" w:cs="Arial"/>
      <w:sz w:val="16"/>
      <w:szCs w:val="16"/>
    </w:rPr>
  </w:style>
  <w:style w:type="paragraph" w:customStyle="1" w:styleId="xl55">
    <w:name w:val="xl55"/>
    <w:basedOn w:val="Normal"/>
    <w:uiPriority w:val="99"/>
    <w:rsid w:val="00C2569A"/>
    <w:pPr>
      <w:spacing w:before="100" w:beforeAutospacing="1" w:after="100" w:afterAutospacing="1"/>
    </w:pPr>
    <w:rPr>
      <w:rFonts w:eastAsia="Arial Unicode MS"/>
    </w:rPr>
  </w:style>
  <w:style w:type="paragraph" w:styleId="Textodebalo">
    <w:name w:val="Balloon Text"/>
    <w:basedOn w:val="Normal"/>
    <w:link w:val="TextodebaloChar"/>
    <w:uiPriority w:val="99"/>
    <w:semiHidden/>
    <w:rsid w:val="00C2569A"/>
    <w:rPr>
      <w:rFonts w:ascii="Tahoma" w:hAnsi="Tahoma" w:cs="Tahoma"/>
      <w:sz w:val="16"/>
      <w:szCs w:val="16"/>
    </w:rPr>
  </w:style>
  <w:style w:type="character" w:customStyle="1" w:styleId="TextodebaloChar">
    <w:name w:val="Texto de balão Char"/>
    <w:basedOn w:val="Fontepargpadro"/>
    <w:link w:val="Textodebalo"/>
    <w:uiPriority w:val="99"/>
    <w:semiHidden/>
    <w:locked/>
    <w:rsid w:val="001214F0"/>
    <w:rPr>
      <w:rFonts w:cs="Times New Roman"/>
      <w:sz w:val="2"/>
    </w:rPr>
  </w:style>
  <w:style w:type="character" w:styleId="Hyperlink">
    <w:name w:val="Hyperlink"/>
    <w:basedOn w:val="Fontepargpadro"/>
    <w:uiPriority w:val="99"/>
    <w:rsid w:val="00C2569A"/>
    <w:rPr>
      <w:rFonts w:cs="Times New Roman"/>
      <w:color w:val="0000FF"/>
      <w:u w:val="single"/>
    </w:rPr>
  </w:style>
  <w:style w:type="character" w:styleId="HiperlinkVisitado">
    <w:name w:val="FollowedHyperlink"/>
    <w:basedOn w:val="Fontepargpadro"/>
    <w:uiPriority w:val="99"/>
    <w:rsid w:val="00C2569A"/>
    <w:rPr>
      <w:rFonts w:cs="Times New Roman"/>
      <w:color w:val="606420"/>
      <w:u w:val="single"/>
    </w:rPr>
  </w:style>
  <w:style w:type="character" w:styleId="Refdenotaderodap">
    <w:name w:val="footnote reference"/>
    <w:basedOn w:val="Fontepargpadro"/>
    <w:uiPriority w:val="99"/>
    <w:semiHidden/>
    <w:unhideWhenUsed/>
    <w:rsid w:val="003B63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261365">
      <w:bodyDiv w:val="1"/>
      <w:marLeft w:val="0"/>
      <w:marRight w:val="0"/>
      <w:marTop w:val="0"/>
      <w:marBottom w:val="0"/>
      <w:divBdr>
        <w:top w:val="none" w:sz="0" w:space="0" w:color="auto"/>
        <w:left w:val="none" w:sz="0" w:space="0" w:color="auto"/>
        <w:bottom w:val="none" w:sz="0" w:space="0" w:color="auto"/>
        <w:right w:val="none" w:sz="0" w:space="0" w:color="auto"/>
      </w:divBdr>
    </w:div>
    <w:div w:id="303974828">
      <w:bodyDiv w:val="1"/>
      <w:marLeft w:val="0"/>
      <w:marRight w:val="0"/>
      <w:marTop w:val="0"/>
      <w:marBottom w:val="0"/>
      <w:divBdr>
        <w:top w:val="none" w:sz="0" w:space="0" w:color="auto"/>
        <w:left w:val="none" w:sz="0" w:space="0" w:color="auto"/>
        <w:bottom w:val="none" w:sz="0" w:space="0" w:color="auto"/>
        <w:right w:val="none" w:sz="0" w:space="0" w:color="auto"/>
      </w:divBdr>
    </w:div>
    <w:div w:id="531378346">
      <w:bodyDiv w:val="1"/>
      <w:marLeft w:val="0"/>
      <w:marRight w:val="0"/>
      <w:marTop w:val="0"/>
      <w:marBottom w:val="0"/>
      <w:divBdr>
        <w:top w:val="none" w:sz="0" w:space="0" w:color="auto"/>
        <w:left w:val="none" w:sz="0" w:space="0" w:color="auto"/>
        <w:bottom w:val="none" w:sz="0" w:space="0" w:color="auto"/>
        <w:right w:val="none" w:sz="0" w:space="0" w:color="auto"/>
      </w:divBdr>
    </w:div>
    <w:div w:id="901676486">
      <w:marLeft w:val="0"/>
      <w:marRight w:val="0"/>
      <w:marTop w:val="0"/>
      <w:marBottom w:val="0"/>
      <w:divBdr>
        <w:top w:val="none" w:sz="0" w:space="0" w:color="auto"/>
        <w:left w:val="none" w:sz="0" w:space="0" w:color="auto"/>
        <w:bottom w:val="none" w:sz="0" w:space="0" w:color="auto"/>
        <w:right w:val="none" w:sz="0" w:space="0" w:color="auto"/>
      </w:divBdr>
    </w:div>
    <w:div w:id="901676487">
      <w:marLeft w:val="0"/>
      <w:marRight w:val="0"/>
      <w:marTop w:val="0"/>
      <w:marBottom w:val="0"/>
      <w:divBdr>
        <w:top w:val="none" w:sz="0" w:space="0" w:color="auto"/>
        <w:left w:val="none" w:sz="0" w:space="0" w:color="auto"/>
        <w:bottom w:val="none" w:sz="0" w:space="0" w:color="auto"/>
        <w:right w:val="none" w:sz="0" w:space="0" w:color="auto"/>
      </w:divBdr>
    </w:div>
    <w:div w:id="901676488">
      <w:marLeft w:val="0"/>
      <w:marRight w:val="0"/>
      <w:marTop w:val="0"/>
      <w:marBottom w:val="0"/>
      <w:divBdr>
        <w:top w:val="none" w:sz="0" w:space="0" w:color="auto"/>
        <w:left w:val="none" w:sz="0" w:space="0" w:color="auto"/>
        <w:bottom w:val="none" w:sz="0" w:space="0" w:color="auto"/>
        <w:right w:val="none" w:sz="0" w:space="0" w:color="auto"/>
      </w:divBdr>
    </w:div>
    <w:div w:id="901676489">
      <w:marLeft w:val="0"/>
      <w:marRight w:val="0"/>
      <w:marTop w:val="0"/>
      <w:marBottom w:val="0"/>
      <w:divBdr>
        <w:top w:val="none" w:sz="0" w:space="0" w:color="auto"/>
        <w:left w:val="none" w:sz="0" w:space="0" w:color="auto"/>
        <w:bottom w:val="none" w:sz="0" w:space="0" w:color="auto"/>
        <w:right w:val="none" w:sz="0" w:space="0" w:color="auto"/>
      </w:divBdr>
    </w:div>
    <w:div w:id="901676490">
      <w:marLeft w:val="0"/>
      <w:marRight w:val="0"/>
      <w:marTop w:val="0"/>
      <w:marBottom w:val="0"/>
      <w:divBdr>
        <w:top w:val="none" w:sz="0" w:space="0" w:color="auto"/>
        <w:left w:val="none" w:sz="0" w:space="0" w:color="auto"/>
        <w:bottom w:val="none" w:sz="0" w:space="0" w:color="auto"/>
        <w:right w:val="none" w:sz="0" w:space="0" w:color="auto"/>
      </w:divBdr>
    </w:div>
    <w:div w:id="901676491">
      <w:marLeft w:val="0"/>
      <w:marRight w:val="0"/>
      <w:marTop w:val="0"/>
      <w:marBottom w:val="0"/>
      <w:divBdr>
        <w:top w:val="none" w:sz="0" w:space="0" w:color="auto"/>
        <w:left w:val="none" w:sz="0" w:space="0" w:color="auto"/>
        <w:bottom w:val="none" w:sz="0" w:space="0" w:color="auto"/>
        <w:right w:val="none" w:sz="0" w:space="0" w:color="auto"/>
      </w:divBdr>
    </w:div>
    <w:div w:id="901676492">
      <w:marLeft w:val="0"/>
      <w:marRight w:val="0"/>
      <w:marTop w:val="0"/>
      <w:marBottom w:val="0"/>
      <w:divBdr>
        <w:top w:val="none" w:sz="0" w:space="0" w:color="auto"/>
        <w:left w:val="none" w:sz="0" w:space="0" w:color="auto"/>
        <w:bottom w:val="none" w:sz="0" w:space="0" w:color="auto"/>
        <w:right w:val="none" w:sz="0" w:space="0" w:color="auto"/>
      </w:divBdr>
    </w:div>
    <w:div w:id="901676493">
      <w:marLeft w:val="0"/>
      <w:marRight w:val="0"/>
      <w:marTop w:val="0"/>
      <w:marBottom w:val="0"/>
      <w:divBdr>
        <w:top w:val="none" w:sz="0" w:space="0" w:color="auto"/>
        <w:left w:val="none" w:sz="0" w:space="0" w:color="auto"/>
        <w:bottom w:val="none" w:sz="0" w:space="0" w:color="auto"/>
        <w:right w:val="none" w:sz="0" w:space="0" w:color="auto"/>
      </w:divBdr>
    </w:div>
    <w:div w:id="901676494">
      <w:marLeft w:val="0"/>
      <w:marRight w:val="0"/>
      <w:marTop w:val="0"/>
      <w:marBottom w:val="0"/>
      <w:divBdr>
        <w:top w:val="none" w:sz="0" w:space="0" w:color="auto"/>
        <w:left w:val="none" w:sz="0" w:space="0" w:color="auto"/>
        <w:bottom w:val="none" w:sz="0" w:space="0" w:color="auto"/>
        <w:right w:val="none" w:sz="0" w:space="0" w:color="auto"/>
      </w:divBdr>
    </w:div>
    <w:div w:id="901676495">
      <w:marLeft w:val="0"/>
      <w:marRight w:val="0"/>
      <w:marTop w:val="0"/>
      <w:marBottom w:val="0"/>
      <w:divBdr>
        <w:top w:val="none" w:sz="0" w:space="0" w:color="auto"/>
        <w:left w:val="none" w:sz="0" w:space="0" w:color="auto"/>
        <w:bottom w:val="none" w:sz="0" w:space="0" w:color="auto"/>
        <w:right w:val="none" w:sz="0" w:space="0" w:color="auto"/>
      </w:divBdr>
    </w:div>
    <w:div w:id="901676496">
      <w:marLeft w:val="0"/>
      <w:marRight w:val="0"/>
      <w:marTop w:val="0"/>
      <w:marBottom w:val="0"/>
      <w:divBdr>
        <w:top w:val="none" w:sz="0" w:space="0" w:color="auto"/>
        <w:left w:val="none" w:sz="0" w:space="0" w:color="auto"/>
        <w:bottom w:val="none" w:sz="0" w:space="0" w:color="auto"/>
        <w:right w:val="none" w:sz="0" w:space="0" w:color="auto"/>
      </w:divBdr>
    </w:div>
    <w:div w:id="901676497">
      <w:marLeft w:val="0"/>
      <w:marRight w:val="0"/>
      <w:marTop w:val="0"/>
      <w:marBottom w:val="0"/>
      <w:divBdr>
        <w:top w:val="none" w:sz="0" w:space="0" w:color="auto"/>
        <w:left w:val="none" w:sz="0" w:space="0" w:color="auto"/>
        <w:bottom w:val="none" w:sz="0" w:space="0" w:color="auto"/>
        <w:right w:val="none" w:sz="0" w:space="0" w:color="auto"/>
      </w:divBdr>
    </w:div>
    <w:div w:id="901676498">
      <w:marLeft w:val="0"/>
      <w:marRight w:val="0"/>
      <w:marTop w:val="0"/>
      <w:marBottom w:val="0"/>
      <w:divBdr>
        <w:top w:val="none" w:sz="0" w:space="0" w:color="auto"/>
        <w:left w:val="none" w:sz="0" w:space="0" w:color="auto"/>
        <w:bottom w:val="none" w:sz="0" w:space="0" w:color="auto"/>
        <w:right w:val="none" w:sz="0" w:space="0" w:color="auto"/>
      </w:divBdr>
    </w:div>
    <w:div w:id="901676499">
      <w:marLeft w:val="0"/>
      <w:marRight w:val="0"/>
      <w:marTop w:val="0"/>
      <w:marBottom w:val="0"/>
      <w:divBdr>
        <w:top w:val="none" w:sz="0" w:space="0" w:color="auto"/>
        <w:left w:val="none" w:sz="0" w:space="0" w:color="auto"/>
        <w:bottom w:val="none" w:sz="0" w:space="0" w:color="auto"/>
        <w:right w:val="none" w:sz="0" w:space="0" w:color="auto"/>
      </w:divBdr>
    </w:div>
    <w:div w:id="901676500">
      <w:marLeft w:val="0"/>
      <w:marRight w:val="0"/>
      <w:marTop w:val="0"/>
      <w:marBottom w:val="0"/>
      <w:divBdr>
        <w:top w:val="none" w:sz="0" w:space="0" w:color="auto"/>
        <w:left w:val="none" w:sz="0" w:space="0" w:color="auto"/>
        <w:bottom w:val="none" w:sz="0" w:space="0" w:color="auto"/>
        <w:right w:val="none" w:sz="0" w:space="0" w:color="auto"/>
      </w:divBdr>
    </w:div>
    <w:div w:id="901676501">
      <w:marLeft w:val="0"/>
      <w:marRight w:val="0"/>
      <w:marTop w:val="0"/>
      <w:marBottom w:val="0"/>
      <w:divBdr>
        <w:top w:val="none" w:sz="0" w:space="0" w:color="auto"/>
        <w:left w:val="none" w:sz="0" w:space="0" w:color="auto"/>
        <w:bottom w:val="none" w:sz="0" w:space="0" w:color="auto"/>
        <w:right w:val="none" w:sz="0" w:space="0" w:color="auto"/>
      </w:divBdr>
    </w:div>
    <w:div w:id="901676502">
      <w:marLeft w:val="0"/>
      <w:marRight w:val="0"/>
      <w:marTop w:val="0"/>
      <w:marBottom w:val="0"/>
      <w:divBdr>
        <w:top w:val="none" w:sz="0" w:space="0" w:color="auto"/>
        <w:left w:val="none" w:sz="0" w:space="0" w:color="auto"/>
        <w:bottom w:val="none" w:sz="0" w:space="0" w:color="auto"/>
        <w:right w:val="none" w:sz="0" w:space="0" w:color="auto"/>
      </w:divBdr>
    </w:div>
    <w:div w:id="901676503">
      <w:marLeft w:val="0"/>
      <w:marRight w:val="0"/>
      <w:marTop w:val="0"/>
      <w:marBottom w:val="0"/>
      <w:divBdr>
        <w:top w:val="none" w:sz="0" w:space="0" w:color="auto"/>
        <w:left w:val="none" w:sz="0" w:space="0" w:color="auto"/>
        <w:bottom w:val="none" w:sz="0" w:space="0" w:color="auto"/>
        <w:right w:val="none" w:sz="0" w:space="0" w:color="auto"/>
      </w:divBdr>
    </w:div>
    <w:div w:id="901676504">
      <w:marLeft w:val="0"/>
      <w:marRight w:val="0"/>
      <w:marTop w:val="0"/>
      <w:marBottom w:val="0"/>
      <w:divBdr>
        <w:top w:val="none" w:sz="0" w:space="0" w:color="auto"/>
        <w:left w:val="none" w:sz="0" w:space="0" w:color="auto"/>
        <w:bottom w:val="none" w:sz="0" w:space="0" w:color="auto"/>
        <w:right w:val="none" w:sz="0" w:space="0" w:color="auto"/>
      </w:divBdr>
    </w:div>
    <w:div w:id="901676505">
      <w:marLeft w:val="0"/>
      <w:marRight w:val="0"/>
      <w:marTop w:val="0"/>
      <w:marBottom w:val="0"/>
      <w:divBdr>
        <w:top w:val="none" w:sz="0" w:space="0" w:color="auto"/>
        <w:left w:val="none" w:sz="0" w:space="0" w:color="auto"/>
        <w:bottom w:val="none" w:sz="0" w:space="0" w:color="auto"/>
        <w:right w:val="none" w:sz="0" w:space="0" w:color="auto"/>
      </w:divBdr>
    </w:div>
    <w:div w:id="901676506">
      <w:marLeft w:val="0"/>
      <w:marRight w:val="0"/>
      <w:marTop w:val="0"/>
      <w:marBottom w:val="0"/>
      <w:divBdr>
        <w:top w:val="none" w:sz="0" w:space="0" w:color="auto"/>
        <w:left w:val="none" w:sz="0" w:space="0" w:color="auto"/>
        <w:bottom w:val="none" w:sz="0" w:space="0" w:color="auto"/>
        <w:right w:val="none" w:sz="0" w:space="0" w:color="auto"/>
      </w:divBdr>
    </w:div>
    <w:div w:id="901676507">
      <w:marLeft w:val="0"/>
      <w:marRight w:val="0"/>
      <w:marTop w:val="0"/>
      <w:marBottom w:val="0"/>
      <w:divBdr>
        <w:top w:val="none" w:sz="0" w:space="0" w:color="auto"/>
        <w:left w:val="none" w:sz="0" w:space="0" w:color="auto"/>
        <w:bottom w:val="none" w:sz="0" w:space="0" w:color="auto"/>
        <w:right w:val="none" w:sz="0" w:space="0" w:color="auto"/>
      </w:divBdr>
    </w:div>
    <w:div w:id="901676508">
      <w:marLeft w:val="0"/>
      <w:marRight w:val="0"/>
      <w:marTop w:val="0"/>
      <w:marBottom w:val="0"/>
      <w:divBdr>
        <w:top w:val="none" w:sz="0" w:space="0" w:color="auto"/>
        <w:left w:val="none" w:sz="0" w:space="0" w:color="auto"/>
        <w:bottom w:val="none" w:sz="0" w:space="0" w:color="auto"/>
        <w:right w:val="none" w:sz="0" w:space="0" w:color="auto"/>
      </w:divBdr>
    </w:div>
    <w:div w:id="901676509">
      <w:marLeft w:val="0"/>
      <w:marRight w:val="0"/>
      <w:marTop w:val="0"/>
      <w:marBottom w:val="0"/>
      <w:divBdr>
        <w:top w:val="none" w:sz="0" w:space="0" w:color="auto"/>
        <w:left w:val="none" w:sz="0" w:space="0" w:color="auto"/>
        <w:bottom w:val="none" w:sz="0" w:space="0" w:color="auto"/>
        <w:right w:val="none" w:sz="0" w:space="0" w:color="auto"/>
      </w:divBdr>
    </w:div>
    <w:div w:id="901676510">
      <w:marLeft w:val="0"/>
      <w:marRight w:val="0"/>
      <w:marTop w:val="0"/>
      <w:marBottom w:val="0"/>
      <w:divBdr>
        <w:top w:val="none" w:sz="0" w:space="0" w:color="auto"/>
        <w:left w:val="none" w:sz="0" w:space="0" w:color="auto"/>
        <w:bottom w:val="none" w:sz="0" w:space="0" w:color="auto"/>
        <w:right w:val="none" w:sz="0" w:space="0" w:color="auto"/>
      </w:divBdr>
    </w:div>
    <w:div w:id="901676511">
      <w:marLeft w:val="0"/>
      <w:marRight w:val="0"/>
      <w:marTop w:val="0"/>
      <w:marBottom w:val="0"/>
      <w:divBdr>
        <w:top w:val="none" w:sz="0" w:space="0" w:color="auto"/>
        <w:left w:val="none" w:sz="0" w:space="0" w:color="auto"/>
        <w:bottom w:val="none" w:sz="0" w:space="0" w:color="auto"/>
        <w:right w:val="none" w:sz="0" w:space="0" w:color="auto"/>
      </w:divBdr>
    </w:div>
    <w:div w:id="901676512">
      <w:marLeft w:val="0"/>
      <w:marRight w:val="0"/>
      <w:marTop w:val="0"/>
      <w:marBottom w:val="0"/>
      <w:divBdr>
        <w:top w:val="none" w:sz="0" w:space="0" w:color="auto"/>
        <w:left w:val="none" w:sz="0" w:space="0" w:color="auto"/>
        <w:bottom w:val="none" w:sz="0" w:space="0" w:color="auto"/>
        <w:right w:val="none" w:sz="0" w:space="0" w:color="auto"/>
      </w:divBdr>
    </w:div>
    <w:div w:id="901676513">
      <w:marLeft w:val="0"/>
      <w:marRight w:val="0"/>
      <w:marTop w:val="0"/>
      <w:marBottom w:val="0"/>
      <w:divBdr>
        <w:top w:val="none" w:sz="0" w:space="0" w:color="auto"/>
        <w:left w:val="none" w:sz="0" w:space="0" w:color="auto"/>
        <w:bottom w:val="none" w:sz="0" w:space="0" w:color="auto"/>
        <w:right w:val="none" w:sz="0" w:space="0" w:color="auto"/>
      </w:divBdr>
    </w:div>
    <w:div w:id="901676514">
      <w:marLeft w:val="0"/>
      <w:marRight w:val="0"/>
      <w:marTop w:val="0"/>
      <w:marBottom w:val="0"/>
      <w:divBdr>
        <w:top w:val="none" w:sz="0" w:space="0" w:color="auto"/>
        <w:left w:val="none" w:sz="0" w:space="0" w:color="auto"/>
        <w:bottom w:val="none" w:sz="0" w:space="0" w:color="auto"/>
        <w:right w:val="none" w:sz="0" w:space="0" w:color="auto"/>
      </w:divBdr>
    </w:div>
    <w:div w:id="901676515">
      <w:marLeft w:val="0"/>
      <w:marRight w:val="0"/>
      <w:marTop w:val="0"/>
      <w:marBottom w:val="0"/>
      <w:divBdr>
        <w:top w:val="none" w:sz="0" w:space="0" w:color="auto"/>
        <w:left w:val="none" w:sz="0" w:space="0" w:color="auto"/>
        <w:bottom w:val="none" w:sz="0" w:space="0" w:color="auto"/>
        <w:right w:val="none" w:sz="0" w:space="0" w:color="auto"/>
      </w:divBdr>
    </w:div>
    <w:div w:id="901676516">
      <w:marLeft w:val="0"/>
      <w:marRight w:val="0"/>
      <w:marTop w:val="0"/>
      <w:marBottom w:val="0"/>
      <w:divBdr>
        <w:top w:val="none" w:sz="0" w:space="0" w:color="auto"/>
        <w:left w:val="none" w:sz="0" w:space="0" w:color="auto"/>
        <w:bottom w:val="none" w:sz="0" w:space="0" w:color="auto"/>
        <w:right w:val="none" w:sz="0" w:space="0" w:color="auto"/>
      </w:divBdr>
    </w:div>
    <w:div w:id="901676517">
      <w:marLeft w:val="0"/>
      <w:marRight w:val="0"/>
      <w:marTop w:val="0"/>
      <w:marBottom w:val="0"/>
      <w:divBdr>
        <w:top w:val="none" w:sz="0" w:space="0" w:color="auto"/>
        <w:left w:val="none" w:sz="0" w:space="0" w:color="auto"/>
        <w:bottom w:val="none" w:sz="0" w:space="0" w:color="auto"/>
        <w:right w:val="none" w:sz="0" w:space="0" w:color="auto"/>
      </w:divBdr>
    </w:div>
    <w:div w:id="19452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agrostat.agricultura.gov.br"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FCEA1-1D4C-429E-B5D9-D0014E6A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4435</Words>
  <Characters>23310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Resultados do mês</vt:lpstr>
    </vt:vector>
  </TitlesOfParts>
  <Company>.</Company>
  <LinksUpToDate>false</LinksUpToDate>
  <CharactersWithSpaces>27690</CharactersWithSpaces>
  <SharedDoc>false</SharedDoc>
  <HLinks>
    <vt:vector size="6" baseType="variant">
      <vt:variant>
        <vt:i4>6553635</vt:i4>
      </vt:variant>
      <vt:variant>
        <vt:i4>0</vt:i4>
      </vt:variant>
      <vt:variant>
        <vt:i4>0</vt:i4>
      </vt:variant>
      <vt:variant>
        <vt:i4>5</vt:i4>
      </vt:variant>
      <vt:variant>
        <vt:lpwstr>http://www.agrostat.agricultura.gov.br/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Resultados do mês</dc:title>
  <dc:subject/>
  <dc:creator>.</dc:creator>
  <cp:keywords/>
  <cp:lastModifiedBy>Fabricio Bentes Simoes</cp:lastModifiedBy>
  <cp:revision>7</cp:revision>
  <cp:lastPrinted>2015-01-09T11:18:00Z</cp:lastPrinted>
  <dcterms:created xsi:type="dcterms:W3CDTF">2019-06-13T17:18:00Z</dcterms:created>
  <dcterms:modified xsi:type="dcterms:W3CDTF">2019-06-13T17:42:00Z</dcterms:modified>
</cp:coreProperties>
</file>