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D2" w:rsidRPr="003A2037" w:rsidRDefault="001361D2" w:rsidP="001361D2">
      <w:pPr>
        <w:ind w:right="-522"/>
        <w:outlineLvl w:val="0"/>
        <w:rPr>
          <w:rFonts w:ascii="Arial" w:hAnsi="Arial" w:cs="Arial"/>
          <w:b/>
        </w:rPr>
      </w:pPr>
    </w:p>
    <w:p w:rsidR="001361D2" w:rsidRPr="003A2037" w:rsidRDefault="001361D2" w:rsidP="00474CA3">
      <w:pPr>
        <w:jc w:val="right"/>
        <w:outlineLvl w:val="0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Brasília, </w:t>
      </w:r>
      <w:r w:rsidR="003A2037" w:rsidRPr="003A2037">
        <w:rPr>
          <w:rFonts w:ascii="Arial" w:hAnsi="Arial" w:cs="Arial"/>
        </w:rPr>
        <w:t>0</w:t>
      </w:r>
      <w:r w:rsidR="003463FE" w:rsidRPr="003A2037">
        <w:rPr>
          <w:rFonts w:ascii="Arial" w:hAnsi="Arial" w:cs="Arial"/>
        </w:rPr>
        <w:t xml:space="preserve">5 </w:t>
      </w:r>
      <w:r w:rsidRPr="003A2037">
        <w:rPr>
          <w:rFonts w:ascii="Arial" w:hAnsi="Arial" w:cs="Arial"/>
        </w:rPr>
        <w:t xml:space="preserve">de </w:t>
      </w:r>
      <w:r w:rsidR="00674473" w:rsidRPr="003A2037">
        <w:rPr>
          <w:rFonts w:ascii="Arial" w:hAnsi="Arial" w:cs="Arial"/>
        </w:rPr>
        <w:t>fevereiro</w:t>
      </w:r>
      <w:r w:rsidRPr="003A2037">
        <w:rPr>
          <w:rFonts w:ascii="Arial" w:hAnsi="Arial" w:cs="Arial"/>
        </w:rPr>
        <w:t xml:space="preserve"> de 201</w:t>
      </w:r>
      <w:r w:rsidR="000E1CDB" w:rsidRPr="003A2037">
        <w:rPr>
          <w:rFonts w:ascii="Arial" w:hAnsi="Arial" w:cs="Arial"/>
        </w:rPr>
        <w:t>9</w:t>
      </w:r>
      <w:r w:rsidRPr="003A2037">
        <w:rPr>
          <w:rFonts w:ascii="Arial" w:hAnsi="Arial" w:cs="Arial"/>
        </w:rPr>
        <w:t>.</w:t>
      </w:r>
    </w:p>
    <w:p w:rsidR="001361D2" w:rsidRPr="003A2037" w:rsidRDefault="001361D2" w:rsidP="00474CA3">
      <w:pPr>
        <w:jc w:val="right"/>
        <w:rPr>
          <w:rFonts w:ascii="Arial" w:hAnsi="Arial" w:cs="Arial"/>
        </w:rPr>
      </w:pPr>
    </w:p>
    <w:p w:rsidR="001361D2" w:rsidRPr="003A2037" w:rsidRDefault="001361D2" w:rsidP="00474CA3">
      <w:pPr>
        <w:jc w:val="right"/>
        <w:rPr>
          <w:rFonts w:ascii="Arial" w:hAnsi="Arial" w:cs="Arial"/>
        </w:rPr>
      </w:pPr>
    </w:p>
    <w:p w:rsidR="001361D2" w:rsidRPr="003A2037" w:rsidRDefault="006F22BD" w:rsidP="005A3056">
      <w:pPr>
        <w:jc w:val="center"/>
        <w:rPr>
          <w:rFonts w:ascii="Arial" w:hAnsi="Arial" w:cs="Arial"/>
          <w:b/>
        </w:rPr>
      </w:pPr>
      <w:r w:rsidRPr="003A2037">
        <w:rPr>
          <w:rFonts w:ascii="Arial" w:hAnsi="Arial" w:cs="Arial"/>
        </w:rPr>
        <w:t xml:space="preserve">Nota: </w:t>
      </w:r>
      <w:r w:rsidR="00674473" w:rsidRPr="003A2037">
        <w:rPr>
          <w:rFonts w:ascii="Arial" w:hAnsi="Arial" w:cs="Arial"/>
          <w:b/>
        </w:rPr>
        <w:t>Produtividade da Agricultura Brasileira – algumas atualizações</w:t>
      </w:r>
    </w:p>
    <w:p w:rsidR="006F22BD" w:rsidRPr="003A2037" w:rsidRDefault="006F22BD" w:rsidP="005A3056">
      <w:pPr>
        <w:jc w:val="center"/>
        <w:rPr>
          <w:rFonts w:ascii="Arial" w:hAnsi="Arial" w:cs="Arial"/>
          <w:b/>
        </w:rPr>
      </w:pPr>
    </w:p>
    <w:p w:rsidR="00FD5B29" w:rsidRPr="003A2037" w:rsidRDefault="00FD5B29" w:rsidP="00FD5B29">
      <w:pPr>
        <w:jc w:val="right"/>
        <w:rPr>
          <w:rFonts w:ascii="Arial" w:hAnsi="Arial" w:cs="Arial"/>
        </w:rPr>
      </w:pPr>
      <w:r w:rsidRPr="003A2037">
        <w:rPr>
          <w:rFonts w:ascii="Arial" w:hAnsi="Arial" w:cs="Arial"/>
        </w:rPr>
        <w:t>José G. Gasques (Mapa e IPEA)</w:t>
      </w:r>
    </w:p>
    <w:p w:rsidR="00FD5B29" w:rsidRPr="003A2037" w:rsidRDefault="00FD5B29" w:rsidP="00FD5B29">
      <w:pPr>
        <w:jc w:val="right"/>
        <w:rPr>
          <w:rFonts w:ascii="Arial" w:hAnsi="Arial" w:cs="Arial"/>
          <w:lang w:val="en-US"/>
        </w:rPr>
      </w:pPr>
      <w:r w:rsidRPr="003A2037">
        <w:rPr>
          <w:rFonts w:ascii="Arial" w:hAnsi="Arial" w:cs="Arial"/>
          <w:lang w:val="en-US"/>
        </w:rPr>
        <w:t>Mirian R. P. Bacchi (Cepea-USP)</w:t>
      </w:r>
    </w:p>
    <w:p w:rsidR="00FD5B29" w:rsidRPr="003A2037" w:rsidRDefault="00FD5B29" w:rsidP="00FD5B29">
      <w:pPr>
        <w:jc w:val="right"/>
        <w:rPr>
          <w:rFonts w:ascii="Arial" w:hAnsi="Arial" w:cs="Arial"/>
        </w:rPr>
      </w:pPr>
      <w:r w:rsidRPr="003A2037">
        <w:rPr>
          <w:rFonts w:ascii="Arial" w:hAnsi="Arial" w:cs="Arial"/>
        </w:rPr>
        <w:t>Eliana Teles Bastos (Mapa)</w:t>
      </w:r>
    </w:p>
    <w:p w:rsidR="00FD5B29" w:rsidRPr="003A2037" w:rsidRDefault="00FD5B29" w:rsidP="00FD5B29">
      <w:pPr>
        <w:jc w:val="right"/>
        <w:rPr>
          <w:rFonts w:ascii="Arial" w:hAnsi="Arial" w:cs="Arial"/>
        </w:rPr>
      </w:pPr>
      <w:r w:rsidRPr="003A2037">
        <w:rPr>
          <w:rFonts w:ascii="Arial" w:hAnsi="Arial" w:cs="Arial"/>
        </w:rPr>
        <w:t>Constança Valdes (USDA/ERS)</w:t>
      </w:r>
    </w:p>
    <w:p w:rsidR="00474CA3" w:rsidRPr="003A2037" w:rsidRDefault="00474CA3" w:rsidP="00185E31">
      <w:pPr>
        <w:spacing w:after="240"/>
        <w:ind w:firstLine="709"/>
        <w:jc w:val="both"/>
        <w:rPr>
          <w:rFonts w:ascii="Arial" w:hAnsi="Arial" w:cs="Arial"/>
        </w:rPr>
      </w:pPr>
    </w:p>
    <w:p w:rsidR="00674473" w:rsidRPr="003A2037" w:rsidRDefault="00674473" w:rsidP="00FD5B29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3A2037">
        <w:rPr>
          <w:rFonts w:ascii="Arial" w:hAnsi="Arial" w:cs="Arial"/>
          <w:b/>
        </w:rPr>
        <w:t xml:space="preserve">Introdução 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Esta Nota tem por objetivo atualizar uma série de dados sobre produtividade total dos fatores (PTF), incorporando nessa tarefa uma revisão de algumas variáveis utilizadas.</w:t>
      </w:r>
      <w:r w:rsidR="00B53637" w:rsidRPr="003A2037">
        <w:rPr>
          <w:rFonts w:ascii="Arial" w:hAnsi="Arial" w:cs="Arial"/>
        </w:rPr>
        <w:t xml:space="preserve"> </w:t>
      </w:r>
      <w:r w:rsidR="00D1424E" w:rsidRPr="003A2037">
        <w:rPr>
          <w:rFonts w:ascii="Arial" w:hAnsi="Arial" w:cs="Arial"/>
        </w:rPr>
        <w:t>A Produtividade Total dos Fatores pode ser entendida como um aumento do produto que não é explicado pelo aumento da quantidade do insumo, mas pelos ganhos de produtividade.</w:t>
      </w:r>
      <w:r w:rsidRPr="003A2037">
        <w:rPr>
          <w:rFonts w:ascii="Arial" w:hAnsi="Arial" w:cs="Arial"/>
        </w:rPr>
        <w:t xml:space="preserve"> Com a divulgação pelo IBGE, em 2018 das pesquisas anuais, Produção Agrícola Municipal - PAM e Pesquisa da Pecuária Municipal</w:t>
      </w:r>
      <w:r w:rsidR="00EB7212" w:rsidRPr="003A2037">
        <w:rPr>
          <w:rFonts w:ascii="Arial" w:hAnsi="Arial" w:cs="Arial"/>
        </w:rPr>
        <w:t xml:space="preserve"> </w:t>
      </w:r>
      <w:r w:rsidRPr="003A2037">
        <w:rPr>
          <w:rFonts w:ascii="Arial" w:hAnsi="Arial" w:cs="Arial"/>
        </w:rPr>
        <w:t xml:space="preserve">- PPM, foi possível atualizar a série de produtividade até o ano de 2017. Importantes mudanças tornaram-se possíveis com a divulgação preliminar do Censo Agro 2017, através do qual revisamos séries de tratores e área de pastagens. 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Outro ponto que justifica a atualização dessas informações é conhecer pouco mais os impactos sobre o crescimento da produtividade da enorme safra de grãos obtida em 2017 que foi de 237,8 milhões de toneladas. Essa foi a maior registrada pela CONAB e IBGE em seus levantamentos de safras. Esse ano foi o oposto do que fora observado em 2016, onde fortes secas trouxeram acentuada quebra de produção de grãos, principalmente o milho </w:t>
      </w:r>
      <w:r w:rsidR="0077100E" w:rsidRPr="003A2037">
        <w:rPr>
          <w:rFonts w:ascii="Arial" w:hAnsi="Arial" w:cs="Arial"/>
        </w:rPr>
        <w:t>cultivado nas áreas de Cerrado.</w:t>
      </w:r>
    </w:p>
    <w:p w:rsidR="000A455E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Na próxima parte serão destacados alguns recentes trabalhos sobre produtividade total dos fatores. Na parte seguinte são indicadas algumas mudanças ocorridas nos dados utilizados em relação a trabalhos anteriores como Gasques, et alii </w:t>
      </w:r>
      <w:r w:rsidR="005B3302" w:rsidRPr="003A2037">
        <w:rPr>
          <w:rFonts w:ascii="Arial" w:hAnsi="Arial" w:cs="Arial"/>
        </w:rPr>
        <w:t>(</w:t>
      </w:r>
      <w:r w:rsidRPr="003A2037">
        <w:rPr>
          <w:rFonts w:ascii="Arial" w:hAnsi="Arial" w:cs="Arial"/>
        </w:rPr>
        <w:t>2016). Na outra parte são apresentados os resultados e alguma discussão sendo que finalmente são feitas algumas observações finais.</w:t>
      </w:r>
    </w:p>
    <w:p w:rsidR="00F360C0" w:rsidRPr="003A2037" w:rsidRDefault="00F360C0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0A455E" w:rsidRPr="003A2037" w:rsidRDefault="000A455E" w:rsidP="00A936BC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3A2037">
        <w:rPr>
          <w:rFonts w:ascii="Arial" w:hAnsi="Arial" w:cs="Arial"/>
          <w:b/>
        </w:rPr>
        <w:t>Breve revisão dos trabalhos sobre produtividade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Tem sido observado em vários trabalhos que a produtividade tem garantido o crescimento da agricultura brasileira nos últimos anos, e tem sido responsável por cerca de 80,0% do crescimento do produto. Os outros 20,0% são devidos ao uso de insumos (</w:t>
      </w:r>
      <w:bookmarkStart w:id="0" w:name="_Hlk188889"/>
      <w:r w:rsidRPr="003A2037">
        <w:rPr>
          <w:rFonts w:ascii="Arial" w:hAnsi="Arial" w:cs="Arial"/>
        </w:rPr>
        <w:t>Gasques, Bacchi e Bastos, 2018)</w:t>
      </w:r>
      <w:bookmarkEnd w:id="0"/>
      <w:r w:rsidRPr="003A2037">
        <w:rPr>
          <w:rFonts w:ascii="Arial" w:hAnsi="Arial" w:cs="Arial"/>
        </w:rPr>
        <w:t>. Vieira Filho e Fishlow (2017) ressaltaram que as inovações tecnologias trouxeram aumento acentuado da produtiv</w:t>
      </w:r>
      <w:r w:rsidR="00A936BC" w:rsidRPr="003A2037">
        <w:rPr>
          <w:rFonts w:ascii="Arial" w:hAnsi="Arial" w:cs="Arial"/>
        </w:rPr>
        <w:t>idade.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Fuglie e </w:t>
      </w:r>
      <w:proofErr w:type="spellStart"/>
      <w:r w:rsidRPr="003A2037">
        <w:rPr>
          <w:rFonts w:ascii="Arial" w:hAnsi="Arial" w:cs="Arial"/>
        </w:rPr>
        <w:t>Heisey</w:t>
      </w:r>
      <w:proofErr w:type="spellEnd"/>
      <w:r w:rsidR="00A47BC3">
        <w:rPr>
          <w:rFonts w:ascii="Arial" w:hAnsi="Arial" w:cs="Arial"/>
        </w:rPr>
        <w:t xml:space="preserve"> (2007)</w:t>
      </w:r>
      <w:r w:rsidRPr="003A2037">
        <w:rPr>
          <w:rFonts w:ascii="Arial" w:hAnsi="Arial" w:cs="Arial"/>
        </w:rPr>
        <w:t xml:space="preserve"> notam que analistas encontraram forte ligação entre investimentos em pesquisa e inovação e crescimento da produtividade. Esses autores referem-se a estudos realizados no Departamento de Agricultura dos Estados Unidos (USDA) que analisaram o retorno econômico da pesquisa pública e verificaram elevados retornos sobre a p</w:t>
      </w:r>
      <w:r w:rsidR="00A936BC" w:rsidRPr="003A2037">
        <w:rPr>
          <w:rFonts w:ascii="Arial" w:hAnsi="Arial" w:cs="Arial"/>
        </w:rPr>
        <w:t>rodutividade total dos fatores.</w:t>
      </w:r>
    </w:p>
    <w:p w:rsidR="000A455E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Outro resultado foi que os estados brasileiros que lideram a produção agropecuária e as exportações também são os que apresentam as maiores taxas de crescimento da produtividade. Podem ser citados, Mato Grosso, Minas Gerais, Goiás, Bahia e outros (Gasques, Bacchi e Bastos, 2018). Finalmente, um trabalho do Banco Mundial analisa a produtividade da agricultura brasileira e apont</w:t>
      </w:r>
      <w:r w:rsidR="00413EBA" w:rsidRPr="003A2037">
        <w:rPr>
          <w:rFonts w:ascii="Arial" w:hAnsi="Arial" w:cs="Arial"/>
        </w:rPr>
        <w:t>a</w:t>
      </w:r>
      <w:r w:rsidRPr="003A2037">
        <w:rPr>
          <w:rFonts w:ascii="Arial" w:hAnsi="Arial" w:cs="Arial"/>
        </w:rPr>
        <w:t xml:space="preserve"> várias tendências de crescimento (</w:t>
      </w:r>
      <w:r w:rsidR="00423E22" w:rsidRPr="003A2037">
        <w:rPr>
          <w:rFonts w:ascii="Arial" w:hAnsi="Arial" w:cs="Arial"/>
        </w:rPr>
        <w:t>World Bank</w:t>
      </w:r>
      <w:r w:rsidRPr="003A2037">
        <w:rPr>
          <w:rFonts w:ascii="Arial" w:hAnsi="Arial" w:cs="Arial"/>
        </w:rPr>
        <w:t>, 2017).</w:t>
      </w:r>
    </w:p>
    <w:p w:rsidR="00F360C0" w:rsidRPr="003A2037" w:rsidRDefault="00F360C0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0A455E" w:rsidRPr="003A2037" w:rsidRDefault="000A455E" w:rsidP="00413EBA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3A2037">
        <w:rPr>
          <w:rFonts w:ascii="Arial" w:hAnsi="Arial" w:cs="Arial"/>
          <w:b/>
        </w:rPr>
        <w:t>Cálculo da PTF e Dados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O cálculo da PTF será realizado como tem-se feito em trabalhos anteriores. Será usado o Índice de </w:t>
      </w:r>
      <w:proofErr w:type="spellStart"/>
      <w:r w:rsidRPr="003A2037">
        <w:rPr>
          <w:rFonts w:ascii="Arial" w:hAnsi="Arial" w:cs="Arial"/>
        </w:rPr>
        <w:t>Tornq</w:t>
      </w:r>
      <w:r w:rsidR="007C7DA8" w:rsidRPr="003A2037">
        <w:rPr>
          <w:rFonts w:ascii="Arial" w:hAnsi="Arial" w:cs="Arial"/>
        </w:rPr>
        <w:t>v</w:t>
      </w:r>
      <w:r w:rsidRPr="003A2037">
        <w:rPr>
          <w:rFonts w:ascii="Arial" w:hAnsi="Arial" w:cs="Arial"/>
        </w:rPr>
        <w:t>ist</w:t>
      </w:r>
      <w:proofErr w:type="spellEnd"/>
      <w:r w:rsidRPr="003A2037">
        <w:rPr>
          <w:rFonts w:ascii="Arial" w:hAnsi="Arial" w:cs="Arial"/>
        </w:rPr>
        <w:t xml:space="preserve">, através do qual obtém-se a Produtividade total dos fatores, os Índices de Insumos e Produto, e índices referentes à terra, trabalho e capital. Como a produtividade é definida pela relação entre produto e insumo, e neste caso abrange todos os produtos e insumos, os dados devem cobrir essa definição. 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O índice do Produto, compreende as lavouras temporárias, num total de 31, publicadas pelo IBGE através da Produção agrícola municipal</w:t>
      </w:r>
      <w:r w:rsidR="00413EBA" w:rsidRPr="003A2037">
        <w:rPr>
          <w:rFonts w:ascii="Arial" w:hAnsi="Arial" w:cs="Arial"/>
        </w:rPr>
        <w:t xml:space="preserve"> - PAM</w:t>
      </w:r>
      <w:r w:rsidRPr="003A2037">
        <w:rPr>
          <w:rFonts w:ascii="Arial" w:hAnsi="Arial" w:cs="Arial"/>
        </w:rPr>
        <w:t>; as lavouras permanentes, com 3</w:t>
      </w:r>
      <w:r w:rsidR="00413EBA" w:rsidRPr="003A2037">
        <w:rPr>
          <w:rFonts w:ascii="Arial" w:hAnsi="Arial" w:cs="Arial"/>
        </w:rPr>
        <w:t>2</w:t>
      </w:r>
      <w:r w:rsidRPr="003A2037">
        <w:rPr>
          <w:rFonts w:ascii="Arial" w:hAnsi="Arial" w:cs="Arial"/>
        </w:rPr>
        <w:t xml:space="preserve"> atividades; produção animal, cujos dados são publicados pelo IBGE em Pesquisa da Pecuária Municipal – PPM, e carnes também do IBGE, cujos dados estão em Pesquisa Trimestral de Abates. Esses dados são agregados através do índice de </w:t>
      </w:r>
      <w:proofErr w:type="spellStart"/>
      <w:r w:rsidRPr="003A2037">
        <w:rPr>
          <w:rFonts w:ascii="Arial" w:hAnsi="Arial" w:cs="Arial"/>
        </w:rPr>
        <w:t>Tornq</w:t>
      </w:r>
      <w:r w:rsidR="007C7DA8" w:rsidRPr="003A2037">
        <w:rPr>
          <w:rFonts w:ascii="Arial" w:hAnsi="Arial" w:cs="Arial"/>
        </w:rPr>
        <w:t>v</w:t>
      </w:r>
      <w:r w:rsidRPr="003A2037">
        <w:rPr>
          <w:rFonts w:ascii="Arial" w:hAnsi="Arial" w:cs="Arial"/>
        </w:rPr>
        <w:t>is</w:t>
      </w:r>
      <w:r w:rsidR="00D16B4A" w:rsidRPr="003A2037">
        <w:rPr>
          <w:rFonts w:ascii="Arial" w:hAnsi="Arial" w:cs="Arial"/>
        </w:rPr>
        <w:t>t</w:t>
      </w:r>
      <w:proofErr w:type="spellEnd"/>
      <w:r w:rsidR="00D16B4A" w:rsidRPr="003A2037">
        <w:rPr>
          <w:rFonts w:ascii="Arial" w:hAnsi="Arial" w:cs="Arial"/>
        </w:rPr>
        <w:t xml:space="preserve"> e formam o Índice de Produto.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Note-se que esse índice é bastante abrangente, embora não inclua algumas atividades como as florestais e outras. O índice de produto no período analisado que é de 1975 a 2017, sofreu acentuada modificação em sua composição. Uma lista de produtos como soja, milho, cana-de-açúcar, laranja, uva, tomate, leite e outros apresentaram acentuado aumento em suas quantidades produzidas e na qualidade. Essas mudanças na composição podem ser captadas pelo índice de </w:t>
      </w:r>
      <w:proofErr w:type="spellStart"/>
      <w:r w:rsidRPr="003A2037">
        <w:rPr>
          <w:rFonts w:ascii="Arial" w:hAnsi="Arial" w:cs="Arial"/>
        </w:rPr>
        <w:t>Tornq</w:t>
      </w:r>
      <w:r w:rsidR="007C7DA8" w:rsidRPr="003A2037">
        <w:rPr>
          <w:rFonts w:ascii="Arial" w:hAnsi="Arial" w:cs="Arial"/>
        </w:rPr>
        <w:t>v</w:t>
      </w:r>
      <w:r w:rsidRPr="003A2037">
        <w:rPr>
          <w:rFonts w:ascii="Arial" w:hAnsi="Arial" w:cs="Arial"/>
        </w:rPr>
        <w:t>ist</w:t>
      </w:r>
      <w:proofErr w:type="spellEnd"/>
      <w:r w:rsidRPr="003A2037">
        <w:rPr>
          <w:rFonts w:ascii="Arial" w:hAnsi="Arial" w:cs="Arial"/>
        </w:rPr>
        <w:t xml:space="preserve"> o que o torna um índice bastante flexível e superior.</w:t>
      </w:r>
    </w:p>
    <w:p w:rsidR="00BF2C12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O Índice de Insumos, é formado por pessoal ocupado, terra, tratores, fertilizantes e defensivos</w:t>
      </w:r>
      <w:r w:rsidR="00D16B4A" w:rsidRPr="003A2037">
        <w:rPr>
          <w:rFonts w:ascii="Arial" w:hAnsi="Arial" w:cs="Arial"/>
        </w:rPr>
        <w:t>.</w:t>
      </w:r>
      <w:r w:rsidRPr="003A2037">
        <w:rPr>
          <w:rFonts w:ascii="Arial" w:hAnsi="Arial" w:cs="Arial"/>
        </w:rPr>
        <w:t xml:space="preserve"> Estes últimos três foram reunidos em capital. Assim como para a construção do Índice de Produto, para a obtenção do Índice de Insumos, é necessário dispor de todas as quantidades e também dos preços. Isso, às vezes pode tornar mais restritivo o seu uso</w:t>
      </w:r>
      <w:r w:rsidR="00674473" w:rsidRPr="003A2037">
        <w:rPr>
          <w:rFonts w:ascii="Arial" w:hAnsi="Arial" w:cs="Arial"/>
        </w:rPr>
        <w:t>.</w:t>
      </w:r>
    </w:p>
    <w:p w:rsidR="00F360C0" w:rsidRDefault="00F360C0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F360C0" w:rsidRDefault="00F360C0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F360C0" w:rsidRPr="003A2037" w:rsidRDefault="00F360C0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C544BB" w:rsidRPr="003A2037" w:rsidRDefault="00C544BB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Fórmula do Índice de </w:t>
      </w:r>
      <w:proofErr w:type="spellStart"/>
      <w:r w:rsidRPr="003A2037">
        <w:rPr>
          <w:rFonts w:ascii="Arial" w:hAnsi="Arial" w:cs="Arial"/>
        </w:rPr>
        <w:t>Tornqvist</w:t>
      </w:r>
      <w:proofErr w:type="spellEnd"/>
    </w:p>
    <w:p w:rsidR="00C544BB" w:rsidRDefault="002449A6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object w:dxaOrig="342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98.25pt" o:ole="">
            <v:imagedata r:id="rId7" o:title=""/>
          </v:shape>
          <o:OLEObject Type="Embed" ProgID="Equation.3" ShapeID="_x0000_i1025" DrawAspect="Content" ObjectID="_1610957075" r:id="rId8"/>
        </w:object>
      </w:r>
    </w:p>
    <w:p w:rsidR="00A47BC3" w:rsidRDefault="00A47BC3" w:rsidP="000A455E">
      <w:pPr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Nessa fórmula temos:</w:t>
      </w:r>
    </w:p>
    <w:p w:rsidR="00A47BC3" w:rsidRPr="00A47BC3" w:rsidRDefault="00A47BC3" w:rsidP="00A47BC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47BC3">
        <w:rPr>
          <w:rFonts w:ascii="Arial" w:hAnsi="Arial" w:cs="Arial"/>
          <w:i/>
        </w:rPr>
        <w:t>PTF = Produtividade Total dos Fatores</w:t>
      </w:r>
    </w:p>
    <w:p w:rsidR="00A47BC3" w:rsidRPr="00A47BC3" w:rsidRDefault="00A47BC3" w:rsidP="00A47BC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47BC3">
        <w:rPr>
          <w:rFonts w:ascii="Arial" w:hAnsi="Arial" w:cs="Arial"/>
          <w:i/>
        </w:rPr>
        <w:t>Y = Quantidade de Produto</w:t>
      </w:r>
    </w:p>
    <w:p w:rsidR="00A47BC3" w:rsidRPr="00A47BC3" w:rsidRDefault="00A47BC3" w:rsidP="00A47BC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47BC3">
        <w:rPr>
          <w:rFonts w:ascii="Arial" w:hAnsi="Arial" w:cs="Arial"/>
          <w:i/>
        </w:rPr>
        <w:t>X = Quantidade de Insumo</w:t>
      </w:r>
    </w:p>
    <w:p w:rsidR="00A47BC3" w:rsidRPr="00A47BC3" w:rsidRDefault="00A47BC3" w:rsidP="00A47BC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47BC3">
        <w:rPr>
          <w:rFonts w:ascii="Arial" w:hAnsi="Arial" w:cs="Arial"/>
          <w:i/>
        </w:rPr>
        <w:t>S = Participação do produto no valor total</w:t>
      </w:r>
    </w:p>
    <w:p w:rsidR="00A47BC3" w:rsidRPr="00A47BC3" w:rsidRDefault="00A47BC3" w:rsidP="00A47BC3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47BC3">
        <w:rPr>
          <w:rFonts w:ascii="Arial" w:hAnsi="Arial" w:cs="Arial"/>
          <w:i/>
        </w:rPr>
        <w:t>C = Participação do insumo no custo total</w:t>
      </w:r>
    </w:p>
    <w:p w:rsidR="00C544BB" w:rsidRPr="003A2037" w:rsidRDefault="00C544BB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F456D0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Alterações foram realizadas nos preços de terras, onde passamos a combinar uma série inicial da FGV com as taxas de variação do preço médio de terras publicado pelo</w:t>
      </w:r>
      <w:r w:rsidR="002449A6" w:rsidRPr="003A2037">
        <w:rPr>
          <w:rFonts w:ascii="Arial" w:hAnsi="Arial" w:cs="Arial"/>
        </w:rPr>
        <w:t xml:space="preserve"> Instituto de Economia Agrícola do Estado de São Paulo - IEA</w:t>
      </w:r>
      <w:r w:rsidRPr="003A2037">
        <w:rPr>
          <w:rFonts w:ascii="Arial" w:hAnsi="Arial" w:cs="Arial"/>
        </w:rPr>
        <w:t xml:space="preserve">. Revisamos a série de quantidade de tratores computando as informações do Censo Agro 2017. Com essa mudança deixamos de usar os dados da ANFAVEA referente às unidades vendidas internamente. O número de tratores corresponde ao levantado nos anos de Censo, e os valores intermediários são calculados por interpolação através de taxas geométricas. Também </w:t>
      </w:r>
      <w:proofErr w:type="gramStart"/>
      <w:r w:rsidRPr="003A2037">
        <w:rPr>
          <w:rFonts w:ascii="Arial" w:hAnsi="Arial" w:cs="Arial"/>
        </w:rPr>
        <w:t>atualizou-se</w:t>
      </w:r>
      <w:proofErr w:type="gramEnd"/>
      <w:r w:rsidRPr="003A2037">
        <w:rPr>
          <w:rFonts w:ascii="Arial" w:hAnsi="Arial" w:cs="Arial"/>
        </w:rPr>
        <w:t xml:space="preserve"> com o Censo Agro 2017, as informações sobre áreas de pastagem. </w:t>
      </w:r>
    </w:p>
    <w:p w:rsidR="00F360C0" w:rsidRPr="003A2037" w:rsidRDefault="00F360C0" w:rsidP="00F456D0">
      <w:pPr>
        <w:spacing w:after="240"/>
        <w:ind w:firstLine="709"/>
        <w:jc w:val="both"/>
        <w:rPr>
          <w:rFonts w:ascii="Arial" w:hAnsi="Arial" w:cs="Arial"/>
        </w:rPr>
      </w:pPr>
    </w:p>
    <w:p w:rsidR="00F456D0" w:rsidRPr="003A2037" w:rsidRDefault="00F456D0" w:rsidP="002449A6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3A2037">
        <w:rPr>
          <w:rFonts w:ascii="Arial" w:hAnsi="Arial" w:cs="Arial"/>
          <w:b/>
        </w:rPr>
        <w:t>Produtividade e Crescimento - Resultados</w:t>
      </w:r>
    </w:p>
    <w:p w:rsidR="00F456D0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A taxa anual de crescimento da PTF nos últimos 42 anos, tem sido de 3,</w:t>
      </w:r>
      <w:r w:rsidR="00B7285F">
        <w:rPr>
          <w:rFonts w:ascii="Arial" w:hAnsi="Arial" w:cs="Arial"/>
        </w:rPr>
        <w:t>43</w:t>
      </w:r>
      <w:r w:rsidRPr="003A2037">
        <w:rPr>
          <w:rFonts w:ascii="Arial" w:hAnsi="Arial" w:cs="Arial"/>
        </w:rPr>
        <w:t xml:space="preserve">%. Esse crescimento eleva um pouco a taxa histórica que temos observado, e isso deve ser devido ao forte crescimento da agricultura nas últimas duas décadas. A taxa obtida para a agricultura brasileira pode ser considerada elevada. A taxa histórica nos Estados Unidos é de 1,38% a.a., e para o período 2007-2015, de 0,53% (USDA/ERS, 2018). </w:t>
      </w:r>
    </w:p>
    <w:p w:rsidR="00F456D0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O crescimento do produto também tem sido superior ao da agricultura americana. </w:t>
      </w:r>
    </w:p>
    <w:p w:rsidR="00F456D0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Os resultados mostram uma taxa anual média de crescimento do produto agropecuário de 3,82% no período 1975-2017. Essa taxa corresponde a um aumento de quase 5 vezes do produto, que passou de 100 para 475,0 no período. Esse aumento se deve ao crescimento da quantidade produzida de diversos produtos como antes mencionado, e também à inclusão de produtos que apresentam maior valor agregado como carnes, frutas, produtos do setor sucroalcooleiro e grãos.</w:t>
      </w:r>
    </w:p>
    <w:p w:rsidR="00F456D0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A tendência de menor crescimento do uso de insumos continua. A tabela mostra que a taxa de crescimento de insumos foi de 0,38%. Mas têm diminuído sistematicamente ao longo das décadas. No Período 2000-2017 a taxa foi de 0,22% ao ano, enquanto que o produto cresceu 4,06% a.a. Nesse período a quantidade de insumos para produzir um</w:t>
      </w:r>
      <w:r w:rsidR="007C7DA8" w:rsidRPr="003A2037">
        <w:rPr>
          <w:rFonts w:ascii="Arial" w:hAnsi="Arial" w:cs="Arial"/>
        </w:rPr>
        <w:t>a</w:t>
      </w:r>
      <w:r w:rsidRPr="003A2037">
        <w:rPr>
          <w:rFonts w:ascii="Arial" w:hAnsi="Arial" w:cs="Arial"/>
        </w:rPr>
        <w:t xml:space="preserve"> unidade de produto caiu de 20,0 pontos percentuais (variação da relação entre os índices de insumo e produto em 2000 e 2017).</w:t>
      </w:r>
    </w:p>
    <w:p w:rsidR="00F456D0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Em trabalho anterior notou-se que a agricultura brasileira tem - se destacado pelo uso crescente de capital. Isso fica claro ao observar as taxas de crescimento do índice de capital, formado por tratores, defensivos e fertilizantes. Os efeitos sobre a produtividade ocorrem menos pelo aumento de quantidade desses fatores, mas principalmente pela melhoria de qualidade incorporada nos insumos, chamada de tecnologia cristalizada nos insumos (</w:t>
      </w:r>
      <w:r w:rsidR="00090F93" w:rsidRPr="003A2037">
        <w:rPr>
          <w:rFonts w:ascii="Arial" w:hAnsi="Arial" w:cs="Arial"/>
        </w:rPr>
        <w:t>Alves, 2004</w:t>
      </w:r>
      <w:r w:rsidRPr="003A2037">
        <w:rPr>
          <w:rFonts w:ascii="Arial" w:hAnsi="Arial" w:cs="Arial"/>
        </w:rPr>
        <w:t>).</w:t>
      </w:r>
    </w:p>
    <w:p w:rsidR="00F456D0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Há uma forte tendência de redução do pessoal ocupado e da área plantada. Isso pode ser observado pelo crescimento a taxas negativas da mão de obra e terra. Ao mesmo tempo, a produtividade de ambos tem crescido a taxas elevadas. No período 1975 a 2017, o crescimento anual da produtividade do trabalho foi de 4,23% e da terra, 3,83%. </w:t>
      </w:r>
    </w:p>
    <w:p w:rsidR="00CB7BAC" w:rsidRPr="003A2037" w:rsidRDefault="00F456D0" w:rsidP="00F456D0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O aumento da produtividade do pessoal ocupado ocorre por dois motivos principais, que são, nível de qualificação formal e informal e dotação de instrumentos de trabalho. A produtividade da terra se eleva pelos investimentos em pesquisa. No Censo agropecuário há registros que mostram melhoria da qualificação do pessoal ocupado na agricultura, mas de uma forma lenta</w:t>
      </w:r>
      <w:r w:rsidR="00091691" w:rsidRPr="003A2037">
        <w:rPr>
          <w:rFonts w:ascii="Arial" w:hAnsi="Arial" w:cs="Arial"/>
        </w:rPr>
        <w:t xml:space="preserve"> </w:t>
      </w:r>
      <w:r w:rsidRPr="003A2037">
        <w:rPr>
          <w:rFonts w:ascii="Arial" w:hAnsi="Arial" w:cs="Arial"/>
        </w:rPr>
        <w:t>(IBGE, Censos Agro 2006 e 2017). Por essa razão, o aumento da dotação de equipamentos para o trabalho, como o uso de tratores e colheitadeiras deve ter sido decisivo (</w:t>
      </w:r>
      <w:r w:rsidR="00091691" w:rsidRPr="003A2037">
        <w:rPr>
          <w:rFonts w:ascii="Arial" w:hAnsi="Arial" w:cs="Arial"/>
        </w:rPr>
        <w:t>v</w:t>
      </w:r>
      <w:r w:rsidRPr="003A2037">
        <w:rPr>
          <w:rFonts w:ascii="Arial" w:hAnsi="Arial" w:cs="Arial"/>
        </w:rPr>
        <w:t xml:space="preserve">er </w:t>
      </w:r>
      <w:r w:rsidR="00091691" w:rsidRPr="003A2037">
        <w:rPr>
          <w:rFonts w:ascii="Arial" w:hAnsi="Arial" w:cs="Arial"/>
        </w:rPr>
        <w:t>f</w:t>
      </w:r>
      <w:r w:rsidRPr="003A2037">
        <w:rPr>
          <w:rFonts w:ascii="Arial" w:hAnsi="Arial" w:cs="Arial"/>
        </w:rPr>
        <w:t>igura). Essa figura mostra que o pico do pessoal ocupado foi em 1985. Daí até 2017 houve uma redução de 8 358 mil pessoas ocupadas, passando de 23,4 milhões para 15,0 milhões.</w:t>
      </w: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2"/>
        <w:gridCol w:w="1120"/>
        <w:gridCol w:w="1120"/>
        <w:gridCol w:w="1120"/>
        <w:gridCol w:w="1120"/>
        <w:gridCol w:w="1122"/>
      </w:tblGrid>
      <w:tr w:rsidR="00674473" w:rsidRPr="003A2037" w:rsidTr="00E27ADA">
        <w:trPr>
          <w:trHeight w:val="349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Produto, Insumos e Produtividade Total dos Fatores</w:t>
            </w:r>
          </w:p>
        </w:tc>
      </w:tr>
      <w:tr w:rsidR="00674473" w:rsidRPr="003A2037" w:rsidTr="00E27ADA">
        <w:trPr>
          <w:trHeight w:val="349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Taxa anual de crescimento (%)</w:t>
            </w:r>
          </w:p>
        </w:tc>
      </w:tr>
      <w:tr w:rsidR="00674473" w:rsidRPr="003A2037" w:rsidTr="00E27ADA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1975-2017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1975-1979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1980-1989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1990-1999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2000-2009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2000-2017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9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ÍNDICE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ÍNDICE PRODUTO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4,06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ÍNDICE INSUMOS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PTF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ÍNDICE MÃO-DE-OBRA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-0,90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ÍNDICE TERRA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-0,07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ÍNDICE CAPITAL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9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037">
              <w:rPr>
                <w:rFonts w:ascii="Arial" w:hAnsi="Arial" w:cs="Arial"/>
                <w:b/>
                <w:bCs/>
                <w:sz w:val="20"/>
                <w:szCs w:val="20"/>
              </w:rPr>
              <w:t>PRODUTIVIDADE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PROD.  MÃO-DE-OBRA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PROD. TERRA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</w:tr>
      <w:tr w:rsidR="00674473" w:rsidRPr="003A2037" w:rsidTr="00E27ADA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PROD. CAPITAL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3,01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</w:tr>
      <w:tr w:rsidR="00674473" w:rsidRPr="003A2037" w:rsidTr="00E27ADA">
        <w:trPr>
          <w:trHeight w:val="349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Pr="003A2037" w:rsidRDefault="00674473" w:rsidP="003907FF">
            <w:pPr>
              <w:rPr>
                <w:rFonts w:ascii="Arial" w:hAnsi="Arial" w:cs="Arial"/>
                <w:sz w:val="20"/>
                <w:szCs w:val="20"/>
              </w:rPr>
            </w:pPr>
            <w:r w:rsidRPr="003A2037">
              <w:rPr>
                <w:rFonts w:ascii="Arial" w:hAnsi="Arial" w:cs="Arial"/>
                <w:sz w:val="20"/>
                <w:szCs w:val="20"/>
              </w:rPr>
              <w:t>Fonte: Gasques, J. G.; Bacchi, M. R</w:t>
            </w:r>
            <w:r w:rsidR="00E27ADA" w:rsidRPr="003A2037">
              <w:rPr>
                <w:rFonts w:ascii="Arial" w:hAnsi="Arial" w:cs="Arial"/>
                <w:sz w:val="20"/>
                <w:szCs w:val="20"/>
              </w:rPr>
              <w:t>.</w:t>
            </w:r>
            <w:r w:rsidRPr="003A2037">
              <w:rPr>
                <w:rFonts w:ascii="Arial" w:hAnsi="Arial" w:cs="Arial"/>
                <w:sz w:val="20"/>
                <w:szCs w:val="20"/>
              </w:rPr>
              <w:t xml:space="preserve">; Bastos, E. T.; Valdes, C. </w:t>
            </w:r>
          </w:p>
        </w:tc>
      </w:tr>
    </w:tbl>
    <w:p w:rsidR="00674473" w:rsidRPr="003A2037" w:rsidRDefault="00674473" w:rsidP="00674473">
      <w:pPr>
        <w:rPr>
          <w:rFonts w:ascii="Arial" w:hAnsi="Arial" w:cs="Arial"/>
        </w:rPr>
      </w:pPr>
    </w:p>
    <w:p w:rsidR="00674473" w:rsidRPr="003A2037" w:rsidRDefault="00674473" w:rsidP="00674473">
      <w:pPr>
        <w:rPr>
          <w:rFonts w:ascii="Arial" w:hAnsi="Arial" w:cs="Arial"/>
        </w:rPr>
      </w:pPr>
      <w:r w:rsidRPr="003A2037">
        <w:rPr>
          <w:rFonts w:ascii="Arial" w:hAnsi="Arial" w:cs="Arial"/>
        </w:rPr>
        <w:t>Número de Pessoas Ocupadas e estoque de tratores nos estabelecimentos, 1975-2017</w:t>
      </w:r>
    </w:p>
    <w:p w:rsidR="00674473" w:rsidRPr="003A2037" w:rsidRDefault="00674473" w:rsidP="00674473">
      <w:pPr>
        <w:rPr>
          <w:rFonts w:ascii="Arial" w:hAnsi="Arial" w:cs="Arial"/>
        </w:rPr>
      </w:pPr>
      <w:r w:rsidRPr="003A2037">
        <w:rPr>
          <w:rFonts w:ascii="Arial" w:hAnsi="Arial" w:cs="Arial"/>
          <w:noProof/>
        </w:rPr>
        <w:drawing>
          <wp:inline distT="0" distB="0" distL="0" distR="0" wp14:anchorId="2FB2E425" wp14:editId="7CE72FD6">
            <wp:extent cx="5021580" cy="2686264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66" cy="2687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473" w:rsidRPr="003A2037" w:rsidRDefault="00674473" w:rsidP="008A066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A2037">
        <w:rPr>
          <w:rFonts w:ascii="Arial" w:hAnsi="Arial" w:cs="Arial"/>
          <w:sz w:val="20"/>
          <w:szCs w:val="20"/>
        </w:rPr>
        <w:t>Fonte: IBGE - Censo Agro 2017</w:t>
      </w:r>
    </w:p>
    <w:p w:rsidR="00A27E22" w:rsidRPr="003A2037" w:rsidRDefault="00674473" w:rsidP="00674473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As informações preliminares do Censo Agro2017, mostram evidências adicionais sobre o aumento da produtividade nos últimos anos, especialmente a do trabalho.</w:t>
      </w:r>
    </w:p>
    <w:p w:rsidR="00674473" w:rsidRPr="003A2037" w:rsidRDefault="00674473" w:rsidP="00674473">
      <w:pPr>
        <w:rPr>
          <w:rFonts w:ascii="Arial" w:hAnsi="Arial" w:cs="Arial"/>
        </w:rPr>
      </w:pPr>
      <w:r w:rsidRPr="003A2037">
        <w:rPr>
          <w:rFonts w:ascii="Arial" w:hAnsi="Arial" w:cs="Arial"/>
          <w:noProof/>
        </w:rPr>
        <w:drawing>
          <wp:inline distT="0" distB="0" distL="0" distR="0" wp14:anchorId="27C224EF" wp14:editId="5E0FBD2A">
            <wp:extent cx="5501640" cy="3094997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2101" cy="310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As últimas duas décadas têm sido relevantes em ganhos de produtividade total dos fatores. A década de 2000 mostra a maior taxa de crescimento da PTF, 4,11 ao longo dos últimos 40 anos. Em 2000-2017, a taxa anual é pouco menor, </w:t>
      </w:r>
      <w:proofErr w:type="gramStart"/>
      <w:r w:rsidRPr="003A2037">
        <w:rPr>
          <w:rFonts w:ascii="Arial" w:hAnsi="Arial" w:cs="Arial"/>
        </w:rPr>
        <w:t>3,83%</w:t>
      </w:r>
      <w:proofErr w:type="gramEnd"/>
      <w:r w:rsidRPr="003A2037">
        <w:rPr>
          <w:rFonts w:ascii="Arial" w:hAnsi="Arial" w:cs="Arial"/>
        </w:rPr>
        <w:t xml:space="preserve"> mas também elevada. Um conjunto de fatores influenciou esse crescimento. Os mais importantes foram as políticas setoriais que possibilitaram aumento dos investimentos, o financiamento através do crédito rural, a abertura da agricultura para o mercado internacional e a adoção de novos sistemas de produção (Gasques,</w:t>
      </w:r>
      <w:r w:rsidR="00091691" w:rsidRPr="003A2037">
        <w:rPr>
          <w:rFonts w:ascii="Arial" w:hAnsi="Arial" w:cs="Arial"/>
        </w:rPr>
        <w:t xml:space="preserve"> </w:t>
      </w:r>
      <w:r w:rsidRPr="003A2037">
        <w:rPr>
          <w:rFonts w:ascii="Arial" w:hAnsi="Arial" w:cs="Arial"/>
        </w:rPr>
        <w:t>2017)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Os resultados mostraram, também, que a produtividade é muito sensível a eventos da natureza. A seca ocorrida em 2016 afetou a produtividade total dos fatores, que caiu 1,5%. Felizmente atingindo apenas algumas áreas, embora vários estados do Nordeste tenham sido bastante prejudicados. Por outro lado, a elevada safra colhida em 2017, onde houve recorde na produção de grãos, o aumento da PTF foi de 7,4% nesse ano, bastante superior à média anual.</w:t>
      </w:r>
    </w:p>
    <w:p w:rsidR="000A455E" w:rsidRPr="003A2037" w:rsidRDefault="000A455E" w:rsidP="000A455E">
      <w:pPr>
        <w:spacing w:after="240"/>
        <w:ind w:firstLine="709"/>
        <w:jc w:val="both"/>
        <w:rPr>
          <w:rFonts w:ascii="Arial" w:hAnsi="Arial" w:cs="Arial"/>
        </w:rPr>
      </w:pPr>
    </w:p>
    <w:p w:rsidR="000A455E" w:rsidRPr="003A2037" w:rsidRDefault="000A455E" w:rsidP="00091691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  <w:b/>
        </w:rPr>
      </w:pPr>
      <w:r w:rsidRPr="003A2037">
        <w:rPr>
          <w:rFonts w:ascii="Arial" w:hAnsi="Arial" w:cs="Arial"/>
          <w:b/>
        </w:rPr>
        <w:t>Referências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Alves, E; Tecnologia cristalizada e produtividade total dos fatores. Revista de Economia e Agronegócio, Viçosa, MG, v.2, n.4, p. 547-60, 2004.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CONAB – www.conab.gov.br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Florido, A. Censo Agro 2017. Divulgação Preliminar, Rio de Janeiro, 26/07/2018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  <w:lang w:val="en-US"/>
        </w:rPr>
      </w:pPr>
      <w:r w:rsidRPr="003A2037">
        <w:rPr>
          <w:rFonts w:ascii="Arial" w:hAnsi="Arial" w:cs="Arial"/>
          <w:lang w:val="en-US"/>
        </w:rPr>
        <w:t>FUGLIE, K. O.; HEISEY, P. W. Economic Returns to Public Agricultural Research, USDA/ERS. Economic Brief 10, September 2007.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  <w:lang w:val="en-US"/>
        </w:rPr>
        <w:t xml:space="preserve">GASQUES, J. G. Sources of Growth in Brazilian Agriculture: Total Factor Productivity. </w:t>
      </w:r>
      <w:proofErr w:type="spellStart"/>
      <w:r w:rsidRPr="003A2037">
        <w:rPr>
          <w:rFonts w:ascii="Arial" w:hAnsi="Arial" w:cs="Arial"/>
          <w:lang w:val="en-US"/>
        </w:rPr>
        <w:t>Parlons</w:t>
      </w:r>
      <w:proofErr w:type="spellEnd"/>
      <w:r w:rsidRPr="003A2037">
        <w:rPr>
          <w:rFonts w:ascii="Arial" w:hAnsi="Arial" w:cs="Arial"/>
          <w:lang w:val="en-US"/>
        </w:rPr>
        <w:t xml:space="preserve"> </w:t>
      </w:r>
      <w:proofErr w:type="spellStart"/>
      <w:r w:rsidRPr="003A2037">
        <w:rPr>
          <w:rFonts w:ascii="Arial" w:hAnsi="Arial" w:cs="Arial"/>
          <w:lang w:val="en-US"/>
        </w:rPr>
        <w:t>Graphiques</w:t>
      </w:r>
      <w:proofErr w:type="spellEnd"/>
      <w:r w:rsidRPr="003A2037">
        <w:rPr>
          <w:rFonts w:ascii="Arial" w:hAnsi="Arial" w:cs="Arial"/>
          <w:lang w:val="en-US"/>
        </w:rPr>
        <w:t xml:space="preserve">, </w:t>
      </w:r>
      <w:proofErr w:type="spellStart"/>
      <w:r w:rsidRPr="003A2037">
        <w:rPr>
          <w:rFonts w:ascii="Arial" w:hAnsi="Arial" w:cs="Arial"/>
          <w:lang w:val="en-US"/>
        </w:rPr>
        <w:t>Eurochoices</w:t>
      </w:r>
      <w:proofErr w:type="spellEnd"/>
      <w:r w:rsidRPr="003A2037">
        <w:rPr>
          <w:rFonts w:ascii="Arial" w:hAnsi="Arial" w:cs="Arial"/>
          <w:lang w:val="en-US"/>
        </w:rPr>
        <w:t>, Volume16, Issue1. Special Issue on The Brazilian Agri</w:t>
      </w:r>
      <w:r w:rsidRPr="003A2037">
        <w:rPr>
          <w:rFonts w:ascii="Cambria Math" w:hAnsi="Cambria Math" w:cs="Cambria Math"/>
          <w:lang w:val="en-US"/>
        </w:rPr>
        <w:t>‐</w:t>
      </w:r>
      <w:r w:rsidRPr="003A2037">
        <w:rPr>
          <w:rFonts w:ascii="Arial" w:hAnsi="Arial" w:cs="Arial"/>
          <w:lang w:val="en-US"/>
        </w:rPr>
        <w:t xml:space="preserve">food Sector. </w:t>
      </w:r>
      <w:proofErr w:type="spellStart"/>
      <w:r w:rsidRPr="003A2037">
        <w:rPr>
          <w:rFonts w:ascii="Arial" w:hAnsi="Arial" w:cs="Arial"/>
        </w:rPr>
        <w:t>April</w:t>
      </w:r>
      <w:proofErr w:type="spellEnd"/>
      <w:r w:rsidRPr="003A2037">
        <w:rPr>
          <w:rFonts w:ascii="Arial" w:hAnsi="Arial" w:cs="Arial"/>
        </w:rPr>
        <w:t xml:space="preserve"> 2017, </w:t>
      </w:r>
      <w:proofErr w:type="spellStart"/>
      <w:r w:rsidRPr="003A2037">
        <w:rPr>
          <w:rFonts w:ascii="Arial" w:hAnsi="Arial" w:cs="Arial"/>
        </w:rPr>
        <w:t>Pages</w:t>
      </w:r>
      <w:proofErr w:type="spellEnd"/>
      <w:r w:rsidRPr="003A2037">
        <w:rPr>
          <w:rFonts w:ascii="Arial" w:hAnsi="Arial" w:cs="Arial"/>
        </w:rPr>
        <w:t xml:space="preserve"> 24-25.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GASQUES, J. G.; BACCHI, M. R. P.; RODRIGUES, L.; BASTOS, E. T.; VALDES, C. Produtividade da Agricultura Brasileira: A Hipótese da Desaceleração In. Vieira Filho, J. E. R. e Gasques, J. G. (</w:t>
      </w:r>
      <w:proofErr w:type="spellStart"/>
      <w:r w:rsidRPr="003A2037">
        <w:rPr>
          <w:rFonts w:ascii="Arial" w:hAnsi="Arial" w:cs="Arial"/>
        </w:rPr>
        <w:t>Orgs</w:t>
      </w:r>
      <w:proofErr w:type="spellEnd"/>
      <w:r w:rsidRPr="003A2037">
        <w:rPr>
          <w:rFonts w:ascii="Arial" w:hAnsi="Arial" w:cs="Arial"/>
        </w:rPr>
        <w:t>) Agricultura, Transformação Produtiva e Sustentabilidade. Brasília, IPEA/ABAG, 2016.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IBGE – Censo Agropecuário 2017. Disponível em: &lt;https://sidra.ibge.gov.br/acervo#/S/CA/A/Q&gt;. Acesso em janeiro/2019.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IBGE- Censo Agropecuário 2006. Disponível em: &lt;https://sidra.ibge.gov.br/acervo#/S/CA/A/Q&gt;. Acesso em janeiro/2019.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IBGE- Pesquisa da Pecuária Municipal, 2017. Disponível em: &lt;https://sidra.ibge.gov.br/acervo#/S/PP/A/Q&gt;. Acesso em janeiro/2019.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IBGE- Produção Agrícola Municipal, 2017. Disponível em: &lt;https://sidra.ibge.gov.br/acervo#/S/PA/A/Q&gt;. Acesso em janeiro/2019.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USDA/ERS – Informações recebidas por solicitação a Fuglie O. Keith em 2018</w:t>
      </w:r>
    </w:p>
    <w:p w:rsidR="00423E22" w:rsidRPr="003A2037" w:rsidRDefault="00423E22" w:rsidP="00423E22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>VIEIRA FILHO, J. E. R e FISHLOW, A. Agricultura e Indústria no Brasil: inovação e competitividade. Brasília, Ipea, 2017.</w:t>
      </w:r>
    </w:p>
    <w:p w:rsidR="005A3056" w:rsidRPr="003A2037" w:rsidRDefault="00423E22" w:rsidP="00A02908">
      <w:pPr>
        <w:spacing w:after="240"/>
        <w:jc w:val="both"/>
        <w:rPr>
          <w:rFonts w:ascii="Arial" w:hAnsi="Arial" w:cs="Arial"/>
        </w:rPr>
      </w:pPr>
      <w:r w:rsidRPr="003A2037">
        <w:rPr>
          <w:rFonts w:ascii="Arial" w:hAnsi="Arial" w:cs="Arial"/>
        </w:rPr>
        <w:t xml:space="preserve">World Bank. ARIAS, Diego; VIEIRA, Pedro Abel; CONTINI, Elisio; NORONHA FARINELLI, Barbara Cristina; MORRIS, Michael. </w:t>
      </w:r>
      <w:r w:rsidRPr="003A2037">
        <w:rPr>
          <w:rFonts w:ascii="Arial" w:hAnsi="Arial" w:cs="Arial"/>
          <w:lang w:val="en-US"/>
        </w:rPr>
        <w:t xml:space="preserve">2017. Agriculture productivity growth in Brazil: recent trends and </w:t>
      </w:r>
      <w:proofErr w:type="gramStart"/>
      <w:r w:rsidRPr="003A2037">
        <w:rPr>
          <w:rFonts w:ascii="Arial" w:hAnsi="Arial" w:cs="Arial"/>
          <w:lang w:val="en-US"/>
        </w:rPr>
        <w:t>future prospects</w:t>
      </w:r>
      <w:proofErr w:type="gramEnd"/>
      <w:r w:rsidRPr="003A2037">
        <w:rPr>
          <w:rFonts w:ascii="Arial" w:hAnsi="Arial" w:cs="Arial"/>
          <w:lang w:val="en-US"/>
        </w:rPr>
        <w:t xml:space="preserve"> (English). Washington, D.C.: World Bank Group. </w:t>
      </w:r>
      <w:proofErr w:type="spellStart"/>
      <w:r w:rsidRPr="003A2037">
        <w:rPr>
          <w:rFonts w:ascii="Arial" w:hAnsi="Arial" w:cs="Arial"/>
          <w:lang w:val="en-US"/>
        </w:rPr>
        <w:t>Disponível</w:t>
      </w:r>
      <w:proofErr w:type="spellEnd"/>
      <w:r w:rsidRPr="003A2037">
        <w:rPr>
          <w:rFonts w:ascii="Arial" w:hAnsi="Arial" w:cs="Arial"/>
          <w:lang w:val="en-US"/>
        </w:rPr>
        <w:t xml:space="preserve"> </w:t>
      </w:r>
      <w:proofErr w:type="spellStart"/>
      <w:r w:rsidRPr="003A2037">
        <w:rPr>
          <w:rFonts w:ascii="Arial" w:hAnsi="Arial" w:cs="Arial"/>
          <w:lang w:val="en-US"/>
        </w:rPr>
        <w:t>em</w:t>
      </w:r>
      <w:proofErr w:type="spellEnd"/>
      <w:r w:rsidRPr="003A2037">
        <w:rPr>
          <w:rFonts w:ascii="Arial" w:hAnsi="Arial" w:cs="Arial"/>
          <w:lang w:val="en-US"/>
        </w:rPr>
        <w:t xml:space="preserve">: &lt;http://documents.worldbank.org/curated/en/268351520343354377/Agriculture-productivity-growth-in-Brazil-recent-trends-and-future-prospects&gt;. </w:t>
      </w:r>
      <w:r w:rsidRPr="003A2037">
        <w:rPr>
          <w:rFonts w:ascii="Arial" w:hAnsi="Arial" w:cs="Arial"/>
        </w:rPr>
        <w:t>Acesso em janeiro/2019</w:t>
      </w:r>
      <w:r w:rsidR="005A3056" w:rsidRPr="003A2037">
        <w:rPr>
          <w:rFonts w:ascii="Arial" w:hAnsi="Arial" w:cs="Arial"/>
        </w:rPr>
        <w:br w:type="page"/>
      </w:r>
    </w:p>
    <w:p w:rsidR="00A27E22" w:rsidRPr="00A02908" w:rsidRDefault="00674473" w:rsidP="00A02908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02908">
        <w:rPr>
          <w:rFonts w:ascii="Arial" w:hAnsi="Arial" w:cs="Arial"/>
          <w:sz w:val="22"/>
          <w:szCs w:val="22"/>
        </w:rPr>
        <w:t>APENDICE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992"/>
        <w:gridCol w:w="913"/>
        <w:gridCol w:w="980"/>
        <w:gridCol w:w="980"/>
        <w:gridCol w:w="980"/>
        <w:gridCol w:w="980"/>
        <w:gridCol w:w="980"/>
        <w:gridCol w:w="980"/>
        <w:gridCol w:w="985"/>
      </w:tblGrid>
      <w:tr w:rsidR="00674473" w:rsidRPr="00A02908" w:rsidTr="00A02908">
        <w:trPr>
          <w:trHeight w:val="324"/>
        </w:trPr>
        <w:tc>
          <w:tcPr>
            <w:tcW w:w="946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Pr="00A02908" w:rsidRDefault="006744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9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ÍNDICE DE PRODUTIVIDADE TOTAL DOS FATORES E PRODUTOS</w:t>
            </w:r>
          </w:p>
        </w:tc>
      </w:tr>
      <w:tr w:rsidR="00674473" w:rsidTr="00A02908">
        <w:trPr>
          <w:trHeight w:val="689"/>
        </w:trPr>
        <w:tc>
          <w:tcPr>
            <w:tcW w:w="696" w:type="dxa"/>
            <w:tcBorders>
              <w:top w:val="nil"/>
              <w:left w:val="single" w:sz="8" w:space="0" w:color="D96A75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Prod. Mão de Obra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Prod. Terra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Prod. Capital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PTF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Índice Produto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Índice Insumo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Índice MO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Índice Terra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8" w:space="0" w:color="D96A75"/>
            </w:tcBorders>
            <w:shd w:val="clear" w:color="000000" w:fill="9F2936"/>
            <w:vAlign w:val="center"/>
            <w:hideMark/>
          </w:tcPr>
          <w:p w:rsidR="00674473" w:rsidRDefault="00674473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Índice Capital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100,91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103,03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103,79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102,93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102,54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103,56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103,17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105,17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104,77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104,72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104,78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105,15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 w:rsidP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105,65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105,93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107,39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110,37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111,23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113,27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114,38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119,05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121,52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121,63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122,29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126,47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126,21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124,66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128,15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130,14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131,55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133,62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133,91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136,12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136,69</w:t>
            </w:r>
          </w:p>
        </w:tc>
      </w:tr>
      <w:tr w:rsidR="00674473" w:rsidTr="00A02908">
        <w:trPr>
          <w:trHeight w:hRule="exact" w:val="284"/>
        </w:trPr>
        <w:tc>
          <w:tcPr>
            <w:tcW w:w="696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A0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67447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:rsidR="00674473" w:rsidRDefault="006744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140,18</w:t>
            </w:r>
          </w:p>
        </w:tc>
      </w:tr>
    </w:tbl>
    <w:p w:rsidR="00DF480F" w:rsidRPr="00A02908" w:rsidRDefault="00DF480F" w:rsidP="005A3056">
      <w:pPr>
        <w:spacing w:after="240"/>
        <w:jc w:val="both"/>
        <w:rPr>
          <w:rFonts w:asciiTheme="minorHAnsi" w:hAnsiTheme="minorHAnsi" w:cs="Arial"/>
          <w:sz w:val="4"/>
          <w:szCs w:val="4"/>
        </w:rPr>
      </w:pPr>
    </w:p>
    <w:sectPr w:rsidR="00DF480F" w:rsidRPr="00A02908" w:rsidSect="00474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4E" w:rsidRDefault="00100F4E">
      <w:r>
        <w:separator/>
      </w:r>
    </w:p>
  </w:endnote>
  <w:endnote w:type="continuationSeparator" w:id="0">
    <w:p w:rsidR="00100F4E" w:rsidRDefault="0010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C0" w:rsidRDefault="00F360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C0" w:rsidRPr="003D33D5" w:rsidRDefault="00F360C0" w:rsidP="00011011">
    <w:pPr>
      <w:jc w:val="center"/>
      <w:rPr>
        <w:sz w:val="10"/>
        <w:szCs w:val="10"/>
      </w:rPr>
    </w:pPr>
  </w:p>
  <w:p w:rsidR="00F360C0" w:rsidRPr="003D747F" w:rsidRDefault="00F360C0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Esplanada dos Ministérios, Bloco D, Edifício Sede, 5º andar, Brasília/DF</w:t>
    </w:r>
  </w:p>
  <w:p w:rsidR="00F360C0" w:rsidRPr="003D747F" w:rsidRDefault="00F360C0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spa@agricultura.gov.br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C0" w:rsidRDefault="00F360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4E" w:rsidRDefault="00100F4E">
      <w:r>
        <w:separator/>
      </w:r>
    </w:p>
  </w:footnote>
  <w:footnote w:type="continuationSeparator" w:id="0">
    <w:p w:rsidR="00100F4E" w:rsidRDefault="0010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C0" w:rsidRDefault="00F360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C0" w:rsidRPr="003D747F" w:rsidRDefault="00F360C0" w:rsidP="00326C85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:rsidR="00F360C0" w:rsidRPr="003D747F" w:rsidRDefault="00F360C0" w:rsidP="00326C85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:rsidR="00F360C0" w:rsidRPr="003D747F" w:rsidRDefault="00F360C0" w:rsidP="00326C85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Departamento de Estudos Econômicos – DEEC</w:t>
    </w:r>
  </w:p>
  <w:p w:rsidR="00F360C0" w:rsidRPr="003D747F" w:rsidRDefault="00F360C0" w:rsidP="009828FB">
    <w:pPr>
      <w:jc w:val="center"/>
      <w:rPr>
        <w:rFonts w:ascii="Arial" w:hAnsi="Arial" w:cs="Arial"/>
        <w:szCs w:val="22"/>
      </w:rPr>
    </w:pPr>
    <w:r w:rsidRPr="003D747F">
      <w:rPr>
        <w:rFonts w:ascii="Arial" w:hAnsi="Arial" w:cs="Arial"/>
        <w:sz w:val="22"/>
        <w:szCs w:val="22"/>
      </w:rPr>
      <w:t>Coordenação-Geral de Estudos e Análises - CGEA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C0" w:rsidRDefault="00F360C0" w:rsidP="00B87F71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48F112C" wp14:editId="3F92A51E">
          <wp:simplePos x="0" y="0"/>
          <wp:positionH relativeFrom="column">
            <wp:posOffset>2514600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6" name="Imagem 6" descr="LOGO_147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0C0" w:rsidRDefault="00F360C0" w:rsidP="00B87F71">
    <w:pPr>
      <w:jc w:val="center"/>
      <w:rPr>
        <w:sz w:val="20"/>
        <w:szCs w:val="20"/>
      </w:rPr>
    </w:pPr>
  </w:p>
  <w:p w:rsidR="00F360C0" w:rsidRDefault="00F360C0" w:rsidP="00B87F71">
    <w:pPr>
      <w:jc w:val="center"/>
      <w:rPr>
        <w:sz w:val="20"/>
        <w:szCs w:val="20"/>
      </w:rPr>
    </w:pPr>
  </w:p>
  <w:p w:rsidR="00F360C0" w:rsidRDefault="00F360C0" w:rsidP="00B87F71">
    <w:pPr>
      <w:jc w:val="center"/>
      <w:rPr>
        <w:sz w:val="20"/>
        <w:szCs w:val="20"/>
      </w:rPr>
    </w:pPr>
  </w:p>
  <w:p w:rsidR="00F360C0" w:rsidRDefault="00F360C0" w:rsidP="00B87F71">
    <w:pPr>
      <w:jc w:val="center"/>
      <w:rPr>
        <w:sz w:val="20"/>
        <w:szCs w:val="20"/>
      </w:rPr>
    </w:pPr>
  </w:p>
  <w:p w:rsidR="00F360C0" w:rsidRDefault="00F360C0" w:rsidP="00B87F71">
    <w:pPr>
      <w:jc w:val="center"/>
      <w:rPr>
        <w:sz w:val="20"/>
        <w:szCs w:val="20"/>
      </w:rPr>
    </w:pPr>
  </w:p>
  <w:p w:rsidR="00F360C0" w:rsidRDefault="00F360C0" w:rsidP="00B87F71">
    <w:pPr>
      <w:jc w:val="center"/>
      <w:rPr>
        <w:sz w:val="20"/>
        <w:szCs w:val="20"/>
      </w:rPr>
    </w:pPr>
  </w:p>
  <w:p w:rsidR="00F360C0" w:rsidRPr="003D747F" w:rsidRDefault="00F360C0" w:rsidP="00B87F7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:rsidR="00F360C0" w:rsidRPr="003D747F" w:rsidRDefault="00F360C0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:rsidR="00F360C0" w:rsidRDefault="00F360C0" w:rsidP="00B87F71">
    <w:pPr>
      <w:jc w:val="center"/>
      <w:rPr>
        <w:rFonts w:ascii="Arial" w:hAnsi="Arial" w:cs="Arial"/>
        <w:sz w:val="22"/>
        <w:szCs w:val="22"/>
      </w:rPr>
    </w:pPr>
    <w:r w:rsidRPr="00E876A2">
      <w:rPr>
        <w:rFonts w:ascii="Arial" w:hAnsi="Arial" w:cs="Arial"/>
        <w:sz w:val="22"/>
        <w:szCs w:val="22"/>
      </w:rPr>
      <w:t xml:space="preserve">Departamento </w:t>
    </w:r>
    <w:r>
      <w:rPr>
        <w:rFonts w:ascii="Arial" w:hAnsi="Arial" w:cs="Arial"/>
        <w:sz w:val="22"/>
        <w:szCs w:val="22"/>
      </w:rPr>
      <w:t>d</w:t>
    </w:r>
    <w:r w:rsidRPr="00E876A2">
      <w:rPr>
        <w:rFonts w:ascii="Arial" w:hAnsi="Arial" w:cs="Arial"/>
        <w:sz w:val="22"/>
        <w:szCs w:val="22"/>
      </w:rPr>
      <w:t xml:space="preserve">e Crédito </w:t>
    </w:r>
    <w:r>
      <w:rPr>
        <w:rFonts w:ascii="Arial" w:hAnsi="Arial" w:cs="Arial"/>
        <w:sz w:val="22"/>
        <w:szCs w:val="22"/>
      </w:rPr>
      <w:t>e</w:t>
    </w:r>
    <w:r w:rsidRPr="00E876A2">
      <w:rPr>
        <w:rFonts w:ascii="Arial" w:hAnsi="Arial" w:cs="Arial"/>
        <w:sz w:val="22"/>
        <w:szCs w:val="22"/>
      </w:rPr>
      <w:t xml:space="preserve"> Estudos Econômicos </w:t>
    </w:r>
    <w:r>
      <w:rPr>
        <w:rFonts w:ascii="Arial" w:hAnsi="Arial" w:cs="Arial"/>
        <w:sz w:val="22"/>
        <w:szCs w:val="22"/>
      </w:rPr>
      <w:t>–</w:t>
    </w:r>
    <w:r w:rsidRPr="00E876A2">
      <w:rPr>
        <w:rFonts w:ascii="Arial" w:hAnsi="Arial" w:cs="Arial"/>
        <w:sz w:val="22"/>
        <w:szCs w:val="22"/>
      </w:rPr>
      <w:t xml:space="preserve"> DCEE</w:t>
    </w:r>
  </w:p>
  <w:p w:rsidR="00F360C0" w:rsidRPr="003D747F" w:rsidRDefault="00F360C0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Coordenação-Geral de Estudos e Análises - CGEA</w:t>
    </w:r>
  </w:p>
  <w:p w:rsidR="00F360C0" w:rsidRDefault="00F360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187"/>
    <w:multiLevelType w:val="hybridMultilevel"/>
    <w:tmpl w:val="1172C62C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8A4324E"/>
    <w:multiLevelType w:val="hybridMultilevel"/>
    <w:tmpl w:val="2B9C473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D4C52"/>
    <w:multiLevelType w:val="hybridMultilevel"/>
    <w:tmpl w:val="396A24FA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38A133F9"/>
    <w:multiLevelType w:val="hybridMultilevel"/>
    <w:tmpl w:val="398AC14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3F4F0D7D"/>
    <w:multiLevelType w:val="hybridMultilevel"/>
    <w:tmpl w:val="A36A9D44"/>
    <w:lvl w:ilvl="0" w:tplc="F1001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8D"/>
    <w:rsid w:val="00000476"/>
    <w:rsid w:val="00002B61"/>
    <w:rsid w:val="00007450"/>
    <w:rsid w:val="00011011"/>
    <w:rsid w:val="00015B1E"/>
    <w:rsid w:val="00024D22"/>
    <w:rsid w:val="000265EC"/>
    <w:rsid w:val="0003104C"/>
    <w:rsid w:val="0004005A"/>
    <w:rsid w:val="0006103B"/>
    <w:rsid w:val="00081376"/>
    <w:rsid w:val="00082FC0"/>
    <w:rsid w:val="00090F93"/>
    <w:rsid w:val="00091691"/>
    <w:rsid w:val="000A455E"/>
    <w:rsid w:val="000A5DF0"/>
    <w:rsid w:val="000C2DD0"/>
    <w:rsid w:val="000C63B4"/>
    <w:rsid w:val="000D163C"/>
    <w:rsid w:val="000E1CDB"/>
    <w:rsid w:val="000E5751"/>
    <w:rsid w:val="000F776B"/>
    <w:rsid w:val="00100F4E"/>
    <w:rsid w:val="00133DF2"/>
    <w:rsid w:val="001361D2"/>
    <w:rsid w:val="00142399"/>
    <w:rsid w:val="00154DB0"/>
    <w:rsid w:val="00175A5B"/>
    <w:rsid w:val="00180DDA"/>
    <w:rsid w:val="00185E31"/>
    <w:rsid w:val="00190D87"/>
    <w:rsid w:val="00192101"/>
    <w:rsid w:val="001966B1"/>
    <w:rsid w:val="001A04ED"/>
    <w:rsid w:val="001B7005"/>
    <w:rsid w:val="001B7F16"/>
    <w:rsid w:val="001C0B21"/>
    <w:rsid w:val="001D0386"/>
    <w:rsid w:val="001D1182"/>
    <w:rsid w:val="001E6275"/>
    <w:rsid w:val="001F2A31"/>
    <w:rsid w:val="0020309E"/>
    <w:rsid w:val="00204DD3"/>
    <w:rsid w:val="00207F60"/>
    <w:rsid w:val="00217539"/>
    <w:rsid w:val="00223A12"/>
    <w:rsid w:val="00223A27"/>
    <w:rsid w:val="00225545"/>
    <w:rsid w:val="002357EB"/>
    <w:rsid w:val="002365D9"/>
    <w:rsid w:val="002427F1"/>
    <w:rsid w:val="00244395"/>
    <w:rsid w:val="002449A6"/>
    <w:rsid w:val="00246581"/>
    <w:rsid w:val="0025198E"/>
    <w:rsid w:val="00262853"/>
    <w:rsid w:val="00266344"/>
    <w:rsid w:val="00276EC7"/>
    <w:rsid w:val="00280ADC"/>
    <w:rsid w:val="00292910"/>
    <w:rsid w:val="002932FB"/>
    <w:rsid w:val="00295D72"/>
    <w:rsid w:val="002B5338"/>
    <w:rsid w:val="002C0100"/>
    <w:rsid w:val="002C38D7"/>
    <w:rsid w:val="002D2864"/>
    <w:rsid w:val="002D601A"/>
    <w:rsid w:val="002D755A"/>
    <w:rsid w:val="002F1D03"/>
    <w:rsid w:val="002F52CD"/>
    <w:rsid w:val="002F6BFC"/>
    <w:rsid w:val="002F79A7"/>
    <w:rsid w:val="003006E5"/>
    <w:rsid w:val="003039BE"/>
    <w:rsid w:val="003163AF"/>
    <w:rsid w:val="00326C85"/>
    <w:rsid w:val="00336EC9"/>
    <w:rsid w:val="003401E3"/>
    <w:rsid w:val="00346199"/>
    <w:rsid w:val="003463FE"/>
    <w:rsid w:val="003907FF"/>
    <w:rsid w:val="003915C8"/>
    <w:rsid w:val="0039341E"/>
    <w:rsid w:val="003A2037"/>
    <w:rsid w:val="003D33D5"/>
    <w:rsid w:val="003D747F"/>
    <w:rsid w:val="003E0AE1"/>
    <w:rsid w:val="003E2DBC"/>
    <w:rsid w:val="003E56D4"/>
    <w:rsid w:val="003E5AF9"/>
    <w:rsid w:val="003F7EFF"/>
    <w:rsid w:val="00403BB3"/>
    <w:rsid w:val="0040501B"/>
    <w:rsid w:val="00413EBA"/>
    <w:rsid w:val="00423E22"/>
    <w:rsid w:val="00427B0F"/>
    <w:rsid w:val="0043294D"/>
    <w:rsid w:val="00441C68"/>
    <w:rsid w:val="00442D8C"/>
    <w:rsid w:val="004454FD"/>
    <w:rsid w:val="00463812"/>
    <w:rsid w:val="00467DB2"/>
    <w:rsid w:val="00474CA3"/>
    <w:rsid w:val="004752ED"/>
    <w:rsid w:val="00485034"/>
    <w:rsid w:val="00486464"/>
    <w:rsid w:val="004A2DB8"/>
    <w:rsid w:val="004A4ACC"/>
    <w:rsid w:val="004A681A"/>
    <w:rsid w:val="004B3690"/>
    <w:rsid w:val="004B43A1"/>
    <w:rsid w:val="004C22F7"/>
    <w:rsid w:val="004C3B4B"/>
    <w:rsid w:val="004D11B7"/>
    <w:rsid w:val="004D549E"/>
    <w:rsid w:val="004E24AF"/>
    <w:rsid w:val="004E4B65"/>
    <w:rsid w:val="004E65F0"/>
    <w:rsid w:val="004E6FE8"/>
    <w:rsid w:val="004F0582"/>
    <w:rsid w:val="004F5AED"/>
    <w:rsid w:val="004F6F8F"/>
    <w:rsid w:val="00506F06"/>
    <w:rsid w:val="00510658"/>
    <w:rsid w:val="005230BE"/>
    <w:rsid w:val="00525330"/>
    <w:rsid w:val="00527330"/>
    <w:rsid w:val="00530468"/>
    <w:rsid w:val="005370AA"/>
    <w:rsid w:val="005405E7"/>
    <w:rsid w:val="0056622D"/>
    <w:rsid w:val="005801A7"/>
    <w:rsid w:val="005870DC"/>
    <w:rsid w:val="00594136"/>
    <w:rsid w:val="00597F17"/>
    <w:rsid w:val="005A3056"/>
    <w:rsid w:val="005B3302"/>
    <w:rsid w:val="005B612F"/>
    <w:rsid w:val="005C59D5"/>
    <w:rsid w:val="005D1987"/>
    <w:rsid w:val="005D6FAD"/>
    <w:rsid w:val="00603393"/>
    <w:rsid w:val="006042E2"/>
    <w:rsid w:val="00613490"/>
    <w:rsid w:val="006159F4"/>
    <w:rsid w:val="00615B17"/>
    <w:rsid w:val="006173A9"/>
    <w:rsid w:val="0062337E"/>
    <w:rsid w:val="00640E4B"/>
    <w:rsid w:val="0064156F"/>
    <w:rsid w:val="006451F3"/>
    <w:rsid w:val="006457DD"/>
    <w:rsid w:val="006571EE"/>
    <w:rsid w:val="00661A49"/>
    <w:rsid w:val="00674473"/>
    <w:rsid w:val="00676C2E"/>
    <w:rsid w:val="00687C2F"/>
    <w:rsid w:val="006A6261"/>
    <w:rsid w:val="006B15BA"/>
    <w:rsid w:val="006B2B73"/>
    <w:rsid w:val="006C0AE6"/>
    <w:rsid w:val="006C75F4"/>
    <w:rsid w:val="006E5948"/>
    <w:rsid w:val="006F22BD"/>
    <w:rsid w:val="006F31C8"/>
    <w:rsid w:val="006F668B"/>
    <w:rsid w:val="007032A8"/>
    <w:rsid w:val="00723812"/>
    <w:rsid w:val="0072466D"/>
    <w:rsid w:val="00734879"/>
    <w:rsid w:val="007377E6"/>
    <w:rsid w:val="007637ED"/>
    <w:rsid w:val="007647F7"/>
    <w:rsid w:val="00766F7D"/>
    <w:rsid w:val="0077100E"/>
    <w:rsid w:val="00787C48"/>
    <w:rsid w:val="00797D36"/>
    <w:rsid w:val="007A4DFC"/>
    <w:rsid w:val="007C281E"/>
    <w:rsid w:val="007C30DD"/>
    <w:rsid w:val="007C7DA8"/>
    <w:rsid w:val="007E0310"/>
    <w:rsid w:val="007E606B"/>
    <w:rsid w:val="007E6C75"/>
    <w:rsid w:val="007E72CE"/>
    <w:rsid w:val="007F13D5"/>
    <w:rsid w:val="007F4378"/>
    <w:rsid w:val="007F615A"/>
    <w:rsid w:val="00800FDE"/>
    <w:rsid w:val="008018AA"/>
    <w:rsid w:val="00814978"/>
    <w:rsid w:val="00831119"/>
    <w:rsid w:val="00853EA6"/>
    <w:rsid w:val="00885176"/>
    <w:rsid w:val="00885B0C"/>
    <w:rsid w:val="00893F00"/>
    <w:rsid w:val="008A0668"/>
    <w:rsid w:val="008A1C03"/>
    <w:rsid w:val="008A3E41"/>
    <w:rsid w:val="008B38C7"/>
    <w:rsid w:val="008B64D1"/>
    <w:rsid w:val="008B7B91"/>
    <w:rsid w:val="008C5EF3"/>
    <w:rsid w:val="008D6700"/>
    <w:rsid w:val="008E71EC"/>
    <w:rsid w:val="008F63C4"/>
    <w:rsid w:val="0091306A"/>
    <w:rsid w:val="00931881"/>
    <w:rsid w:val="0093234C"/>
    <w:rsid w:val="00934CAA"/>
    <w:rsid w:val="00953355"/>
    <w:rsid w:val="0096613B"/>
    <w:rsid w:val="00975EDD"/>
    <w:rsid w:val="009828FB"/>
    <w:rsid w:val="00994A1F"/>
    <w:rsid w:val="009A5F57"/>
    <w:rsid w:val="009C1797"/>
    <w:rsid w:val="009C1CFC"/>
    <w:rsid w:val="009C6022"/>
    <w:rsid w:val="009D38E0"/>
    <w:rsid w:val="009F1350"/>
    <w:rsid w:val="00A000D2"/>
    <w:rsid w:val="00A00A44"/>
    <w:rsid w:val="00A02908"/>
    <w:rsid w:val="00A10EAE"/>
    <w:rsid w:val="00A24DB7"/>
    <w:rsid w:val="00A27E22"/>
    <w:rsid w:val="00A41434"/>
    <w:rsid w:val="00A47BC3"/>
    <w:rsid w:val="00A51123"/>
    <w:rsid w:val="00A627AD"/>
    <w:rsid w:val="00A7049A"/>
    <w:rsid w:val="00A87F88"/>
    <w:rsid w:val="00A936BC"/>
    <w:rsid w:val="00AB7023"/>
    <w:rsid w:val="00AC0536"/>
    <w:rsid w:val="00AD103D"/>
    <w:rsid w:val="00AD7F54"/>
    <w:rsid w:val="00AE7855"/>
    <w:rsid w:val="00B0009A"/>
    <w:rsid w:val="00B077D7"/>
    <w:rsid w:val="00B257A4"/>
    <w:rsid w:val="00B26893"/>
    <w:rsid w:val="00B420F2"/>
    <w:rsid w:val="00B422A5"/>
    <w:rsid w:val="00B53637"/>
    <w:rsid w:val="00B567EC"/>
    <w:rsid w:val="00B57DFE"/>
    <w:rsid w:val="00B7285F"/>
    <w:rsid w:val="00B741C3"/>
    <w:rsid w:val="00B7719A"/>
    <w:rsid w:val="00B81B66"/>
    <w:rsid w:val="00B84AE7"/>
    <w:rsid w:val="00B87F71"/>
    <w:rsid w:val="00B964BB"/>
    <w:rsid w:val="00BA2E53"/>
    <w:rsid w:val="00BB454C"/>
    <w:rsid w:val="00BB4A02"/>
    <w:rsid w:val="00BB5F0E"/>
    <w:rsid w:val="00BC5DB8"/>
    <w:rsid w:val="00BC783F"/>
    <w:rsid w:val="00BC7EEA"/>
    <w:rsid w:val="00BD1FD4"/>
    <w:rsid w:val="00BD64D4"/>
    <w:rsid w:val="00BE3F5A"/>
    <w:rsid w:val="00BE5BAD"/>
    <w:rsid w:val="00BF2C12"/>
    <w:rsid w:val="00C0317A"/>
    <w:rsid w:val="00C07076"/>
    <w:rsid w:val="00C22594"/>
    <w:rsid w:val="00C23FF3"/>
    <w:rsid w:val="00C346BE"/>
    <w:rsid w:val="00C41238"/>
    <w:rsid w:val="00C518FF"/>
    <w:rsid w:val="00C544BB"/>
    <w:rsid w:val="00C5542C"/>
    <w:rsid w:val="00C606D5"/>
    <w:rsid w:val="00C65BF1"/>
    <w:rsid w:val="00C73B8D"/>
    <w:rsid w:val="00C93607"/>
    <w:rsid w:val="00C97627"/>
    <w:rsid w:val="00CB351A"/>
    <w:rsid w:val="00CB5957"/>
    <w:rsid w:val="00CB737D"/>
    <w:rsid w:val="00CB7BAC"/>
    <w:rsid w:val="00CE1F31"/>
    <w:rsid w:val="00D030A0"/>
    <w:rsid w:val="00D1424E"/>
    <w:rsid w:val="00D16B4A"/>
    <w:rsid w:val="00D17C12"/>
    <w:rsid w:val="00D42683"/>
    <w:rsid w:val="00D46BA6"/>
    <w:rsid w:val="00D50C05"/>
    <w:rsid w:val="00D532CF"/>
    <w:rsid w:val="00D5693F"/>
    <w:rsid w:val="00D614D0"/>
    <w:rsid w:val="00D6441F"/>
    <w:rsid w:val="00D728EC"/>
    <w:rsid w:val="00D7732B"/>
    <w:rsid w:val="00D82C86"/>
    <w:rsid w:val="00D86160"/>
    <w:rsid w:val="00DA2122"/>
    <w:rsid w:val="00DB182C"/>
    <w:rsid w:val="00DB6371"/>
    <w:rsid w:val="00DC5F12"/>
    <w:rsid w:val="00DF19FA"/>
    <w:rsid w:val="00DF2CE0"/>
    <w:rsid w:val="00DF480F"/>
    <w:rsid w:val="00E0144F"/>
    <w:rsid w:val="00E03A2D"/>
    <w:rsid w:val="00E1427D"/>
    <w:rsid w:val="00E27ADA"/>
    <w:rsid w:val="00E36EFA"/>
    <w:rsid w:val="00E4437C"/>
    <w:rsid w:val="00E64EE7"/>
    <w:rsid w:val="00E67377"/>
    <w:rsid w:val="00E75EB3"/>
    <w:rsid w:val="00E8358C"/>
    <w:rsid w:val="00E876A2"/>
    <w:rsid w:val="00E87E37"/>
    <w:rsid w:val="00E91028"/>
    <w:rsid w:val="00E91BEF"/>
    <w:rsid w:val="00E93746"/>
    <w:rsid w:val="00E95F67"/>
    <w:rsid w:val="00E965CC"/>
    <w:rsid w:val="00EA2ABC"/>
    <w:rsid w:val="00EA360C"/>
    <w:rsid w:val="00EB3AB0"/>
    <w:rsid w:val="00EB476C"/>
    <w:rsid w:val="00EB7212"/>
    <w:rsid w:val="00EC3062"/>
    <w:rsid w:val="00EE46B1"/>
    <w:rsid w:val="00EE5410"/>
    <w:rsid w:val="00EF00BC"/>
    <w:rsid w:val="00EF33C2"/>
    <w:rsid w:val="00EF4263"/>
    <w:rsid w:val="00EF4798"/>
    <w:rsid w:val="00F123E7"/>
    <w:rsid w:val="00F16AE3"/>
    <w:rsid w:val="00F360C0"/>
    <w:rsid w:val="00F438B9"/>
    <w:rsid w:val="00F456D0"/>
    <w:rsid w:val="00F615DA"/>
    <w:rsid w:val="00F6189E"/>
    <w:rsid w:val="00F6368C"/>
    <w:rsid w:val="00F72965"/>
    <w:rsid w:val="00F73E09"/>
    <w:rsid w:val="00F833B8"/>
    <w:rsid w:val="00FA1EFF"/>
    <w:rsid w:val="00FB6B6E"/>
    <w:rsid w:val="00FC1290"/>
    <w:rsid w:val="00FD5B29"/>
    <w:rsid w:val="00FE3E21"/>
    <w:rsid w:val="00FF1AC5"/>
    <w:rsid w:val="00FF5ACF"/>
    <w:rsid w:val="00FF6DAC"/>
    <w:rsid w:val="00FF6DCD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02722"/>
  <w15:chartTrackingRefBased/>
  <w15:docId w15:val="{69D45861-FE3F-407E-9FFE-E9665E9E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C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.bastos\Documents\Modelos%20Personalizados%20do%20Office\NOTA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2019.dotx</Template>
  <TotalTime>0</TotalTime>
  <Pages>1</Pages>
  <Words>2435</Words>
  <Characters>13152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MEMO/COSIS/CGTI/SPOA/SE/MAPA – Nº         /2011</vt:lpstr>
    </vt:vector>
  </TitlesOfParts>
  <Company>MAPA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MEMO/COSIS/CGTI/SPOA/SE/MAPA – Nº         /2011</dc:title>
  <dc:subject/>
  <dc:creator>Eliana Teles Bastos</dc:creator>
  <cp:keywords/>
  <cp:lastModifiedBy>Jose Garcia Gasques</cp:lastModifiedBy>
  <cp:revision>2</cp:revision>
  <cp:lastPrinted>2019-02-05T11:45:00Z</cp:lastPrinted>
  <dcterms:created xsi:type="dcterms:W3CDTF">2019-02-06T13:18:00Z</dcterms:created>
  <dcterms:modified xsi:type="dcterms:W3CDTF">2019-02-06T13:18:00Z</dcterms:modified>
</cp:coreProperties>
</file>