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B02" w:rsidRPr="00826906" w:rsidRDefault="00C87B02">
      <w:pPr>
        <w:pStyle w:val="Cabealho"/>
        <w:tabs>
          <w:tab w:val="clear" w:pos="4419"/>
          <w:tab w:val="clear" w:pos="8838"/>
        </w:tabs>
        <w:rPr>
          <w:rFonts w:ascii="Arial" w:hAnsi="Arial" w:cs="Arial"/>
          <w:b/>
        </w:rPr>
      </w:pPr>
      <w:r w:rsidRPr="00826906">
        <w:rPr>
          <w:rFonts w:ascii="Arial" w:hAnsi="Arial" w:cs="Arial"/>
          <w:b/>
        </w:rPr>
        <w:t>MINISTÉRIO DA AGRICULTURA, PECUÁRIA E ABASTECIMENTO</w:t>
      </w:r>
    </w:p>
    <w:p w:rsidR="00C87B02" w:rsidRPr="00826906" w:rsidRDefault="00C87B02">
      <w:pPr>
        <w:pStyle w:val="Cabealho"/>
        <w:tabs>
          <w:tab w:val="clear" w:pos="4419"/>
          <w:tab w:val="clear" w:pos="8838"/>
        </w:tabs>
        <w:rPr>
          <w:rFonts w:ascii="Arial" w:hAnsi="Arial" w:cs="Arial"/>
          <w:b/>
        </w:rPr>
      </w:pPr>
      <w:r w:rsidRPr="00826906">
        <w:rPr>
          <w:rFonts w:ascii="Arial" w:hAnsi="Arial" w:cs="Arial"/>
          <w:b/>
        </w:rPr>
        <w:t>Secretaria de Relações Internacionais do Agronegócio</w:t>
      </w:r>
    </w:p>
    <w:p w:rsidR="00C87B02" w:rsidRPr="00826906" w:rsidRDefault="00C87B02">
      <w:pPr>
        <w:pStyle w:val="Ttulo1"/>
        <w:rPr>
          <w:rFonts w:ascii="Arial" w:hAnsi="Arial" w:cs="Arial"/>
          <w:sz w:val="20"/>
          <w:szCs w:val="20"/>
        </w:rPr>
      </w:pPr>
    </w:p>
    <w:p w:rsidR="00C87B02" w:rsidRPr="00826906" w:rsidRDefault="00C87B02">
      <w:pPr>
        <w:pStyle w:val="Ttulo1"/>
        <w:rPr>
          <w:rFonts w:ascii="Arial" w:hAnsi="Arial" w:cs="Arial"/>
          <w:sz w:val="20"/>
          <w:szCs w:val="20"/>
        </w:rPr>
      </w:pPr>
      <w:r w:rsidRPr="00826906">
        <w:rPr>
          <w:rFonts w:ascii="Arial" w:hAnsi="Arial" w:cs="Arial"/>
          <w:sz w:val="20"/>
          <w:szCs w:val="20"/>
        </w:rPr>
        <w:t xml:space="preserve">Balança Comercial do Agronegócio – </w:t>
      </w:r>
      <w:r w:rsidR="00A560CC">
        <w:rPr>
          <w:rFonts w:ascii="Arial" w:hAnsi="Arial" w:cs="Arial"/>
          <w:sz w:val="20"/>
          <w:szCs w:val="20"/>
        </w:rPr>
        <w:t>Abril</w:t>
      </w:r>
      <w:r w:rsidR="007763E5">
        <w:rPr>
          <w:rFonts w:ascii="Arial" w:hAnsi="Arial" w:cs="Arial"/>
          <w:sz w:val="20"/>
          <w:szCs w:val="20"/>
        </w:rPr>
        <w:t>/2018</w:t>
      </w:r>
    </w:p>
    <w:p w:rsidR="008035E6" w:rsidRPr="00826906" w:rsidRDefault="008035E6" w:rsidP="008035E6">
      <w:pPr>
        <w:rPr>
          <w:rFonts w:ascii="Arial" w:hAnsi="Arial" w:cs="Arial"/>
        </w:rPr>
      </w:pPr>
    </w:p>
    <w:p w:rsidR="008035E6" w:rsidRPr="00826906" w:rsidRDefault="00A560CC" w:rsidP="008035E6">
      <w:pPr>
        <w:rPr>
          <w:rFonts w:ascii="Arial" w:hAnsi="Arial" w:cs="Arial"/>
        </w:rPr>
      </w:pPr>
      <w:r w:rsidRPr="00A560CC">
        <w:rPr>
          <w:noProof/>
        </w:rPr>
        <w:drawing>
          <wp:inline distT="0" distB="0" distL="0" distR="0" wp14:anchorId="67B68502" wp14:editId="12C11B35">
            <wp:extent cx="6480175" cy="305181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80175" cy="3051810"/>
                    </a:xfrm>
                    <a:prstGeom prst="rect">
                      <a:avLst/>
                    </a:prstGeom>
                  </pic:spPr>
                </pic:pic>
              </a:graphicData>
            </a:graphic>
          </wp:inline>
        </w:drawing>
      </w:r>
    </w:p>
    <w:p w:rsidR="00C87B02" w:rsidRPr="00826906" w:rsidRDefault="00C87B02">
      <w:pPr>
        <w:pStyle w:val="Ttulo5"/>
        <w:autoSpaceDE/>
        <w:autoSpaceDN/>
        <w:adjustRightInd/>
        <w:rPr>
          <w:rFonts w:ascii="Arial" w:hAnsi="Arial" w:cs="Arial"/>
          <w:sz w:val="20"/>
          <w:szCs w:val="20"/>
        </w:rPr>
      </w:pPr>
    </w:p>
    <w:p w:rsidR="00E04FAF" w:rsidRPr="00826906" w:rsidRDefault="00E04FAF">
      <w:pPr>
        <w:pStyle w:val="Ttulo5"/>
        <w:autoSpaceDE/>
        <w:autoSpaceDN/>
        <w:adjustRightInd/>
        <w:rPr>
          <w:rFonts w:ascii="Arial" w:hAnsi="Arial" w:cs="Arial"/>
          <w:sz w:val="20"/>
          <w:szCs w:val="20"/>
        </w:rPr>
      </w:pPr>
    </w:p>
    <w:p w:rsidR="00C87B02" w:rsidRPr="00826906" w:rsidRDefault="00C87B02">
      <w:pPr>
        <w:pStyle w:val="Ttulo5"/>
        <w:autoSpaceDE/>
        <w:autoSpaceDN/>
        <w:adjustRightInd/>
        <w:rPr>
          <w:rFonts w:ascii="Arial" w:hAnsi="Arial" w:cs="Arial"/>
          <w:sz w:val="20"/>
          <w:szCs w:val="20"/>
        </w:rPr>
      </w:pPr>
      <w:r w:rsidRPr="00826906">
        <w:rPr>
          <w:rFonts w:ascii="Arial" w:hAnsi="Arial" w:cs="Arial"/>
          <w:sz w:val="20"/>
          <w:szCs w:val="20"/>
        </w:rPr>
        <w:t xml:space="preserve">I </w:t>
      </w:r>
      <w:r w:rsidR="001D51EE" w:rsidRPr="00826906">
        <w:rPr>
          <w:rFonts w:ascii="Arial" w:hAnsi="Arial" w:cs="Arial"/>
          <w:sz w:val="20"/>
          <w:szCs w:val="20"/>
        </w:rPr>
        <w:t>–</w:t>
      </w:r>
      <w:r w:rsidRPr="00826906">
        <w:rPr>
          <w:rFonts w:ascii="Arial" w:hAnsi="Arial" w:cs="Arial"/>
          <w:sz w:val="20"/>
          <w:szCs w:val="20"/>
        </w:rPr>
        <w:t xml:space="preserve"> Resultados do mês</w:t>
      </w:r>
      <w:r w:rsidR="004215B4" w:rsidRPr="00826906">
        <w:rPr>
          <w:rFonts w:ascii="Arial" w:hAnsi="Arial" w:cs="Arial"/>
          <w:sz w:val="20"/>
          <w:szCs w:val="20"/>
        </w:rPr>
        <w:t xml:space="preserve"> (comparativo </w:t>
      </w:r>
      <w:r w:rsidR="00A560CC">
        <w:rPr>
          <w:rFonts w:ascii="Arial" w:hAnsi="Arial" w:cs="Arial"/>
          <w:sz w:val="20"/>
          <w:szCs w:val="20"/>
        </w:rPr>
        <w:t>Abril</w:t>
      </w:r>
      <w:r w:rsidR="007763E5">
        <w:rPr>
          <w:rFonts w:ascii="Arial" w:hAnsi="Arial" w:cs="Arial"/>
          <w:sz w:val="20"/>
          <w:szCs w:val="20"/>
        </w:rPr>
        <w:t>/2018</w:t>
      </w:r>
      <w:r w:rsidR="00D50BB5" w:rsidRPr="00826906">
        <w:rPr>
          <w:rFonts w:ascii="Arial" w:hAnsi="Arial" w:cs="Arial"/>
          <w:sz w:val="20"/>
          <w:szCs w:val="20"/>
        </w:rPr>
        <w:t xml:space="preserve"> – </w:t>
      </w:r>
      <w:r w:rsidR="00A560CC">
        <w:rPr>
          <w:rFonts w:ascii="Arial" w:hAnsi="Arial" w:cs="Arial"/>
          <w:sz w:val="20"/>
          <w:szCs w:val="20"/>
        </w:rPr>
        <w:t>Abril</w:t>
      </w:r>
      <w:r w:rsidR="00171A0D" w:rsidRPr="00826906">
        <w:rPr>
          <w:rFonts w:ascii="Arial" w:hAnsi="Arial" w:cs="Arial"/>
          <w:sz w:val="20"/>
          <w:szCs w:val="20"/>
        </w:rPr>
        <w:t>/</w:t>
      </w:r>
      <w:r w:rsidR="007763E5">
        <w:rPr>
          <w:rFonts w:ascii="Arial" w:hAnsi="Arial" w:cs="Arial"/>
          <w:sz w:val="20"/>
          <w:szCs w:val="20"/>
        </w:rPr>
        <w:t>2017</w:t>
      </w:r>
      <w:r w:rsidR="001D51EE" w:rsidRPr="00826906">
        <w:rPr>
          <w:rFonts w:ascii="Arial" w:hAnsi="Arial" w:cs="Arial"/>
          <w:sz w:val="20"/>
          <w:szCs w:val="20"/>
        </w:rPr>
        <w:t>)</w:t>
      </w:r>
    </w:p>
    <w:p w:rsidR="00A16A28" w:rsidRPr="00826906" w:rsidRDefault="00A16A28" w:rsidP="00BA03E2">
      <w:pPr>
        <w:pStyle w:val="Recuodecorpodetexto"/>
        <w:rPr>
          <w:rFonts w:ascii="Arial" w:hAnsi="Arial" w:cs="Arial"/>
          <w:color w:val="000000" w:themeColor="text1"/>
          <w:sz w:val="20"/>
          <w:szCs w:val="20"/>
        </w:rPr>
      </w:pPr>
    </w:p>
    <w:p w:rsidR="00084C40" w:rsidRDefault="002576A8" w:rsidP="00202D83">
      <w:pPr>
        <w:pStyle w:val="Recuodecorpodetexto"/>
        <w:rPr>
          <w:rFonts w:ascii="Arial" w:hAnsi="Arial" w:cs="Arial"/>
          <w:color w:val="000000" w:themeColor="text1"/>
          <w:sz w:val="20"/>
          <w:szCs w:val="20"/>
        </w:rPr>
      </w:pPr>
      <w:r>
        <w:rPr>
          <w:rFonts w:ascii="Arial" w:hAnsi="Arial" w:cs="Arial"/>
          <w:color w:val="000000" w:themeColor="text1"/>
          <w:sz w:val="20"/>
          <w:szCs w:val="20"/>
        </w:rPr>
        <w:t>As exportações brasileiras d</w:t>
      </w:r>
      <w:r w:rsidR="0044631C">
        <w:rPr>
          <w:rFonts w:ascii="Arial" w:hAnsi="Arial" w:cs="Arial"/>
          <w:color w:val="000000" w:themeColor="text1"/>
          <w:sz w:val="20"/>
          <w:szCs w:val="20"/>
        </w:rPr>
        <w:t>e produtos d</w:t>
      </w:r>
      <w:r>
        <w:rPr>
          <w:rFonts w:ascii="Arial" w:hAnsi="Arial" w:cs="Arial"/>
          <w:color w:val="000000" w:themeColor="text1"/>
          <w:sz w:val="20"/>
          <w:szCs w:val="20"/>
        </w:rPr>
        <w:t xml:space="preserve">o agronegócio atingiram US$ 8,89 bilhões em abril de 2018, cifra 2,7% superior ao valor registrado em igual mês do ano anterior. </w:t>
      </w:r>
      <w:r w:rsidR="00084C40">
        <w:rPr>
          <w:rFonts w:ascii="Arial" w:hAnsi="Arial" w:cs="Arial"/>
          <w:color w:val="000000" w:themeColor="text1"/>
          <w:sz w:val="20"/>
          <w:szCs w:val="20"/>
        </w:rPr>
        <w:t xml:space="preserve">Esse aumento atribui-se à elevação de 3,2% no índice de preço, haja vista que o índice de </w:t>
      </w:r>
      <w:r w:rsidR="00084C40" w:rsidRPr="00084C40">
        <w:rPr>
          <w:rFonts w:ascii="Arial" w:hAnsi="Arial" w:cs="Arial"/>
          <w:i/>
          <w:color w:val="000000" w:themeColor="text1"/>
          <w:sz w:val="20"/>
          <w:szCs w:val="20"/>
        </w:rPr>
        <w:t>quantum</w:t>
      </w:r>
      <w:r w:rsidR="00084C40">
        <w:rPr>
          <w:rFonts w:ascii="Arial" w:hAnsi="Arial" w:cs="Arial"/>
          <w:color w:val="000000" w:themeColor="text1"/>
          <w:sz w:val="20"/>
          <w:szCs w:val="20"/>
        </w:rPr>
        <w:t xml:space="preserve"> caiu 0,5%. </w:t>
      </w:r>
      <w:r>
        <w:rPr>
          <w:rFonts w:ascii="Arial" w:hAnsi="Arial" w:cs="Arial"/>
          <w:color w:val="000000" w:themeColor="text1"/>
          <w:sz w:val="20"/>
          <w:szCs w:val="20"/>
        </w:rPr>
        <w:t xml:space="preserve">Para meses de abril, o montante de 2018 </w:t>
      </w:r>
      <w:r w:rsidR="006D375E">
        <w:rPr>
          <w:rFonts w:ascii="Arial" w:hAnsi="Arial" w:cs="Arial"/>
          <w:color w:val="000000" w:themeColor="text1"/>
          <w:sz w:val="20"/>
          <w:szCs w:val="20"/>
        </w:rPr>
        <w:t>foi</w:t>
      </w:r>
      <w:r>
        <w:rPr>
          <w:rFonts w:ascii="Arial" w:hAnsi="Arial" w:cs="Arial"/>
          <w:color w:val="000000" w:themeColor="text1"/>
          <w:sz w:val="20"/>
          <w:szCs w:val="20"/>
        </w:rPr>
        <w:t xml:space="preserve"> o terceiro maior da série histórica iniciada em 1997, situando-se abaixo apenas de 2013 e 2014.</w:t>
      </w:r>
      <w:r w:rsidR="00522768">
        <w:rPr>
          <w:rFonts w:ascii="Arial" w:hAnsi="Arial" w:cs="Arial"/>
          <w:color w:val="000000" w:themeColor="text1"/>
          <w:sz w:val="20"/>
          <w:szCs w:val="20"/>
        </w:rPr>
        <w:t xml:space="preserve"> Comparativamente ao total da pauta exportadora no mês, de US$ 19,84 bilhões, a participação do agronegócio foi de 44,8%, percentual inferior ao anotado em abril de 2017 (49,0%).</w:t>
      </w:r>
    </w:p>
    <w:p w:rsidR="00084C40" w:rsidRDefault="00084C40" w:rsidP="00202D83">
      <w:pPr>
        <w:pStyle w:val="Recuodecorpodetexto"/>
        <w:rPr>
          <w:rFonts w:ascii="Arial" w:hAnsi="Arial" w:cs="Arial"/>
          <w:color w:val="000000" w:themeColor="text1"/>
          <w:sz w:val="20"/>
          <w:szCs w:val="20"/>
        </w:rPr>
      </w:pPr>
    </w:p>
    <w:p w:rsidR="00084C40" w:rsidRDefault="0044631C" w:rsidP="00202D83">
      <w:pPr>
        <w:pStyle w:val="Recuodecorpodetexto"/>
        <w:rPr>
          <w:rFonts w:ascii="Arial" w:hAnsi="Arial" w:cs="Arial"/>
          <w:color w:val="000000" w:themeColor="text1"/>
          <w:sz w:val="20"/>
          <w:szCs w:val="20"/>
        </w:rPr>
      </w:pPr>
      <w:r>
        <w:rPr>
          <w:rFonts w:ascii="Arial" w:hAnsi="Arial" w:cs="Arial"/>
          <w:color w:val="000000" w:themeColor="text1"/>
          <w:sz w:val="20"/>
          <w:szCs w:val="20"/>
        </w:rPr>
        <w:t xml:space="preserve">Já as importações </w:t>
      </w:r>
      <w:r w:rsidR="00522768">
        <w:rPr>
          <w:rFonts w:ascii="Arial" w:hAnsi="Arial" w:cs="Arial"/>
          <w:color w:val="000000" w:themeColor="text1"/>
          <w:sz w:val="20"/>
          <w:szCs w:val="20"/>
        </w:rPr>
        <w:t xml:space="preserve">brasileiras do agronegócio </w:t>
      </w:r>
      <w:r>
        <w:rPr>
          <w:rFonts w:ascii="Arial" w:hAnsi="Arial" w:cs="Arial"/>
          <w:color w:val="000000" w:themeColor="text1"/>
          <w:sz w:val="20"/>
          <w:szCs w:val="20"/>
        </w:rPr>
        <w:t>chegaram a US$ 1,30 bilhão em abril de 2018, significando acréscimo de 19,6% sobre abril de 2017</w:t>
      </w:r>
      <w:r w:rsidR="00522768">
        <w:rPr>
          <w:rFonts w:ascii="Arial" w:hAnsi="Arial" w:cs="Arial"/>
          <w:color w:val="000000" w:themeColor="text1"/>
          <w:sz w:val="20"/>
          <w:szCs w:val="20"/>
        </w:rPr>
        <w:t>, por conta de</w:t>
      </w:r>
      <w:r w:rsidR="00084C40">
        <w:rPr>
          <w:rFonts w:ascii="Arial" w:hAnsi="Arial" w:cs="Arial"/>
          <w:color w:val="000000" w:themeColor="text1"/>
          <w:sz w:val="20"/>
          <w:szCs w:val="20"/>
        </w:rPr>
        <w:t xml:space="preserve"> aumentos de 0,3% no índice de preço e de 19,2% em </w:t>
      </w:r>
      <w:r w:rsidR="00084C40" w:rsidRPr="00084C40">
        <w:rPr>
          <w:rFonts w:ascii="Arial" w:hAnsi="Arial" w:cs="Arial"/>
          <w:i/>
          <w:color w:val="000000" w:themeColor="text1"/>
          <w:sz w:val="20"/>
          <w:szCs w:val="20"/>
        </w:rPr>
        <w:t>quantum</w:t>
      </w:r>
      <w:r w:rsidR="00084C40">
        <w:rPr>
          <w:rFonts w:ascii="Arial" w:hAnsi="Arial" w:cs="Arial"/>
          <w:color w:val="000000" w:themeColor="text1"/>
          <w:sz w:val="20"/>
          <w:szCs w:val="20"/>
        </w:rPr>
        <w:t>.</w:t>
      </w:r>
      <w:r w:rsidR="00522768" w:rsidRPr="00522768">
        <w:rPr>
          <w:rFonts w:ascii="Arial" w:hAnsi="Arial" w:cs="Arial"/>
          <w:color w:val="000000" w:themeColor="text1"/>
          <w:sz w:val="20"/>
          <w:szCs w:val="20"/>
        </w:rPr>
        <w:t xml:space="preserve"> </w:t>
      </w:r>
      <w:r w:rsidR="00522768">
        <w:rPr>
          <w:rFonts w:ascii="Arial" w:hAnsi="Arial" w:cs="Arial"/>
          <w:color w:val="000000" w:themeColor="text1"/>
          <w:sz w:val="20"/>
          <w:szCs w:val="20"/>
        </w:rPr>
        <w:t>Sobre o total das importações em abril de 2018,</w:t>
      </w:r>
      <w:r w:rsidR="00522768" w:rsidRPr="00522768">
        <w:rPr>
          <w:rFonts w:ascii="Arial" w:hAnsi="Arial" w:cs="Arial"/>
          <w:color w:val="000000" w:themeColor="text1"/>
          <w:sz w:val="20"/>
          <w:szCs w:val="20"/>
        </w:rPr>
        <w:t xml:space="preserve"> </w:t>
      </w:r>
      <w:r w:rsidR="00522768">
        <w:rPr>
          <w:rFonts w:ascii="Arial" w:hAnsi="Arial" w:cs="Arial"/>
          <w:color w:val="000000" w:themeColor="text1"/>
          <w:sz w:val="20"/>
          <w:szCs w:val="20"/>
        </w:rPr>
        <w:t>de US$ 13,79 bilhões, a participação do agronegócio recuou de 10,1% para 9,4% no período em análise.</w:t>
      </w:r>
    </w:p>
    <w:p w:rsidR="00084C40" w:rsidRDefault="00084C40" w:rsidP="00202D83">
      <w:pPr>
        <w:pStyle w:val="Recuodecorpodetexto"/>
        <w:rPr>
          <w:rFonts w:ascii="Arial" w:hAnsi="Arial" w:cs="Arial"/>
          <w:color w:val="000000" w:themeColor="text1"/>
          <w:sz w:val="20"/>
          <w:szCs w:val="20"/>
        </w:rPr>
      </w:pPr>
    </w:p>
    <w:p w:rsidR="00F749CF" w:rsidRPr="00DF6F33" w:rsidRDefault="0044631C" w:rsidP="00202D83">
      <w:pPr>
        <w:pStyle w:val="Recuodecorpodetexto"/>
        <w:rPr>
          <w:rFonts w:ascii="Arial" w:hAnsi="Arial" w:cs="Arial"/>
          <w:color w:val="000000" w:themeColor="text1"/>
          <w:sz w:val="20"/>
          <w:szCs w:val="20"/>
        </w:rPr>
      </w:pPr>
      <w:r>
        <w:rPr>
          <w:rFonts w:ascii="Arial" w:hAnsi="Arial" w:cs="Arial"/>
          <w:color w:val="000000" w:themeColor="text1"/>
          <w:sz w:val="20"/>
          <w:szCs w:val="20"/>
        </w:rPr>
        <w:t xml:space="preserve">Frente a esses resultados, a balança comercial </w:t>
      </w:r>
      <w:r w:rsidR="00522768">
        <w:rPr>
          <w:rFonts w:ascii="Arial" w:hAnsi="Arial" w:cs="Arial"/>
          <w:color w:val="000000" w:themeColor="text1"/>
          <w:sz w:val="20"/>
          <w:szCs w:val="20"/>
        </w:rPr>
        <w:t>de produtos agropecuários ger</w:t>
      </w:r>
      <w:r>
        <w:rPr>
          <w:rFonts w:ascii="Arial" w:hAnsi="Arial" w:cs="Arial"/>
          <w:color w:val="000000" w:themeColor="text1"/>
          <w:sz w:val="20"/>
          <w:szCs w:val="20"/>
        </w:rPr>
        <w:t xml:space="preserve">ou </w:t>
      </w:r>
      <w:r w:rsidR="00522768">
        <w:rPr>
          <w:rFonts w:ascii="Arial" w:hAnsi="Arial" w:cs="Arial"/>
          <w:color w:val="000000" w:themeColor="text1"/>
          <w:sz w:val="20"/>
          <w:szCs w:val="20"/>
        </w:rPr>
        <w:t xml:space="preserve">saldo positivo de </w:t>
      </w:r>
      <w:r>
        <w:rPr>
          <w:rFonts w:ascii="Arial" w:hAnsi="Arial" w:cs="Arial"/>
          <w:color w:val="000000" w:themeColor="text1"/>
          <w:sz w:val="20"/>
          <w:szCs w:val="20"/>
        </w:rPr>
        <w:t xml:space="preserve">US$ 7,59 bilhões em abril de 2018 contra US$ 7,57 bilhões contabilizados em abril de 2017. </w:t>
      </w:r>
      <w:r w:rsidR="00522768">
        <w:rPr>
          <w:rFonts w:ascii="Arial" w:hAnsi="Arial" w:cs="Arial"/>
          <w:color w:val="000000" w:themeColor="text1"/>
          <w:sz w:val="20"/>
          <w:szCs w:val="20"/>
        </w:rPr>
        <w:t>Vale citar que o superávit do agronegócio garantiu resultado positivo na balança comercial global do Brasil, visto que o comércio dos demais produtos resultou em déficit de US$ 1,55 bilhão em abril de 2018.</w:t>
      </w:r>
    </w:p>
    <w:p w:rsidR="001A1062" w:rsidRPr="00826906" w:rsidRDefault="001A1062" w:rsidP="00202D83">
      <w:pPr>
        <w:pStyle w:val="Recuodecorpodetexto"/>
        <w:rPr>
          <w:rFonts w:ascii="Arial" w:hAnsi="Arial" w:cs="Arial"/>
          <w:color w:val="000000" w:themeColor="text1"/>
          <w:sz w:val="20"/>
          <w:szCs w:val="20"/>
        </w:rPr>
      </w:pPr>
    </w:p>
    <w:p w:rsidR="005F69F8" w:rsidRDefault="005F69F8" w:rsidP="005F69F8">
      <w:pPr>
        <w:pStyle w:val="Ttulo5"/>
        <w:autoSpaceDE/>
        <w:autoSpaceDN/>
        <w:adjustRightInd/>
        <w:rPr>
          <w:rFonts w:ascii="Arial" w:hAnsi="Arial" w:cs="Arial"/>
          <w:sz w:val="20"/>
          <w:szCs w:val="20"/>
        </w:rPr>
      </w:pPr>
      <w:r w:rsidRPr="00826906">
        <w:rPr>
          <w:rFonts w:ascii="Arial" w:hAnsi="Arial" w:cs="Arial"/>
          <w:sz w:val="20"/>
          <w:szCs w:val="20"/>
        </w:rPr>
        <w:t>I.a – Setores do Agronegócio</w:t>
      </w:r>
    </w:p>
    <w:p w:rsidR="005C1E38" w:rsidRPr="00522768" w:rsidRDefault="005C1E38" w:rsidP="00522768">
      <w:pPr>
        <w:pStyle w:val="Recuodecorpodetexto"/>
        <w:rPr>
          <w:rFonts w:ascii="Arial" w:hAnsi="Arial" w:cs="Arial"/>
          <w:color w:val="000000" w:themeColor="text1"/>
          <w:sz w:val="20"/>
          <w:szCs w:val="20"/>
        </w:rPr>
      </w:pPr>
    </w:p>
    <w:p w:rsidR="002B1A0F" w:rsidRDefault="000E2E78" w:rsidP="000E2E78">
      <w:pPr>
        <w:pStyle w:val="Recuodecorpodetexto"/>
        <w:rPr>
          <w:rFonts w:ascii="Arial" w:hAnsi="Arial" w:cs="Arial"/>
          <w:color w:val="000000" w:themeColor="text1"/>
          <w:sz w:val="20"/>
          <w:szCs w:val="20"/>
        </w:rPr>
      </w:pPr>
      <w:r>
        <w:rPr>
          <w:rFonts w:ascii="Arial" w:hAnsi="Arial" w:cs="Arial"/>
          <w:color w:val="000000" w:themeColor="text1"/>
          <w:sz w:val="20"/>
          <w:szCs w:val="20"/>
        </w:rPr>
        <w:t>Em abril de 2018, a pauta de exportação do agronegócio</w:t>
      </w:r>
      <w:r w:rsidR="00290EE0">
        <w:rPr>
          <w:rFonts w:ascii="Arial" w:hAnsi="Arial" w:cs="Arial"/>
          <w:color w:val="000000" w:themeColor="text1"/>
          <w:sz w:val="20"/>
          <w:szCs w:val="20"/>
        </w:rPr>
        <w:t xml:space="preserve"> foi liderada pelos produtos do complexo soja, </w:t>
      </w:r>
      <w:r w:rsidR="00057F96">
        <w:rPr>
          <w:rFonts w:ascii="Arial" w:hAnsi="Arial" w:cs="Arial"/>
          <w:color w:val="000000" w:themeColor="text1"/>
          <w:sz w:val="20"/>
          <w:szCs w:val="20"/>
        </w:rPr>
        <w:t xml:space="preserve">os quais </w:t>
      </w:r>
      <w:r w:rsidR="00290EE0">
        <w:rPr>
          <w:rFonts w:ascii="Arial" w:hAnsi="Arial" w:cs="Arial"/>
          <w:color w:val="000000" w:themeColor="text1"/>
          <w:sz w:val="20"/>
          <w:szCs w:val="20"/>
        </w:rPr>
        <w:t>responde</w:t>
      </w:r>
      <w:r w:rsidR="00057F96">
        <w:rPr>
          <w:rFonts w:ascii="Arial" w:hAnsi="Arial" w:cs="Arial"/>
          <w:color w:val="000000" w:themeColor="text1"/>
          <w:sz w:val="20"/>
          <w:szCs w:val="20"/>
        </w:rPr>
        <w:t>ram</w:t>
      </w:r>
      <w:r w:rsidR="00290EE0">
        <w:rPr>
          <w:rFonts w:ascii="Arial" w:hAnsi="Arial" w:cs="Arial"/>
          <w:color w:val="000000" w:themeColor="text1"/>
          <w:sz w:val="20"/>
          <w:szCs w:val="20"/>
        </w:rPr>
        <w:t xml:space="preserve"> por mais da metade do valor </w:t>
      </w:r>
      <w:r w:rsidR="005C3E04">
        <w:rPr>
          <w:rFonts w:ascii="Arial" w:hAnsi="Arial" w:cs="Arial"/>
          <w:color w:val="000000" w:themeColor="text1"/>
          <w:sz w:val="20"/>
          <w:szCs w:val="20"/>
        </w:rPr>
        <w:t>total das vendas do agronegócio</w:t>
      </w:r>
      <w:r w:rsidR="00290EE0">
        <w:rPr>
          <w:rFonts w:ascii="Arial" w:hAnsi="Arial" w:cs="Arial"/>
          <w:color w:val="000000" w:themeColor="text1"/>
          <w:sz w:val="20"/>
          <w:szCs w:val="20"/>
        </w:rPr>
        <w:t xml:space="preserve"> no mês (54,6%). </w:t>
      </w:r>
      <w:r w:rsidR="005C3E04">
        <w:rPr>
          <w:rFonts w:ascii="Arial" w:hAnsi="Arial" w:cs="Arial"/>
          <w:color w:val="000000" w:themeColor="text1"/>
          <w:sz w:val="20"/>
          <w:szCs w:val="20"/>
        </w:rPr>
        <w:t xml:space="preserve">Diante da sazonalidade de escoamento da safra de soja, cujo ápice se dá normalmente entre março e junho, esse resultado não poderia ser diferente. As exportações de soja em grão atingiram US$ 4,11 bilhões em abril de 2018, equivalendo ao embarque de 10,26 milhões de toneladas. Comparativamente a abril de 2017, apontou-se decréscimo de 1,7% em quantidade e aumento </w:t>
      </w:r>
      <w:r w:rsidR="00F45F98">
        <w:rPr>
          <w:rFonts w:ascii="Arial" w:hAnsi="Arial" w:cs="Arial"/>
          <w:color w:val="000000" w:themeColor="text1"/>
          <w:sz w:val="20"/>
          <w:szCs w:val="20"/>
        </w:rPr>
        <w:t xml:space="preserve">de </w:t>
      </w:r>
      <w:r w:rsidR="005C3E04">
        <w:rPr>
          <w:rFonts w:ascii="Arial" w:hAnsi="Arial" w:cs="Arial"/>
          <w:color w:val="000000" w:themeColor="text1"/>
          <w:sz w:val="20"/>
          <w:szCs w:val="20"/>
        </w:rPr>
        <w:t>5,9% no preço médio.</w:t>
      </w:r>
      <w:r w:rsidR="00A7066B">
        <w:rPr>
          <w:rFonts w:ascii="Arial" w:hAnsi="Arial" w:cs="Arial"/>
          <w:color w:val="000000" w:themeColor="text1"/>
          <w:sz w:val="20"/>
          <w:szCs w:val="20"/>
        </w:rPr>
        <w:t xml:space="preserve"> O segundo item foi o farelo de soja, cujas exportações tiveram incremento de 30,7% (+16,9% em quantidade e +11,8% no preço médio), atingindo US$ 614,21 milhões em abril de 2018. Em volume, foram exportadas 1,55 milhão de toneladas de farelo de soja no mês, constituindo-se em recorde para meses de abril. Já as vendas de óleo de soja tiveram decréscimo de 3,7% (-5,6% em quantidade e +2,0% no preço médio), caindo para US$ 129,15 milhões.</w:t>
      </w:r>
    </w:p>
    <w:p w:rsidR="00F45F98" w:rsidRDefault="00F45F98" w:rsidP="000E2E78">
      <w:pPr>
        <w:pStyle w:val="Recuodecorpodetexto"/>
        <w:rPr>
          <w:rFonts w:ascii="Arial" w:hAnsi="Arial" w:cs="Arial"/>
          <w:color w:val="000000" w:themeColor="text1"/>
          <w:sz w:val="20"/>
          <w:szCs w:val="20"/>
        </w:rPr>
      </w:pPr>
    </w:p>
    <w:p w:rsidR="00F45F98" w:rsidRDefault="00575EB6" w:rsidP="000E2E78">
      <w:pPr>
        <w:pStyle w:val="Recuodecorpodetexto"/>
        <w:rPr>
          <w:rFonts w:ascii="Arial" w:hAnsi="Arial" w:cs="Arial"/>
          <w:color w:val="000000" w:themeColor="text1"/>
          <w:sz w:val="20"/>
          <w:szCs w:val="20"/>
        </w:rPr>
      </w:pPr>
      <w:r>
        <w:rPr>
          <w:rFonts w:ascii="Arial" w:hAnsi="Arial" w:cs="Arial"/>
          <w:color w:val="000000" w:themeColor="text1"/>
          <w:sz w:val="20"/>
          <w:szCs w:val="20"/>
        </w:rPr>
        <w:t xml:space="preserve">O segundo setor com maior valor de exportação </w:t>
      </w:r>
      <w:r w:rsidR="00906693">
        <w:rPr>
          <w:rFonts w:ascii="Arial" w:hAnsi="Arial" w:cs="Arial"/>
          <w:color w:val="000000" w:themeColor="text1"/>
          <w:sz w:val="20"/>
          <w:szCs w:val="20"/>
        </w:rPr>
        <w:t xml:space="preserve">em abril de 2018 </w:t>
      </w:r>
      <w:r>
        <w:rPr>
          <w:rFonts w:ascii="Arial" w:hAnsi="Arial" w:cs="Arial"/>
          <w:color w:val="000000" w:themeColor="text1"/>
          <w:sz w:val="20"/>
          <w:szCs w:val="20"/>
        </w:rPr>
        <w:t>foi o de produtos florestais (13,0% sobre o total do agronegócio), puxado pelas vendas de celulose</w:t>
      </w:r>
      <w:r w:rsidR="00394C37">
        <w:rPr>
          <w:rFonts w:ascii="Arial" w:hAnsi="Arial" w:cs="Arial"/>
          <w:color w:val="000000" w:themeColor="text1"/>
          <w:sz w:val="20"/>
          <w:szCs w:val="20"/>
        </w:rPr>
        <w:t>, que, por sua vez, seguem embaladas pela demanda chinesa crescente</w:t>
      </w:r>
      <w:r>
        <w:rPr>
          <w:rFonts w:ascii="Arial" w:hAnsi="Arial" w:cs="Arial"/>
          <w:color w:val="000000" w:themeColor="text1"/>
          <w:sz w:val="20"/>
          <w:szCs w:val="20"/>
        </w:rPr>
        <w:t xml:space="preserve">. </w:t>
      </w:r>
      <w:r w:rsidR="00D43BB8">
        <w:rPr>
          <w:rFonts w:ascii="Arial" w:hAnsi="Arial" w:cs="Arial"/>
          <w:color w:val="000000" w:themeColor="text1"/>
          <w:sz w:val="20"/>
          <w:szCs w:val="20"/>
        </w:rPr>
        <w:t>A</w:t>
      </w:r>
      <w:r>
        <w:rPr>
          <w:rFonts w:ascii="Arial" w:hAnsi="Arial" w:cs="Arial"/>
          <w:color w:val="000000" w:themeColor="text1"/>
          <w:sz w:val="20"/>
          <w:szCs w:val="20"/>
        </w:rPr>
        <w:t xml:space="preserve">s exportações de </w:t>
      </w:r>
      <w:r w:rsidR="00D43BB8">
        <w:rPr>
          <w:rFonts w:ascii="Arial" w:hAnsi="Arial" w:cs="Arial"/>
          <w:color w:val="000000" w:themeColor="text1"/>
          <w:sz w:val="20"/>
          <w:szCs w:val="20"/>
        </w:rPr>
        <w:t xml:space="preserve">1,17 milhão de toneladas de </w:t>
      </w:r>
      <w:r>
        <w:rPr>
          <w:rFonts w:ascii="Arial" w:hAnsi="Arial" w:cs="Arial"/>
          <w:color w:val="000000" w:themeColor="text1"/>
          <w:sz w:val="20"/>
          <w:szCs w:val="20"/>
        </w:rPr>
        <w:t xml:space="preserve">celulose renderam US$ </w:t>
      </w:r>
      <w:r w:rsidR="00D43BB8">
        <w:rPr>
          <w:rFonts w:ascii="Arial" w:hAnsi="Arial" w:cs="Arial"/>
          <w:color w:val="000000" w:themeColor="text1"/>
          <w:sz w:val="20"/>
          <w:szCs w:val="20"/>
        </w:rPr>
        <w:t>643,80 milhões, implicando aumento de 40,3% no valor exportado em comparação a igual mês do ano anterior (+10,4% em quantidade e +27,0% no preço médio). Esse crescimento expressivo proporcionou novo recorde em valor e quantidade exportados de celulose para meses de abril.</w:t>
      </w:r>
      <w:r w:rsidR="003A7F11">
        <w:rPr>
          <w:rFonts w:ascii="Arial" w:hAnsi="Arial" w:cs="Arial"/>
          <w:color w:val="000000" w:themeColor="text1"/>
          <w:sz w:val="20"/>
          <w:szCs w:val="20"/>
        </w:rPr>
        <w:t xml:space="preserve"> As vendas de madeira e suas obras totalizaram US$ 331,97 milhões, suplantando em 28,1% o valor de abril de 2017 (+34,4% em quantidade e -4,6% no preço médio).</w:t>
      </w:r>
      <w:r w:rsidR="00392C3A">
        <w:rPr>
          <w:rFonts w:ascii="Arial" w:hAnsi="Arial" w:cs="Arial"/>
          <w:color w:val="000000" w:themeColor="text1"/>
          <w:sz w:val="20"/>
          <w:szCs w:val="20"/>
        </w:rPr>
        <w:t xml:space="preserve"> A franca expansão das vendas </w:t>
      </w:r>
      <w:r w:rsidR="00C7217B">
        <w:rPr>
          <w:rFonts w:ascii="Arial" w:hAnsi="Arial" w:cs="Arial"/>
          <w:color w:val="000000" w:themeColor="text1"/>
          <w:sz w:val="20"/>
          <w:szCs w:val="20"/>
        </w:rPr>
        <w:t xml:space="preserve">de madeira </w:t>
      </w:r>
      <w:r w:rsidR="00392C3A">
        <w:rPr>
          <w:rFonts w:ascii="Arial" w:hAnsi="Arial" w:cs="Arial"/>
          <w:color w:val="000000" w:themeColor="text1"/>
          <w:sz w:val="20"/>
          <w:szCs w:val="20"/>
        </w:rPr>
        <w:t>aos Estados Unidos</w:t>
      </w:r>
      <w:r w:rsidR="00825B8E">
        <w:rPr>
          <w:rFonts w:ascii="Arial" w:hAnsi="Arial" w:cs="Arial"/>
          <w:color w:val="000000" w:themeColor="text1"/>
          <w:sz w:val="20"/>
          <w:szCs w:val="20"/>
        </w:rPr>
        <w:t xml:space="preserve"> (+21,6%)</w:t>
      </w:r>
      <w:r w:rsidR="00392C3A">
        <w:rPr>
          <w:rFonts w:ascii="Arial" w:hAnsi="Arial" w:cs="Arial"/>
          <w:color w:val="000000" w:themeColor="text1"/>
          <w:sz w:val="20"/>
          <w:szCs w:val="20"/>
        </w:rPr>
        <w:t xml:space="preserve">, </w:t>
      </w:r>
      <w:r w:rsidR="00C748F8">
        <w:rPr>
          <w:rFonts w:ascii="Arial" w:hAnsi="Arial" w:cs="Arial"/>
          <w:color w:val="000000" w:themeColor="text1"/>
          <w:sz w:val="20"/>
          <w:szCs w:val="20"/>
        </w:rPr>
        <w:t>motivada pela recuperação</w:t>
      </w:r>
      <w:r w:rsidR="00825B8E">
        <w:rPr>
          <w:rFonts w:ascii="Arial" w:hAnsi="Arial" w:cs="Arial"/>
          <w:color w:val="000000" w:themeColor="text1"/>
          <w:sz w:val="20"/>
          <w:szCs w:val="20"/>
        </w:rPr>
        <w:t xml:space="preserve"> gradual</w:t>
      </w:r>
      <w:r w:rsidR="00C748F8">
        <w:rPr>
          <w:rFonts w:ascii="Arial" w:hAnsi="Arial" w:cs="Arial"/>
          <w:color w:val="000000" w:themeColor="text1"/>
          <w:sz w:val="20"/>
          <w:szCs w:val="20"/>
        </w:rPr>
        <w:t xml:space="preserve"> do setor de construção daquele país</w:t>
      </w:r>
      <w:r w:rsidR="00392C3A">
        <w:rPr>
          <w:rFonts w:ascii="Arial" w:hAnsi="Arial" w:cs="Arial"/>
          <w:color w:val="000000" w:themeColor="text1"/>
          <w:sz w:val="20"/>
          <w:szCs w:val="20"/>
        </w:rPr>
        <w:t xml:space="preserve">, </w:t>
      </w:r>
      <w:r w:rsidR="00825B8E">
        <w:rPr>
          <w:rFonts w:ascii="Arial" w:hAnsi="Arial" w:cs="Arial"/>
          <w:color w:val="000000" w:themeColor="text1"/>
          <w:sz w:val="20"/>
          <w:szCs w:val="20"/>
        </w:rPr>
        <w:t xml:space="preserve">contribuiu em </w:t>
      </w:r>
      <w:r w:rsidR="00392C3A">
        <w:rPr>
          <w:rFonts w:ascii="Arial" w:hAnsi="Arial" w:cs="Arial"/>
          <w:color w:val="000000" w:themeColor="text1"/>
          <w:sz w:val="20"/>
          <w:szCs w:val="20"/>
        </w:rPr>
        <w:t xml:space="preserve">parte </w:t>
      </w:r>
      <w:r w:rsidR="00825B8E">
        <w:rPr>
          <w:rFonts w:ascii="Arial" w:hAnsi="Arial" w:cs="Arial"/>
          <w:color w:val="000000" w:themeColor="text1"/>
          <w:sz w:val="20"/>
          <w:szCs w:val="20"/>
        </w:rPr>
        <w:t xml:space="preserve">para </w:t>
      </w:r>
      <w:r w:rsidR="00392C3A">
        <w:rPr>
          <w:rFonts w:ascii="Arial" w:hAnsi="Arial" w:cs="Arial"/>
          <w:color w:val="000000" w:themeColor="text1"/>
          <w:sz w:val="20"/>
          <w:szCs w:val="20"/>
        </w:rPr>
        <w:t>esse avanço.</w:t>
      </w:r>
      <w:r w:rsidR="00C748F8">
        <w:rPr>
          <w:rFonts w:ascii="Arial" w:hAnsi="Arial" w:cs="Arial"/>
          <w:color w:val="000000" w:themeColor="text1"/>
          <w:sz w:val="20"/>
          <w:szCs w:val="20"/>
        </w:rPr>
        <w:t xml:space="preserve"> As exportações de papel também mostraram evolução</w:t>
      </w:r>
      <w:r w:rsidR="00C7217B">
        <w:rPr>
          <w:rFonts w:ascii="Arial" w:hAnsi="Arial" w:cs="Arial"/>
          <w:color w:val="000000" w:themeColor="text1"/>
          <w:sz w:val="20"/>
          <w:szCs w:val="20"/>
        </w:rPr>
        <w:t xml:space="preserve"> no período</w:t>
      </w:r>
      <w:r w:rsidR="00C748F8">
        <w:rPr>
          <w:rFonts w:ascii="Arial" w:hAnsi="Arial" w:cs="Arial"/>
          <w:color w:val="000000" w:themeColor="text1"/>
          <w:sz w:val="20"/>
          <w:szCs w:val="20"/>
        </w:rPr>
        <w:t>, com crescimento de 28,1% (+9,0% em quantidade e +17,5% no preço médio)</w:t>
      </w:r>
      <w:r w:rsidR="00825B8E">
        <w:rPr>
          <w:rFonts w:ascii="Arial" w:hAnsi="Arial" w:cs="Arial"/>
          <w:color w:val="000000" w:themeColor="text1"/>
          <w:sz w:val="20"/>
          <w:szCs w:val="20"/>
        </w:rPr>
        <w:t>, tendo como principais destinos Argentina, Estados Unidos, União Europeia, Chile, Peru e Paraguai</w:t>
      </w:r>
      <w:r w:rsidR="00C7217B">
        <w:rPr>
          <w:rFonts w:ascii="Arial" w:hAnsi="Arial" w:cs="Arial"/>
          <w:color w:val="000000" w:themeColor="text1"/>
          <w:sz w:val="20"/>
          <w:szCs w:val="20"/>
        </w:rPr>
        <w:t>.</w:t>
      </w:r>
    </w:p>
    <w:p w:rsidR="00C748F8" w:rsidRDefault="00C748F8" w:rsidP="000E2E78">
      <w:pPr>
        <w:pStyle w:val="Recuodecorpodetexto"/>
        <w:rPr>
          <w:rFonts w:ascii="Arial" w:hAnsi="Arial" w:cs="Arial"/>
          <w:color w:val="000000" w:themeColor="text1"/>
          <w:sz w:val="20"/>
          <w:szCs w:val="20"/>
        </w:rPr>
      </w:pPr>
    </w:p>
    <w:p w:rsidR="00C748F8" w:rsidRDefault="00825B8E" w:rsidP="000E2E78">
      <w:pPr>
        <w:pStyle w:val="Recuodecorpodetexto"/>
        <w:rPr>
          <w:rFonts w:ascii="Arial" w:hAnsi="Arial" w:cs="Arial"/>
          <w:color w:val="000000" w:themeColor="text1"/>
          <w:sz w:val="20"/>
          <w:szCs w:val="20"/>
        </w:rPr>
      </w:pPr>
      <w:r>
        <w:rPr>
          <w:rFonts w:ascii="Arial" w:hAnsi="Arial" w:cs="Arial"/>
          <w:color w:val="000000" w:themeColor="text1"/>
          <w:sz w:val="20"/>
          <w:szCs w:val="20"/>
        </w:rPr>
        <w:t>As exportações de carnes, terceiro setor da pauta, registraram queda de 11,9%, caindo de US$ 1,08 bilhão para US$ 948,30 milhões entre abril de 2017 e 2018.</w:t>
      </w:r>
      <w:r w:rsidR="009E418C">
        <w:rPr>
          <w:rFonts w:ascii="Arial" w:hAnsi="Arial" w:cs="Arial"/>
          <w:color w:val="000000" w:themeColor="text1"/>
          <w:sz w:val="20"/>
          <w:szCs w:val="20"/>
        </w:rPr>
        <w:t xml:space="preserve"> Todos os segmentos tiveram queda nas exportações, contudo o maior impacto </w:t>
      </w:r>
      <w:r w:rsidR="002F4059">
        <w:rPr>
          <w:rFonts w:ascii="Arial" w:hAnsi="Arial" w:cs="Arial"/>
          <w:color w:val="000000" w:themeColor="text1"/>
          <w:sz w:val="20"/>
          <w:szCs w:val="20"/>
        </w:rPr>
        <w:t xml:space="preserve">em valores absolutos </w:t>
      </w:r>
      <w:r w:rsidR="009E418C">
        <w:rPr>
          <w:rFonts w:ascii="Arial" w:hAnsi="Arial" w:cs="Arial"/>
          <w:color w:val="000000" w:themeColor="text1"/>
          <w:sz w:val="20"/>
          <w:szCs w:val="20"/>
        </w:rPr>
        <w:t xml:space="preserve">sobreveio da redução de carne de frango (-US$ 66,83 milhões), com destaque para a retração nas vendas à Arábia Saudita (-US$ 31,87 milhões), União Europeia (-US$ 15,96 milhões), Egito (-US$ 11,83 milhões) e Japão (-US$ 11,76 milhões). </w:t>
      </w:r>
      <w:r w:rsidR="003F10A8">
        <w:rPr>
          <w:rFonts w:ascii="Arial" w:hAnsi="Arial" w:cs="Arial"/>
          <w:color w:val="000000" w:themeColor="text1"/>
          <w:sz w:val="20"/>
          <w:szCs w:val="20"/>
        </w:rPr>
        <w:t xml:space="preserve">As vendas de carne suína retrocederam 28,6% (-US$ 37,19 milhões) em abril de 2018, reflexo, sobretudo, do embargo russo ao produto brasileiro, que significou queda de US$ </w:t>
      </w:r>
      <w:r w:rsidR="002F4059">
        <w:rPr>
          <w:rFonts w:ascii="Arial" w:hAnsi="Arial" w:cs="Arial"/>
          <w:color w:val="000000" w:themeColor="text1"/>
          <w:sz w:val="20"/>
          <w:szCs w:val="20"/>
        </w:rPr>
        <w:t xml:space="preserve">69,63 milhões no período. O prejuízo não foi maior em virtude do aumento das vendas à China (+219,1%), implicando adicional de US$ 17,37 milhões. A carne bovina também teve desempenho negativo, embora em menor </w:t>
      </w:r>
      <w:r w:rsidR="003143F7">
        <w:rPr>
          <w:rFonts w:ascii="Arial" w:hAnsi="Arial" w:cs="Arial"/>
          <w:color w:val="000000" w:themeColor="text1"/>
          <w:sz w:val="20"/>
          <w:szCs w:val="20"/>
        </w:rPr>
        <w:t>intensidade</w:t>
      </w:r>
      <w:r w:rsidR="002F4059">
        <w:rPr>
          <w:rFonts w:ascii="Arial" w:hAnsi="Arial" w:cs="Arial"/>
          <w:color w:val="000000" w:themeColor="text1"/>
          <w:sz w:val="20"/>
          <w:szCs w:val="20"/>
        </w:rPr>
        <w:t xml:space="preserve">, com as vendas caindo 3,5%, de </w:t>
      </w:r>
      <w:r w:rsidR="003143F7">
        <w:rPr>
          <w:rFonts w:ascii="Arial" w:hAnsi="Arial" w:cs="Arial"/>
          <w:color w:val="000000" w:themeColor="text1"/>
          <w:sz w:val="20"/>
          <w:szCs w:val="20"/>
        </w:rPr>
        <w:t xml:space="preserve">US$ 361,28 milhões para US$ 348,48 milhões entre os meses de abril de 2017 e 2018. As reduções das vendas à Rússia (-US$ 33,00 milhões) e aos Estados Unidos (-US$ 13,47 milhões) foram determinantes para justificar a queda. Em contrapartida, </w:t>
      </w:r>
      <w:r w:rsidR="002C2F67">
        <w:rPr>
          <w:rFonts w:ascii="Arial" w:hAnsi="Arial" w:cs="Arial"/>
          <w:color w:val="000000" w:themeColor="text1"/>
          <w:sz w:val="20"/>
          <w:szCs w:val="20"/>
        </w:rPr>
        <w:t>houve crescimento expressivo das vendas de carne bovina ao Chile no período, de US$ 14,58 milhões para US$ 43,98 milhões, o que atenuou a queda impactada pela Rússia.</w:t>
      </w:r>
    </w:p>
    <w:p w:rsidR="00C748F8" w:rsidRDefault="00C748F8" w:rsidP="000E2E78">
      <w:pPr>
        <w:pStyle w:val="Recuodecorpodetexto"/>
        <w:rPr>
          <w:rFonts w:ascii="Arial" w:hAnsi="Arial" w:cs="Arial"/>
          <w:color w:val="000000" w:themeColor="text1"/>
          <w:sz w:val="20"/>
          <w:szCs w:val="20"/>
        </w:rPr>
      </w:pPr>
    </w:p>
    <w:p w:rsidR="002C2F67" w:rsidRDefault="00041459" w:rsidP="000E2E78">
      <w:pPr>
        <w:pStyle w:val="Recuodecorpodetexto"/>
        <w:rPr>
          <w:rFonts w:ascii="Arial" w:hAnsi="Arial" w:cs="Arial"/>
          <w:color w:val="000000" w:themeColor="text1"/>
          <w:sz w:val="20"/>
          <w:szCs w:val="20"/>
        </w:rPr>
      </w:pPr>
      <w:r>
        <w:rPr>
          <w:rFonts w:ascii="Arial" w:hAnsi="Arial" w:cs="Arial"/>
          <w:color w:val="000000" w:themeColor="text1"/>
          <w:sz w:val="20"/>
          <w:szCs w:val="20"/>
        </w:rPr>
        <w:t xml:space="preserve">O complexo sucroalcooleiro registrou queda de 51,3% nas exportações em abril de 2018, posicionando-se na quarta posição entre os principais setores da pauta. A forte retração nas vendas de açúcar (-52,8%) comprometeu o desempenho do setor, significando decréscimo de US$ 381,96 milhões. Houve quedas de 37,0% no volume embarcado e de </w:t>
      </w:r>
      <w:r w:rsidR="005B1A76">
        <w:rPr>
          <w:rFonts w:ascii="Arial" w:hAnsi="Arial" w:cs="Arial"/>
          <w:color w:val="000000" w:themeColor="text1"/>
          <w:sz w:val="20"/>
          <w:szCs w:val="20"/>
        </w:rPr>
        <w:t>25,0% no preço médio.</w:t>
      </w:r>
      <w:r w:rsidR="005F7628">
        <w:rPr>
          <w:rFonts w:ascii="Arial" w:hAnsi="Arial" w:cs="Arial"/>
          <w:color w:val="000000" w:themeColor="text1"/>
          <w:sz w:val="20"/>
          <w:szCs w:val="20"/>
        </w:rPr>
        <w:t xml:space="preserve"> A estimativa de aumento da produção de açúcar pelos países produtores prevista para 2017/2018 sugere que os preços não deverão ter uma recuperação neste ano. O USDA prevê crescimentos para a Índia (+25,0%), União Europeia (+21,8%), Tailândia (+11,9%) e China.</w:t>
      </w:r>
      <w:r w:rsidR="00153E37">
        <w:rPr>
          <w:rFonts w:ascii="Arial" w:hAnsi="Arial" w:cs="Arial"/>
          <w:color w:val="000000" w:themeColor="text1"/>
          <w:sz w:val="20"/>
          <w:szCs w:val="20"/>
        </w:rPr>
        <w:t xml:space="preserve"> Estes são os principais produtores mundiais, abaixo do Brasil. A queda nas exportações brasileiras de açúcar ocorreu nos principais mercados: Oriente Médio (-US$ 204,56 milhões), Ásia (-US$ 172,73 milhões) e África (-US$ 113,25 milhões).</w:t>
      </w:r>
    </w:p>
    <w:p w:rsidR="00551E1E" w:rsidRDefault="00551E1E" w:rsidP="000E2E78">
      <w:pPr>
        <w:pStyle w:val="Recuodecorpodetexto"/>
        <w:rPr>
          <w:rFonts w:ascii="Arial" w:hAnsi="Arial" w:cs="Arial"/>
          <w:color w:val="000000" w:themeColor="text1"/>
          <w:sz w:val="20"/>
          <w:szCs w:val="20"/>
        </w:rPr>
      </w:pPr>
    </w:p>
    <w:p w:rsidR="00671FD4" w:rsidRDefault="00551E1E" w:rsidP="000E2E78">
      <w:pPr>
        <w:pStyle w:val="Recuodecorpodetexto"/>
        <w:rPr>
          <w:rFonts w:ascii="Arial" w:hAnsi="Arial" w:cs="Arial"/>
          <w:color w:val="000000" w:themeColor="text1"/>
          <w:sz w:val="20"/>
          <w:szCs w:val="20"/>
        </w:rPr>
      </w:pPr>
      <w:r>
        <w:rPr>
          <w:rFonts w:ascii="Arial" w:hAnsi="Arial" w:cs="Arial"/>
          <w:color w:val="000000" w:themeColor="text1"/>
          <w:sz w:val="20"/>
          <w:szCs w:val="20"/>
        </w:rPr>
        <w:t>As exportações de caf</w:t>
      </w:r>
      <w:r w:rsidR="00324262">
        <w:rPr>
          <w:rFonts w:ascii="Arial" w:hAnsi="Arial" w:cs="Arial"/>
          <w:color w:val="000000" w:themeColor="text1"/>
          <w:sz w:val="20"/>
          <w:szCs w:val="20"/>
        </w:rPr>
        <w:t>é foram de US$ 349,93 milhões (-8,9%)</w:t>
      </w:r>
      <w:r w:rsidR="00A40673">
        <w:rPr>
          <w:rFonts w:ascii="Arial" w:hAnsi="Arial" w:cs="Arial"/>
          <w:color w:val="000000" w:themeColor="text1"/>
          <w:sz w:val="20"/>
          <w:szCs w:val="20"/>
        </w:rPr>
        <w:t>,</w:t>
      </w:r>
      <w:r w:rsidR="00324262">
        <w:rPr>
          <w:rFonts w:ascii="Arial" w:hAnsi="Arial" w:cs="Arial"/>
          <w:color w:val="000000" w:themeColor="text1"/>
          <w:sz w:val="20"/>
          <w:szCs w:val="20"/>
        </w:rPr>
        <w:t xml:space="preserve"> colocando o setor</w:t>
      </w:r>
      <w:r>
        <w:rPr>
          <w:rFonts w:ascii="Arial" w:hAnsi="Arial" w:cs="Arial"/>
          <w:color w:val="000000" w:themeColor="text1"/>
          <w:sz w:val="20"/>
          <w:szCs w:val="20"/>
        </w:rPr>
        <w:t xml:space="preserve"> na quinta posição </w:t>
      </w:r>
      <w:r w:rsidR="00324262">
        <w:rPr>
          <w:rFonts w:ascii="Arial" w:hAnsi="Arial" w:cs="Arial"/>
          <w:color w:val="000000" w:themeColor="text1"/>
          <w:sz w:val="20"/>
          <w:szCs w:val="20"/>
        </w:rPr>
        <w:t xml:space="preserve">entre os principais produtos do agronegócio. </w:t>
      </w:r>
      <w:r w:rsidR="00671FD4">
        <w:rPr>
          <w:rFonts w:ascii="Arial" w:hAnsi="Arial" w:cs="Arial"/>
          <w:color w:val="000000" w:themeColor="text1"/>
          <w:sz w:val="20"/>
          <w:szCs w:val="20"/>
        </w:rPr>
        <w:t>As vendas externas de café verde foram de US$ 295,74 milhões (-10,3%) enquanto as exportações de café solúvel foram de US$ 47,28 milhões (+1,1%).</w:t>
      </w:r>
    </w:p>
    <w:p w:rsidR="00671FD4" w:rsidRDefault="00671FD4" w:rsidP="000E2E78">
      <w:pPr>
        <w:pStyle w:val="Recuodecorpodetexto"/>
        <w:rPr>
          <w:rFonts w:ascii="Arial" w:hAnsi="Arial" w:cs="Arial"/>
          <w:color w:val="000000" w:themeColor="text1"/>
          <w:sz w:val="20"/>
          <w:szCs w:val="20"/>
        </w:rPr>
      </w:pPr>
    </w:p>
    <w:p w:rsidR="00551E1E" w:rsidRDefault="00A40673" w:rsidP="004B63F1">
      <w:pPr>
        <w:pStyle w:val="Recuodecorpodetexto"/>
        <w:rPr>
          <w:rFonts w:ascii="Arial" w:hAnsi="Arial" w:cs="Arial"/>
          <w:color w:val="000000" w:themeColor="text1"/>
          <w:sz w:val="20"/>
          <w:szCs w:val="20"/>
        </w:rPr>
      </w:pPr>
      <w:r>
        <w:rPr>
          <w:rFonts w:ascii="Arial" w:hAnsi="Arial" w:cs="Arial"/>
          <w:color w:val="000000" w:themeColor="text1"/>
          <w:sz w:val="20"/>
          <w:szCs w:val="20"/>
        </w:rPr>
        <w:t xml:space="preserve">Esses cinco setores acima descritos foram responsáveis por </w:t>
      </w:r>
      <w:r w:rsidR="004B63F1">
        <w:rPr>
          <w:rFonts w:ascii="Arial" w:hAnsi="Arial" w:cs="Arial"/>
          <w:color w:val="000000" w:themeColor="text1"/>
          <w:sz w:val="20"/>
          <w:szCs w:val="20"/>
        </w:rPr>
        <w:t>86,6% do valor total das exportações brasileiras do agronegócio no mês de abril de 2018. Em abril de 2017, esses mesmos setores responderam por 88,6% do total das exportações do agronegócio. As exportações demais setores do agronegócio subiram de US$ 991,19 milhões em abril de 2017 para US$ 1,20 bilh</w:t>
      </w:r>
      <w:r w:rsidR="0018353B">
        <w:rPr>
          <w:rFonts w:ascii="Arial" w:hAnsi="Arial" w:cs="Arial"/>
          <w:color w:val="000000" w:themeColor="text1"/>
          <w:sz w:val="20"/>
          <w:szCs w:val="20"/>
        </w:rPr>
        <w:t>ão em abril de 2018, o que representou um crescimento de 20,7% nas vendas externas desses setores. O forte crescimento nas vendas dos demais setores possibilitou essa desconcentração de 2,0 pontos percentuais na participação dos cinco principais setores exportadores.</w:t>
      </w:r>
    </w:p>
    <w:p w:rsidR="0018353B" w:rsidRDefault="0018353B" w:rsidP="004B63F1">
      <w:pPr>
        <w:pStyle w:val="Recuodecorpodetexto"/>
        <w:rPr>
          <w:rFonts w:ascii="Arial" w:hAnsi="Arial" w:cs="Arial"/>
          <w:color w:val="000000" w:themeColor="text1"/>
          <w:sz w:val="20"/>
          <w:szCs w:val="20"/>
        </w:rPr>
      </w:pPr>
    </w:p>
    <w:p w:rsidR="0018353B" w:rsidRDefault="005C62C4" w:rsidP="004B63F1">
      <w:pPr>
        <w:pStyle w:val="Recuodecorpodetexto"/>
        <w:rPr>
          <w:rFonts w:ascii="Arial" w:hAnsi="Arial" w:cs="Arial"/>
          <w:color w:val="000000" w:themeColor="text1"/>
          <w:sz w:val="20"/>
          <w:szCs w:val="20"/>
        </w:rPr>
      </w:pPr>
      <w:r>
        <w:rPr>
          <w:rFonts w:ascii="Arial" w:hAnsi="Arial" w:cs="Arial"/>
          <w:color w:val="000000" w:themeColor="text1"/>
          <w:sz w:val="20"/>
          <w:szCs w:val="20"/>
        </w:rPr>
        <w:t xml:space="preserve">As importações de produtos </w:t>
      </w:r>
      <w:r w:rsidR="00992AF4">
        <w:rPr>
          <w:rFonts w:ascii="Arial" w:hAnsi="Arial" w:cs="Arial"/>
          <w:color w:val="000000" w:themeColor="text1"/>
          <w:sz w:val="20"/>
          <w:szCs w:val="20"/>
        </w:rPr>
        <w:t>do agronegócio subiram de US$ 1,09 bilhão em abril de 2017 para US$ 1,30 bilhão em abril de 2018 (+19,6%). Os principais países importados foram: álcool etílico (US$ 165,47 milhões; +200,3%); trigo (US$ 130,24 milhões; +47,8%); papel (US$ 74,38 milhões; +6,6%); vestuário e outros produtos têxteis de algodão (US$ 54,97 milhões; +52,9%); malte (US$ 50,37 milhões; +117,5%); salmões (US$ 43,37 milhões); e azeite de oliva (US$ 42,16 milh</w:t>
      </w:r>
      <w:r w:rsidR="009226A6">
        <w:rPr>
          <w:rFonts w:ascii="Arial" w:hAnsi="Arial" w:cs="Arial"/>
          <w:color w:val="000000" w:themeColor="text1"/>
          <w:sz w:val="20"/>
          <w:szCs w:val="20"/>
        </w:rPr>
        <w:t>ões; +71,0%</w:t>
      </w:r>
      <w:r w:rsidR="00992AF4">
        <w:rPr>
          <w:rFonts w:ascii="Arial" w:hAnsi="Arial" w:cs="Arial"/>
          <w:color w:val="000000" w:themeColor="text1"/>
          <w:sz w:val="20"/>
          <w:szCs w:val="20"/>
        </w:rPr>
        <w:t>)</w:t>
      </w:r>
      <w:r w:rsidR="009226A6">
        <w:rPr>
          <w:rFonts w:ascii="Arial" w:hAnsi="Arial" w:cs="Arial"/>
          <w:color w:val="000000" w:themeColor="text1"/>
          <w:sz w:val="20"/>
          <w:szCs w:val="20"/>
        </w:rPr>
        <w:t>.</w:t>
      </w:r>
    </w:p>
    <w:p w:rsidR="00153E37" w:rsidRDefault="00153E37" w:rsidP="000E2E78">
      <w:pPr>
        <w:pStyle w:val="Recuodecorpodetexto"/>
        <w:rPr>
          <w:rFonts w:ascii="Arial" w:hAnsi="Arial" w:cs="Arial"/>
          <w:color w:val="000000" w:themeColor="text1"/>
          <w:sz w:val="20"/>
          <w:szCs w:val="20"/>
        </w:rPr>
      </w:pPr>
    </w:p>
    <w:p w:rsidR="00153E37" w:rsidRDefault="00153E37" w:rsidP="000E2E78">
      <w:pPr>
        <w:pStyle w:val="Recuodecorpodetexto"/>
        <w:rPr>
          <w:rFonts w:ascii="Arial" w:hAnsi="Arial" w:cs="Arial"/>
          <w:color w:val="000000" w:themeColor="text1"/>
          <w:sz w:val="20"/>
          <w:szCs w:val="20"/>
        </w:rPr>
      </w:pPr>
    </w:p>
    <w:p w:rsidR="00153E37" w:rsidRPr="000E2E78" w:rsidRDefault="00153E37" w:rsidP="000E2E78">
      <w:pPr>
        <w:pStyle w:val="Recuodecorpodetexto"/>
        <w:rPr>
          <w:rFonts w:ascii="Arial" w:hAnsi="Arial" w:cs="Arial"/>
          <w:color w:val="000000" w:themeColor="text1"/>
          <w:sz w:val="20"/>
          <w:szCs w:val="20"/>
        </w:rPr>
      </w:pPr>
    </w:p>
    <w:p w:rsidR="00CF132A" w:rsidRPr="00826906" w:rsidRDefault="002B1A0F" w:rsidP="00A560CC">
      <w:pPr>
        <w:pStyle w:val="Recuodecorpodetexto"/>
        <w:ind w:firstLine="0"/>
        <w:rPr>
          <w:rFonts w:ascii="Arial" w:hAnsi="Arial" w:cs="Arial"/>
          <w:color w:val="000000" w:themeColor="text1"/>
          <w:sz w:val="20"/>
          <w:szCs w:val="20"/>
        </w:rPr>
      </w:pPr>
      <w:r w:rsidRPr="002B1A0F">
        <w:rPr>
          <w:noProof/>
        </w:rPr>
        <w:drawing>
          <wp:inline distT="0" distB="0" distL="0" distR="0" wp14:anchorId="14B33873" wp14:editId="7F9A8D4E">
            <wp:extent cx="6480175" cy="385508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80175" cy="3855085"/>
                    </a:xfrm>
                    <a:prstGeom prst="rect">
                      <a:avLst/>
                    </a:prstGeom>
                  </pic:spPr>
                </pic:pic>
              </a:graphicData>
            </a:graphic>
          </wp:inline>
        </w:drawing>
      </w:r>
    </w:p>
    <w:p w:rsidR="00AB3924" w:rsidRPr="005A162D" w:rsidRDefault="00AB3924" w:rsidP="005A162D">
      <w:pPr>
        <w:jc w:val="both"/>
        <w:rPr>
          <w:rFonts w:ascii="Arial" w:hAnsi="Arial" w:cs="Arial"/>
          <w:sz w:val="20"/>
          <w:szCs w:val="20"/>
        </w:rPr>
      </w:pPr>
    </w:p>
    <w:p w:rsidR="00FA7BC4" w:rsidRDefault="00FA7BC4" w:rsidP="00E207EB">
      <w:pPr>
        <w:jc w:val="both"/>
        <w:rPr>
          <w:rFonts w:ascii="Arial" w:hAnsi="Arial" w:cs="Arial"/>
          <w:b/>
          <w:sz w:val="20"/>
          <w:szCs w:val="20"/>
        </w:rPr>
      </w:pPr>
    </w:p>
    <w:p w:rsidR="00F749CF" w:rsidRDefault="00F749CF" w:rsidP="00E207EB">
      <w:pPr>
        <w:jc w:val="both"/>
        <w:rPr>
          <w:rFonts w:ascii="Arial" w:hAnsi="Arial" w:cs="Arial"/>
          <w:b/>
          <w:sz w:val="20"/>
          <w:szCs w:val="20"/>
        </w:rPr>
      </w:pPr>
    </w:p>
    <w:p w:rsidR="001D51EE" w:rsidRDefault="006D7B33" w:rsidP="00E207EB">
      <w:pPr>
        <w:jc w:val="both"/>
        <w:rPr>
          <w:rFonts w:ascii="Arial" w:hAnsi="Arial" w:cs="Arial"/>
          <w:b/>
          <w:sz w:val="20"/>
          <w:szCs w:val="20"/>
        </w:rPr>
      </w:pPr>
      <w:r w:rsidRPr="00826906">
        <w:rPr>
          <w:rFonts w:ascii="Arial" w:hAnsi="Arial" w:cs="Arial"/>
          <w:b/>
          <w:sz w:val="20"/>
          <w:szCs w:val="20"/>
        </w:rPr>
        <w:t>I.b – Blocos Econômicos e Regiões Geográficas</w:t>
      </w:r>
    </w:p>
    <w:p w:rsidR="008F667F" w:rsidRDefault="008F667F" w:rsidP="00E207EB">
      <w:pPr>
        <w:jc w:val="both"/>
        <w:rPr>
          <w:rFonts w:ascii="Arial" w:hAnsi="Arial" w:cs="Arial"/>
          <w:b/>
          <w:sz w:val="20"/>
          <w:szCs w:val="20"/>
        </w:rPr>
      </w:pPr>
    </w:p>
    <w:p w:rsidR="008F667F" w:rsidRDefault="008F667F" w:rsidP="008F667F">
      <w:pPr>
        <w:pStyle w:val="Recuodecorpodetexto"/>
        <w:rPr>
          <w:rFonts w:ascii="Arial" w:hAnsi="Arial" w:cs="Arial"/>
          <w:sz w:val="20"/>
          <w:szCs w:val="20"/>
        </w:rPr>
      </w:pPr>
      <w:r w:rsidRPr="005A5406">
        <w:rPr>
          <w:rFonts w:ascii="Arial" w:hAnsi="Arial" w:cs="Arial"/>
          <w:sz w:val="20"/>
          <w:szCs w:val="20"/>
        </w:rPr>
        <w:t xml:space="preserve">Em relação às exportações do agronegócio por blocos econômicos e regiões geográficas em </w:t>
      </w:r>
      <w:r>
        <w:rPr>
          <w:rFonts w:ascii="Arial" w:hAnsi="Arial" w:cs="Arial"/>
          <w:sz w:val="20"/>
          <w:szCs w:val="20"/>
        </w:rPr>
        <w:t>abril de 2018</w:t>
      </w:r>
      <w:r w:rsidRPr="005A5406">
        <w:rPr>
          <w:rFonts w:ascii="Arial" w:hAnsi="Arial" w:cs="Arial"/>
          <w:sz w:val="20"/>
          <w:szCs w:val="20"/>
        </w:rPr>
        <w:t xml:space="preserve">, a Ásia permaneceu como o principal destino dos produtos brasileiros, com a soma de US$ </w:t>
      </w:r>
      <w:r>
        <w:rPr>
          <w:rFonts w:ascii="Arial" w:hAnsi="Arial" w:cs="Arial"/>
          <w:sz w:val="20"/>
          <w:szCs w:val="20"/>
        </w:rPr>
        <w:t>4,99</w:t>
      </w:r>
      <w:r w:rsidRPr="005A5406">
        <w:rPr>
          <w:rFonts w:ascii="Arial" w:hAnsi="Arial" w:cs="Arial"/>
          <w:sz w:val="20"/>
          <w:szCs w:val="20"/>
        </w:rPr>
        <w:t xml:space="preserve"> bilhões. A expansão de </w:t>
      </w:r>
      <w:r>
        <w:rPr>
          <w:rFonts w:ascii="Arial" w:hAnsi="Arial" w:cs="Arial"/>
          <w:sz w:val="20"/>
          <w:szCs w:val="20"/>
        </w:rPr>
        <w:t>1,5</w:t>
      </w:r>
      <w:r w:rsidRPr="005A5406">
        <w:rPr>
          <w:rFonts w:ascii="Arial" w:hAnsi="Arial" w:cs="Arial"/>
          <w:sz w:val="20"/>
          <w:szCs w:val="20"/>
        </w:rPr>
        <w:t xml:space="preserve">% em relação a </w:t>
      </w:r>
      <w:r>
        <w:rPr>
          <w:rFonts w:ascii="Arial" w:hAnsi="Arial" w:cs="Arial"/>
          <w:sz w:val="20"/>
          <w:szCs w:val="20"/>
        </w:rPr>
        <w:t>abril de 2017</w:t>
      </w:r>
      <w:r w:rsidRPr="005A5406">
        <w:rPr>
          <w:rFonts w:ascii="Arial" w:hAnsi="Arial" w:cs="Arial"/>
          <w:sz w:val="20"/>
          <w:szCs w:val="20"/>
        </w:rPr>
        <w:t xml:space="preserve"> foi causada pelo incremento nas vendas de </w:t>
      </w:r>
      <w:r>
        <w:rPr>
          <w:rFonts w:ascii="Arial" w:hAnsi="Arial" w:cs="Arial"/>
          <w:sz w:val="20"/>
          <w:szCs w:val="20"/>
        </w:rPr>
        <w:t>farelo de soja</w:t>
      </w:r>
      <w:r w:rsidRPr="005A5406">
        <w:rPr>
          <w:rFonts w:ascii="Arial" w:hAnsi="Arial" w:cs="Arial"/>
          <w:sz w:val="20"/>
          <w:szCs w:val="20"/>
        </w:rPr>
        <w:t xml:space="preserve"> (+US$ </w:t>
      </w:r>
      <w:r>
        <w:rPr>
          <w:rFonts w:ascii="Arial" w:hAnsi="Arial" w:cs="Arial"/>
          <w:sz w:val="20"/>
          <w:szCs w:val="20"/>
        </w:rPr>
        <w:t>140,48</w:t>
      </w:r>
      <w:r w:rsidRPr="005A5406">
        <w:rPr>
          <w:rFonts w:ascii="Arial" w:hAnsi="Arial" w:cs="Arial"/>
          <w:sz w:val="20"/>
          <w:szCs w:val="20"/>
        </w:rPr>
        <w:t xml:space="preserve"> milhões), </w:t>
      </w:r>
      <w:r>
        <w:rPr>
          <w:rFonts w:ascii="Arial" w:hAnsi="Arial" w:cs="Arial"/>
          <w:sz w:val="20"/>
          <w:szCs w:val="20"/>
        </w:rPr>
        <w:t>celulose</w:t>
      </w:r>
      <w:r w:rsidRPr="005A5406">
        <w:rPr>
          <w:rFonts w:ascii="Arial" w:hAnsi="Arial" w:cs="Arial"/>
          <w:sz w:val="20"/>
          <w:szCs w:val="20"/>
        </w:rPr>
        <w:t xml:space="preserve"> (+US$ </w:t>
      </w:r>
      <w:r>
        <w:rPr>
          <w:rFonts w:ascii="Arial" w:hAnsi="Arial" w:cs="Arial"/>
          <w:sz w:val="20"/>
          <w:szCs w:val="20"/>
        </w:rPr>
        <w:t>73,80</w:t>
      </w:r>
      <w:r w:rsidRPr="005A5406">
        <w:rPr>
          <w:rFonts w:ascii="Arial" w:hAnsi="Arial" w:cs="Arial"/>
          <w:sz w:val="20"/>
          <w:szCs w:val="20"/>
        </w:rPr>
        <w:t xml:space="preserve"> milhões) e </w:t>
      </w:r>
      <w:r>
        <w:rPr>
          <w:rFonts w:ascii="Arial" w:hAnsi="Arial" w:cs="Arial"/>
          <w:sz w:val="20"/>
          <w:szCs w:val="20"/>
        </w:rPr>
        <w:t>carne suína</w:t>
      </w:r>
      <w:r w:rsidRPr="005A5406">
        <w:rPr>
          <w:rFonts w:ascii="Arial" w:hAnsi="Arial" w:cs="Arial"/>
          <w:sz w:val="20"/>
          <w:szCs w:val="20"/>
        </w:rPr>
        <w:t xml:space="preserve"> (+US$ </w:t>
      </w:r>
      <w:r>
        <w:rPr>
          <w:rFonts w:ascii="Arial" w:hAnsi="Arial" w:cs="Arial"/>
          <w:sz w:val="20"/>
          <w:szCs w:val="20"/>
        </w:rPr>
        <w:t>18,24</w:t>
      </w:r>
      <w:r w:rsidRPr="005A5406">
        <w:rPr>
          <w:rFonts w:ascii="Arial" w:hAnsi="Arial" w:cs="Arial"/>
          <w:sz w:val="20"/>
          <w:szCs w:val="20"/>
        </w:rPr>
        <w:t xml:space="preserve"> milhões). </w:t>
      </w:r>
      <w:r>
        <w:rPr>
          <w:rFonts w:ascii="Arial" w:hAnsi="Arial" w:cs="Arial"/>
          <w:sz w:val="20"/>
          <w:szCs w:val="20"/>
        </w:rPr>
        <w:t>Apesar desse crescimento</w:t>
      </w:r>
      <w:r w:rsidRPr="005A5406">
        <w:rPr>
          <w:rFonts w:ascii="Arial" w:hAnsi="Arial" w:cs="Arial"/>
          <w:sz w:val="20"/>
          <w:szCs w:val="20"/>
        </w:rPr>
        <w:t xml:space="preserve">, a participação asiática nas vendas externas de produtos agropecuários brasileiros apresentou </w:t>
      </w:r>
      <w:r>
        <w:rPr>
          <w:rFonts w:ascii="Arial" w:hAnsi="Arial" w:cs="Arial"/>
          <w:sz w:val="20"/>
          <w:szCs w:val="20"/>
        </w:rPr>
        <w:t>retração</w:t>
      </w:r>
      <w:r w:rsidRPr="005A5406">
        <w:rPr>
          <w:rFonts w:ascii="Arial" w:hAnsi="Arial" w:cs="Arial"/>
          <w:sz w:val="20"/>
          <w:szCs w:val="20"/>
        </w:rPr>
        <w:t xml:space="preserve">, de </w:t>
      </w:r>
      <w:r>
        <w:rPr>
          <w:rFonts w:ascii="Arial" w:hAnsi="Arial" w:cs="Arial"/>
          <w:sz w:val="20"/>
          <w:szCs w:val="20"/>
        </w:rPr>
        <w:t>56,8</w:t>
      </w:r>
      <w:r w:rsidRPr="005A5406">
        <w:rPr>
          <w:rFonts w:ascii="Arial" w:hAnsi="Arial" w:cs="Arial"/>
          <w:sz w:val="20"/>
          <w:szCs w:val="20"/>
        </w:rPr>
        <w:t xml:space="preserve">% para </w:t>
      </w:r>
      <w:r>
        <w:rPr>
          <w:rFonts w:ascii="Arial" w:hAnsi="Arial" w:cs="Arial"/>
          <w:sz w:val="20"/>
          <w:szCs w:val="20"/>
        </w:rPr>
        <w:t>56</w:t>
      </w:r>
      <w:r w:rsidRPr="005A5406">
        <w:rPr>
          <w:rFonts w:ascii="Arial" w:hAnsi="Arial" w:cs="Arial"/>
          <w:sz w:val="20"/>
          <w:szCs w:val="20"/>
        </w:rPr>
        <w:t xml:space="preserve">,2%. </w:t>
      </w:r>
    </w:p>
    <w:p w:rsidR="008F667F" w:rsidRPr="005A5406" w:rsidRDefault="008F667F" w:rsidP="008F667F">
      <w:pPr>
        <w:pStyle w:val="Recuodecorpodetexto"/>
        <w:rPr>
          <w:rFonts w:ascii="Arial" w:hAnsi="Arial" w:cs="Arial"/>
          <w:sz w:val="20"/>
          <w:szCs w:val="20"/>
        </w:rPr>
      </w:pPr>
    </w:p>
    <w:p w:rsidR="008F667F" w:rsidRPr="005A5406" w:rsidRDefault="008F667F" w:rsidP="008F667F">
      <w:pPr>
        <w:pStyle w:val="Recuodecorpodetexto"/>
        <w:rPr>
          <w:rFonts w:ascii="Arial" w:hAnsi="Arial" w:cs="Arial"/>
          <w:sz w:val="20"/>
          <w:szCs w:val="20"/>
        </w:rPr>
      </w:pPr>
      <w:r w:rsidRPr="005A5406">
        <w:rPr>
          <w:rFonts w:ascii="Arial" w:hAnsi="Arial" w:cs="Arial"/>
          <w:sz w:val="20"/>
          <w:szCs w:val="20"/>
        </w:rPr>
        <w:t xml:space="preserve">Já o segundo principal destino das exportações brasileiras, a União Europeia, teve a sua participação </w:t>
      </w:r>
      <w:r>
        <w:rPr>
          <w:rFonts w:ascii="Arial" w:hAnsi="Arial" w:cs="Arial"/>
          <w:sz w:val="20"/>
          <w:szCs w:val="20"/>
        </w:rPr>
        <w:t>expandida</w:t>
      </w:r>
      <w:r w:rsidRPr="005A5406">
        <w:rPr>
          <w:rFonts w:ascii="Arial" w:hAnsi="Arial" w:cs="Arial"/>
          <w:sz w:val="20"/>
          <w:szCs w:val="20"/>
        </w:rPr>
        <w:t xml:space="preserve"> de </w:t>
      </w:r>
      <w:r>
        <w:rPr>
          <w:rFonts w:ascii="Arial" w:hAnsi="Arial" w:cs="Arial"/>
          <w:sz w:val="20"/>
          <w:szCs w:val="20"/>
        </w:rPr>
        <w:t>14,6</w:t>
      </w:r>
      <w:r w:rsidRPr="005A5406">
        <w:rPr>
          <w:rFonts w:ascii="Arial" w:hAnsi="Arial" w:cs="Arial"/>
          <w:sz w:val="20"/>
          <w:szCs w:val="20"/>
        </w:rPr>
        <w:t>% para 17,</w:t>
      </w:r>
      <w:r>
        <w:rPr>
          <w:rFonts w:ascii="Arial" w:hAnsi="Arial" w:cs="Arial"/>
          <w:sz w:val="20"/>
          <w:szCs w:val="20"/>
        </w:rPr>
        <w:t>1%, em virtude do</w:t>
      </w:r>
      <w:r w:rsidRPr="005A5406">
        <w:rPr>
          <w:rFonts w:ascii="Arial" w:hAnsi="Arial" w:cs="Arial"/>
          <w:sz w:val="20"/>
          <w:szCs w:val="20"/>
        </w:rPr>
        <w:t xml:space="preserve"> </w:t>
      </w:r>
      <w:r>
        <w:rPr>
          <w:rFonts w:ascii="Arial" w:hAnsi="Arial" w:cs="Arial"/>
          <w:sz w:val="20"/>
          <w:szCs w:val="20"/>
        </w:rPr>
        <w:t>aumento</w:t>
      </w:r>
      <w:r w:rsidRPr="005A5406">
        <w:rPr>
          <w:rFonts w:ascii="Arial" w:hAnsi="Arial" w:cs="Arial"/>
          <w:sz w:val="20"/>
          <w:szCs w:val="20"/>
        </w:rPr>
        <w:t xml:space="preserve"> de </w:t>
      </w:r>
      <w:r>
        <w:rPr>
          <w:rFonts w:ascii="Arial" w:hAnsi="Arial" w:cs="Arial"/>
          <w:sz w:val="20"/>
          <w:szCs w:val="20"/>
        </w:rPr>
        <w:t>20,7</w:t>
      </w:r>
      <w:r w:rsidRPr="005A5406">
        <w:rPr>
          <w:rFonts w:ascii="Arial" w:hAnsi="Arial" w:cs="Arial"/>
          <w:sz w:val="20"/>
          <w:szCs w:val="20"/>
        </w:rPr>
        <w:t xml:space="preserve">% nas vendas do agronegócio brasileiro para o bloco econômico (de US$ </w:t>
      </w:r>
      <w:r>
        <w:rPr>
          <w:rFonts w:ascii="Arial" w:hAnsi="Arial" w:cs="Arial"/>
          <w:sz w:val="20"/>
          <w:szCs w:val="20"/>
        </w:rPr>
        <w:t>1,26 bilhão em abril de 2017</w:t>
      </w:r>
      <w:r w:rsidRPr="005A5406">
        <w:rPr>
          <w:rFonts w:ascii="Arial" w:hAnsi="Arial" w:cs="Arial"/>
          <w:sz w:val="20"/>
          <w:szCs w:val="20"/>
        </w:rPr>
        <w:t xml:space="preserve"> para US$ 1,</w:t>
      </w:r>
      <w:r>
        <w:rPr>
          <w:rFonts w:ascii="Arial" w:hAnsi="Arial" w:cs="Arial"/>
          <w:sz w:val="20"/>
          <w:szCs w:val="20"/>
        </w:rPr>
        <w:t>52</w:t>
      </w:r>
      <w:r w:rsidRPr="005A5406">
        <w:rPr>
          <w:rFonts w:ascii="Arial" w:hAnsi="Arial" w:cs="Arial"/>
          <w:sz w:val="20"/>
          <w:szCs w:val="20"/>
        </w:rPr>
        <w:t xml:space="preserve"> bilhão em </w:t>
      </w:r>
      <w:r>
        <w:rPr>
          <w:rFonts w:ascii="Arial" w:hAnsi="Arial" w:cs="Arial"/>
          <w:sz w:val="20"/>
          <w:szCs w:val="20"/>
        </w:rPr>
        <w:t xml:space="preserve">abril de </w:t>
      </w:r>
      <w:r w:rsidRPr="005A5406">
        <w:rPr>
          <w:rFonts w:ascii="Arial" w:hAnsi="Arial" w:cs="Arial"/>
          <w:sz w:val="20"/>
          <w:szCs w:val="20"/>
        </w:rPr>
        <w:t>201</w:t>
      </w:r>
      <w:r>
        <w:rPr>
          <w:rFonts w:ascii="Arial" w:hAnsi="Arial" w:cs="Arial"/>
          <w:sz w:val="20"/>
          <w:szCs w:val="20"/>
        </w:rPr>
        <w:t>8</w:t>
      </w:r>
      <w:r w:rsidRPr="005A5406">
        <w:rPr>
          <w:rFonts w:ascii="Arial" w:hAnsi="Arial" w:cs="Arial"/>
          <w:sz w:val="20"/>
          <w:szCs w:val="20"/>
        </w:rPr>
        <w:t xml:space="preserve">). Os produtos que mais influenciaram </w:t>
      </w:r>
      <w:r>
        <w:rPr>
          <w:rFonts w:ascii="Arial" w:hAnsi="Arial" w:cs="Arial"/>
          <w:sz w:val="20"/>
          <w:szCs w:val="20"/>
        </w:rPr>
        <w:t>nesse incremento</w:t>
      </w:r>
      <w:r w:rsidRPr="005A5406">
        <w:rPr>
          <w:rFonts w:ascii="Arial" w:hAnsi="Arial" w:cs="Arial"/>
          <w:sz w:val="20"/>
          <w:szCs w:val="20"/>
        </w:rPr>
        <w:t xml:space="preserve"> foram: </w:t>
      </w:r>
      <w:r>
        <w:rPr>
          <w:rFonts w:ascii="Arial" w:hAnsi="Arial" w:cs="Arial"/>
          <w:sz w:val="20"/>
          <w:szCs w:val="20"/>
        </w:rPr>
        <w:t>soja em grãos</w:t>
      </w:r>
      <w:r w:rsidRPr="005A5406">
        <w:rPr>
          <w:rFonts w:ascii="Arial" w:hAnsi="Arial" w:cs="Arial"/>
          <w:sz w:val="20"/>
          <w:szCs w:val="20"/>
        </w:rPr>
        <w:t xml:space="preserve"> (</w:t>
      </w:r>
      <w:r>
        <w:rPr>
          <w:rFonts w:ascii="Arial" w:hAnsi="Arial" w:cs="Arial"/>
          <w:sz w:val="20"/>
          <w:szCs w:val="20"/>
        </w:rPr>
        <w:t>+</w:t>
      </w:r>
      <w:r w:rsidRPr="005A5406">
        <w:rPr>
          <w:rFonts w:ascii="Arial" w:hAnsi="Arial" w:cs="Arial"/>
          <w:sz w:val="20"/>
          <w:szCs w:val="20"/>
        </w:rPr>
        <w:t xml:space="preserve">US$ </w:t>
      </w:r>
      <w:r>
        <w:rPr>
          <w:rFonts w:ascii="Arial" w:hAnsi="Arial" w:cs="Arial"/>
          <w:sz w:val="20"/>
          <w:szCs w:val="20"/>
        </w:rPr>
        <w:t>122,0 milhões);</w:t>
      </w:r>
      <w:r w:rsidRPr="005A5406">
        <w:rPr>
          <w:rFonts w:ascii="Arial" w:hAnsi="Arial" w:cs="Arial"/>
          <w:sz w:val="20"/>
          <w:szCs w:val="20"/>
        </w:rPr>
        <w:t xml:space="preserve"> </w:t>
      </w:r>
      <w:r>
        <w:rPr>
          <w:rFonts w:ascii="Arial" w:hAnsi="Arial" w:cs="Arial"/>
          <w:sz w:val="20"/>
          <w:szCs w:val="20"/>
        </w:rPr>
        <w:t>celulose (+</w:t>
      </w:r>
      <w:r w:rsidRPr="005A5406">
        <w:rPr>
          <w:rFonts w:ascii="Arial" w:hAnsi="Arial" w:cs="Arial"/>
          <w:sz w:val="20"/>
          <w:szCs w:val="20"/>
        </w:rPr>
        <w:t xml:space="preserve">US$ </w:t>
      </w:r>
      <w:r>
        <w:rPr>
          <w:rFonts w:ascii="Arial" w:hAnsi="Arial" w:cs="Arial"/>
          <w:sz w:val="20"/>
          <w:szCs w:val="20"/>
        </w:rPr>
        <w:t>59,21</w:t>
      </w:r>
      <w:r w:rsidRPr="005A5406">
        <w:rPr>
          <w:rFonts w:ascii="Arial" w:hAnsi="Arial" w:cs="Arial"/>
          <w:sz w:val="20"/>
          <w:szCs w:val="20"/>
        </w:rPr>
        <w:t xml:space="preserve"> milhões)</w:t>
      </w:r>
      <w:r>
        <w:rPr>
          <w:rFonts w:ascii="Arial" w:hAnsi="Arial" w:cs="Arial"/>
          <w:sz w:val="20"/>
          <w:szCs w:val="20"/>
        </w:rPr>
        <w:t>;</w:t>
      </w:r>
      <w:r w:rsidRPr="005A5406">
        <w:rPr>
          <w:rFonts w:ascii="Arial" w:hAnsi="Arial" w:cs="Arial"/>
          <w:sz w:val="20"/>
          <w:szCs w:val="20"/>
        </w:rPr>
        <w:t xml:space="preserve"> e </w:t>
      </w:r>
      <w:r>
        <w:rPr>
          <w:rFonts w:ascii="Arial" w:hAnsi="Arial" w:cs="Arial"/>
          <w:sz w:val="20"/>
          <w:szCs w:val="20"/>
        </w:rPr>
        <w:t>farelo de soja</w:t>
      </w:r>
      <w:r w:rsidRPr="005A5406">
        <w:rPr>
          <w:rFonts w:ascii="Arial" w:hAnsi="Arial" w:cs="Arial"/>
          <w:sz w:val="20"/>
          <w:szCs w:val="20"/>
        </w:rPr>
        <w:t xml:space="preserve"> (</w:t>
      </w:r>
      <w:r>
        <w:rPr>
          <w:rFonts w:ascii="Arial" w:hAnsi="Arial" w:cs="Arial"/>
          <w:sz w:val="20"/>
          <w:szCs w:val="20"/>
        </w:rPr>
        <w:t>+</w:t>
      </w:r>
      <w:r w:rsidRPr="005A5406">
        <w:rPr>
          <w:rFonts w:ascii="Arial" w:hAnsi="Arial" w:cs="Arial"/>
          <w:sz w:val="20"/>
          <w:szCs w:val="20"/>
        </w:rPr>
        <w:t xml:space="preserve">US$ </w:t>
      </w:r>
      <w:r>
        <w:rPr>
          <w:rFonts w:ascii="Arial" w:hAnsi="Arial" w:cs="Arial"/>
          <w:sz w:val="20"/>
          <w:szCs w:val="20"/>
        </w:rPr>
        <w:t>50,64</w:t>
      </w:r>
      <w:r w:rsidRPr="005A5406">
        <w:rPr>
          <w:rFonts w:ascii="Arial" w:hAnsi="Arial" w:cs="Arial"/>
          <w:sz w:val="20"/>
          <w:szCs w:val="20"/>
        </w:rPr>
        <w:t xml:space="preserve"> milhões). Além dos dois principais destinos, destaca-se na Tabela 2: aumento de </w:t>
      </w:r>
      <w:r>
        <w:rPr>
          <w:rFonts w:ascii="Arial" w:hAnsi="Arial" w:cs="Arial"/>
          <w:sz w:val="20"/>
          <w:szCs w:val="20"/>
        </w:rPr>
        <w:t>69,9</w:t>
      </w:r>
      <w:r w:rsidRPr="005A5406">
        <w:rPr>
          <w:rFonts w:ascii="Arial" w:hAnsi="Arial" w:cs="Arial"/>
          <w:sz w:val="20"/>
          <w:szCs w:val="20"/>
        </w:rPr>
        <w:t xml:space="preserve">% nas vendas para os demais países da </w:t>
      </w:r>
      <w:r>
        <w:rPr>
          <w:rFonts w:ascii="Arial" w:hAnsi="Arial" w:cs="Arial"/>
          <w:sz w:val="20"/>
          <w:szCs w:val="20"/>
        </w:rPr>
        <w:t>Europa Ocidental</w:t>
      </w:r>
      <w:r w:rsidRPr="005A5406">
        <w:rPr>
          <w:rFonts w:ascii="Arial" w:hAnsi="Arial" w:cs="Arial"/>
          <w:sz w:val="20"/>
          <w:szCs w:val="20"/>
        </w:rPr>
        <w:t xml:space="preserve">, que alcançaram o montante de US$ </w:t>
      </w:r>
      <w:r>
        <w:rPr>
          <w:rFonts w:ascii="Arial" w:hAnsi="Arial" w:cs="Arial"/>
          <w:sz w:val="20"/>
          <w:szCs w:val="20"/>
        </w:rPr>
        <w:t>199,83</w:t>
      </w:r>
      <w:r w:rsidRPr="005A5406">
        <w:rPr>
          <w:rFonts w:ascii="Arial" w:hAnsi="Arial" w:cs="Arial"/>
          <w:sz w:val="20"/>
          <w:szCs w:val="20"/>
        </w:rPr>
        <w:t xml:space="preserve"> milhões; </w:t>
      </w:r>
      <w:r>
        <w:rPr>
          <w:rFonts w:ascii="Arial" w:hAnsi="Arial" w:cs="Arial"/>
          <w:sz w:val="20"/>
          <w:szCs w:val="20"/>
        </w:rPr>
        <w:t>Mercosul</w:t>
      </w:r>
      <w:r w:rsidRPr="005A5406">
        <w:rPr>
          <w:rFonts w:ascii="Arial" w:hAnsi="Arial" w:cs="Arial"/>
          <w:sz w:val="20"/>
          <w:szCs w:val="20"/>
        </w:rPr>
        <w:t xml:space="preserve"> (+</w:t>
      </w:r>
      <w:r>
        <w:rPr>
          <w:rFonts w:ascii="Arial" w:hAnsi="Arial" w:cs="Arial"/>
          <w:sz w:val="20"/>
          <w:szCs w:val="20"/>
        </w:rPr>
        <w:t>61,5</w:t>
      </w:r>
      <w:r w:rsidRPr="005A5406">
        <w:rPr>
          <w:rFonts w:ascii="Arial" w:hAnsi="Arial" w:cs="Arial"/>
          <w:sz w:val="20"/>
          <w:szCs w:val="20"/>
        </w:rPr>
        <w:t xml:space="preserve">% e US$ </w:t>
      </w:r>
      <w:r>
        <w:rPr>
          <w:rFonts w:ascii="Arial" w:hAnsi="Arial" w:cs="Arial"/>
          <w:sz w:val="20"/>
          <w:szCs w:val="20"/>
        </w:rPr>
        <w:t>306,80</w:t>
      </w:r>
      <w:r w:rsidRPr="005A5406">
        <w:rPr>
          <w:rFonts w:ascii="Arial" w:hAnsi="Arial" w:cs="Arial"/>
          <w:sz w:val="20"/>
          <w:szCs w:val="20"/>
        </w:rPr>
        <w:t xml:space="preserve"> milhões); </w:t>
      </w:r>
      <w:r>
        <w:rPr>
          <w:rFonts w:ascii="Arial" w:hAnsi="Arial" w:cs="Arial"/>
          <w:sz w:val="20"/>
          <w:szCs w:val="20"/>
        </w:rPr>
        <w:t>demais países da América</w:t>
      </w:r>
      <w:r w:rsidRPr="005A5406">
        <w:rPr>
          <w:rFonts w:ascii="Arial" w:hAnsi="Arial" w:cs="Arial"/>
          <w:sz w:val="20"/>
          <w:szCs w:val="20"/>
        </w:rPr>
        <w:t xml:space="preserve"> (+</w:t>
      </w:r>
      <w:r>
        <w:rPr>
          <w:rFonts w:ascii="Arial" w:hAnsi="Arial" w:cs="Arial"/>
          <w:sz w:val="20"/>
          <w:szCs w:val="20"/>
        </w:rPr>
        <w:t>23,6</w:t>
      </w:r>
      <w:r w:rsidRPr="005A5406">
        <w:rPr>
          <w:rFonts w:ascii="Arial" w:hAnsi="Arial" w:cs="Arial"/>
          <w:sz w:val="20"/>
          <w:szCs w:val="20"/>
        </w:rPr>
        <w:t xml:space="preserve">% e US$ </w:t>
      </w:r>
      <w:r>
        <w:rPr>
          <w:rFonts w:ascii="Arial" w:hAnsi="Arial" w:cs="Arial"/>
          <w:sz w:val="20"/>
          <w:szCs w:val="20"/>
        </w:rPr>
        <w:t>28,93</w:t>
      </w:r>
      <w:r w:rsidRPr="005A5406">
        <w:rPr>
          <w:rFonts w:ascii="Arial" w:hAnsi="Arial" w:cs="Arial"/>
          <w:sz w:val="20"/>
          <w:szCs w:val="20"/>
        </w:rPr>
        <w:t xml:space="preserve"> milhões); e </w:t>
      </w:r>
      <w:r>
        <w:rPr>
          <w:rFonts w:ascii="Arial" w:hAnsi="Arial" w:cs="Arial"/>
          <w:sz w:val="20"/>
          <w:szCs w:val="20"/>
        </w:rPr>
        <w:t xml:space="preserve">Aladi </w:t>
      </w:r>
      <w:r w:rsidRPr="005A5406">
        <w:rPr>
          <w:rFonts w:ascii="Arial" w:hAnsi="Arial" w:cs="Arial"/>
          <w:sz w:val="20"/>
          <w:szCs w:val="20"/>
        </w:rPr>
        <w:t>(+</w:t>
      </w:r>
      <w:r>
        <w:rPr>
          <w:rFonts w:ascii="Arial" w:hAnsi="Arial" w:cs="Arial"/>
          <w:sz w:val="20"/>
          <w:szCs w:val="20"/>
        </w:rPr>
        <w:t>17,9</w:t>
      </w:r>
      <w:r w:rsidRPr="005A5406">
        <w:rPr>
          <w:rFonts w:ascii="Arial" w:hAnsi="Arial" w:cs="Arial"/>
          <w:sz w:val="20"/>
          <w:szCs w:val="20"/>
        </w:rPr>
        <w:t xml:space="preserve">% e US$ </w:t>
      </w:r>
      <w:r>
        <w:rPr>
          <w:rFonts w:ascii="Arial" w:hAnsi="Arial" w:cs="Arial"/>
          <w:sz w:val="20"/>
          <w:szCs w:val="20"/>
        </w:rPr>
        <w:t>294,75</w:t>
      </w:r>
      <w:r w:rsidRPr="005A5406">
        <w:rPr>
          <w:rFonts w:ascii="Arial" w:hAnsi="Arial" w:cs="Arial"/>
          <w:sz w:val="20"/>
          <w:szCs w:val="20"/>
        </w:rPr>
        <w:t xml:space="preserve"> milhões). </w:t>
      </w:r>
    </w:p>
    <w:p w:rsidR="008F667F" w:rsidRPr="00826906" w:rsidRDefault="008F667F" w:rsidP="00E207EB">
      <w:pPr>
        <w:jc w:val="both"/>
        <w:rPr>
          <w:rFonts w:ascii="Arial" w:hAnsi="Arial" w:cs="Arial"/>
          <w:b/>
          <w:sz w:val="20"/>
          <w:szCs w:val="20"/>
        </w:rPr>
      </w:pPr>
    </w:p>
    <w:p w:rsidR="006D7B33" w:rsidRPr="00826906" w:rsidRDefault="006D7B33" w:rsidP="006D7B33">
      <w:pPr>
        <w:rPr>
          <w:rFonts w:ascii="Arial" w:hAnsi="Arial" w:cs="Arial"/>
        </w:rPr>
      </w:pPr>
    </w:p>
    <w:p w:rsidR="00196B83" w:rsidRPr="00826906" w:rsidRDefault="002B1A0F" w:rsidP="002B1A0F">
      <w:pPr>
        <w:pStyle w:val="Recuodecorpodetexto"/>
        <w:ind w:firstLine="0"/>
        <w:rPr>
          <w:rFonts w:ascii="Arial" w:hAnsi="Arial" w:cs="Arial"/>
          <w:color w:val="000000" w:themeColor="text1"/>
          <w:sz w:val="20"/>
          <w:szCs w:val="20"/>
        </w:rPr>
      </w:pPr>
      <w:r w:rsidRPr="002B1A0F">
        <w:rPr>
          <w:noProof/>
        </w:rPr>
        <w:drawing>
          <wp:inline distT="0" distB="0" distL="0" distR="0" wp14:anchorId="71664395" wp14:editId="4C5A3DA2">
            <wp:extent cx="6480175" cy="234823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80175" cy="2348230"/>
                    </a:xfrm>
                    <a:prstGeom prst="rect">
                      <a:avLst/>
                    </a:prstGeom>
                  </pic:spPr>
                </pic:pic>
              </a:graphicData>
            </a:graphic>
          </wp:inline>
        </w:drawing>
      </w:r>
    </w:p>
    <w:p w:rsidR="006D7B33" w:rsidRPr="00826906" w:rsidRDefault="006D7B33" w:rsidP="00E207EB">
      <w:pPr>
        <w:jc w:val="both"/>
        <w:rPr>
          <w:rFonts w:ascii="Arial" w:hAnsi="Arial" w:cs="Arial"/>
          <w:sz w:val="20"/>
          <w:szCs w:val="20"/>
        </w:rPr>
      </w:pPr>
    </w:p>
    <w:p w:rsidR="00E207EB" w:rsidRDefault="00E207EB" w:rsidP="00515548">
      <w:pPr>
        <w:ind w:firstLine="709"/>
        <w:jc w:val="both"/>
        <w:rPr>
          <w:rFonts w:ascii="Arial" w:hAnsi="Arial" w:cs="Arial"/>
          <w:sz w:val="20"/>
          <w:szCs w:val="20"/>
        </w:rPr>
      </w:pPr>
    </w:p>
    <w:p w:rsidR="00587460" w:rsidRPr="00826906" w:rsidRDefault="00587460" w:rsidP="00515548">
      <w:pPr>
        <w:ind w:firstLine="709"/>
        <w:jc w:val="both"/>
        <w:rPr>
          <w:rFonts w:ascii="Arial" w:hAnsi="Arial" w:cs="Arial"/>
          <w:sz w:val="20"/>
          <w:szCs w:val="20"/>
        </w:rPr>
      </w:pPr>
    </w:p>
    <w:p w:rsidR="007D0604" w:rsidRPr="00826906" w:rsidRDefault="007D0604" w:rsidP="00515548">
      <w:pPr>
        <w:ind w:firstLine="709"/>
        <w:jc w:val="both"/>
        <w:rPr>
          <w:rFonts w:ascii="Arial" w:hAnsi="Arial" w:cs="Arial"/>
          <w:sz w:val="20"/>
          <w:szCs w:val="20"/>
        </w:rPr>
      </w:pPr>
    </w:p>
    <w:p w:rsidR="001D51EE" w:rsidRDefault="001D51EE" w:rsidP="001D51EE">
      <w:pPr>
        <w:pStyle w:val="Ttulo5"/>
        <w:autoSpaceDE/>
        <w:autoSpaceDN/>
        <w:adjustRightInd/>
        <w:rPr>
          <w:rFonts w:ascii="Arial" w:hAnsi="Arial" w:cs="Arial"/>
          <w:sz w:val="20"/>
          <w:szCs w:val="20"/>
        </w:rPr>
      </w:pPr>
      <w:r w:rsidRPr="00826906">
        <w:rPr>
          <w:rFonts w:ascii="Arial" w:hAnsi="Arial" w:cs="Arial"/>
          <w:sz w:val="20"/>
          <w:szCs w:val="20"/>
        </w:rPr>
        <w:t>I.c – Países</w:t>
      </w:r>
    </w:p>
    <w:p w:rsidR="008F667F" w:rsidRDefault="008F667F" w:rsidP="008F667F"/>
    <w:p w:rsidR="008F667F" w:rsidRPr="005A5406" w:rsidRDefault="008F667F" w:rsidP="008F667F">
      <w:pPr>
        <w:pStyle w:val="Recuodecorpodetexto"/>
        <w:rPr>
          <w:rFonts w:ascii="Arial" w:hAnsi="Arial" w:cs="Arial"/>
          <w:sz w:val="20"/>
          <w:szCs w:val="20"/>
        </w:rPr>
      </w:pPr>
      <w:r w:rsidRPr="005A5406">
        <w:rPr>
          <w:rFonts w:ascii="Arial" w:hAnsi="Arial" w:cs="Arial"/>
          <w:sz w:val="20"/>
          <w:szCs w:val="20"/>
        </w:rPr>
        <w:t xml:space="preserve">No que se refere às vendas externas sob a ótica dos países, a China continuou figurando como o principal destino das exportações do agronegócio brasileiro em </w:t>
      </w:r>
      <w:r>
        <w:rPr>
          <w:rFonts w:ascii="Arial" w:hAnsi="Arial" w:cs="Arial"/>
          <w:sz w:val="20"/>
          <w:szCs w:val="20"/>
        </w:rPr>
        <w:t>abril</w:t>
      </w:r>
      <w:r w:rsidRPr="005A5406">
        <w:rPr>
          <w:rFonts w:ascii="Arial" w:hAnsi="Arial" w:cs="Arial"/>
          <w:sz w:val="20"/>
          <w:szCs w:val="20"/>
        </w:rPr>
        <w:t xml:space="preserve">, com a cifra de US$ </w:t>
      </w:r>
      <w:r>
        <w:rPr>
          <w:rFonts w:ascii="Arial" w:hAnsi="Arial" w:cs="Arial"/>
          <w:sz w:val="20"/>
          <w:szCs w:val="20"/>
        </w:rPr>
        <w:t>3,65</w:t>
      </w:r>
      <w:r w:rsidRPr="005A5406">
        <w:rPr>
          <w:rFonts w:ascii="Arial" w:hAnsi="Arial" w:cs="Arial"/>
          <w:sz w:val="20"/>
          <w:szCs w:val="20"/>
        </w:rPr>
        <w:t xml:space="preserve"> bilhões. Em relação aos US$ </w:t>
      </w:r>
      <w:r>
        <w:rPr>
          <w:rFonts w:ascii="Arial" w:hAnsi="Arial" w:cs="Arial"/>
          <w:sz w:val="20"/>
          <w:szCs w:val="20"/>
        </w:rPr>
        <w:t>3,66</w:t>
      </w:r>
      <w:r w:rsidRPr="005A5406">
        <w:rPr>
          <w:rFonts w:ascii="Arial" w:hAnsi="Arial" w:cs="Arial"/>
          <w:sz w:val="20"/>
          <w:szCs w:val="20"/>
        </w:rPr>
        <w:t xml:space="preserve"> bilhões exportados em 201</w:t>
      </w:r>
      <w:r>
        <w:rPr>
          <w:rFonts w:ascii="Arial" w:hAnsi="Arial" w:cs="Arial"/>
          <w:sz w:val="20"/>
          <w:szCs w:val="20"/>
        </w:rPr>
        <w:t>7</w:t>
      </w:r>
      <w:r w:rsidRPr="005A5406">
        <w:rPr>
          <w:rFonts w:ascii="Arial" w:hAnsi="Arial" w:cs="Arial"/>
          <w:sz w:val="20"/>
          <w:szCs w:val="20"/>
        </w:rPr>
        <w:t xml:space="preserve">, verificou-se </w:t>
      </w:r>
      <w:r>
        <w:rPr>
          <w:rFonts w:ascii="Arial" w:hAnsi="Arial" w:cs="Arial"/>
          <w:sz w:val="20"/>
          <w:szCs w:val="20"/>
        </w:rPr>
        <w:t>retração de 0,4</w:t>
      </w:r>
      <w:r w:rsidRPr="005A5406">
        <w:rPr>
          <w:rFonts w:ascii="Arial" w:hAnsi="Arial" w:cs="Arial"/>
          <w:sz w:val="20"/>
          <w:szCs w:val="20"/>
        </w:rPr>
        <w:t xml:space="preserve">%. Quanto à participação chinesa, houve decréscimo de </w:t>
      </w:r>
      <w:r>
        <w:rPr>
          <w:rFonts w:ascii="Arial" w:hAnsi="Arial" w:cs="Arial"/>
          <w:sz w:val="20"/>
          <w:szCs w:val="20"/>
        </w:rPr>
        <w:t>1,3 ponto percentual no período, c</w:t>
      </w:r>
      <w:r w:rsidRPr="005A5406">
        <w:rPr>
          <w:rFonts w:ascii="Arial" w:hAnsi="Arial" w:cs="Arial"/>
          <w:sz w:val="20"/>
          <w:szCs w:val="20"/>
        </w:rPr>
        <w:t xml:space="preserve">aindo de </w:t>
      </w:r>
      <w:r>
        <w:rPr>
          <w:rFonts w:ascii="Arial" w:hAnsi="Arial" w:cs="Arial"/>
          <w:sz w:val="20"/>
          <w:szCs w:val="20"/>
        </w:rPr>
        <w:t>42,3</w:t>
      </w:r>
      <w:r w:rsidRPr="005A5406">
        <w:rPr>
          <w:rFonts w:ascii="Arial" w:hAnsi="Arial" w:cs="Arial"/>
          <w:sz w:val="20"/>
          <w:szCs w:val="20"/>
        </w:rPr>
        <w:t xml:space="preserve">% para </w:t>
      </w:r>
      <w:r>
        <w:rPr>
          <w:rFonts w:ascii="Arial" w:hAnsi="Arial" w:cs="Arial"/>
          <w:sz w:val="20"/>
          <w:szCs w:val="20"/>
        </w:rPr>
        <w:t>41,0</w:t>
      </w:r>
      <w:r w:rsidRPr="005A5406">
        <w:rPr>
          <w:rFonts w:ascii="Arial" w:hAnsi="Arial" w:cs="Arial"/>
          <w:sz w:val="20"/>
          <w:szCs w:val="20"/>
        </w:rPr>
        <w:t>%. Os principais produtos negociados com esse parceiro asiático foram: soja em grãos (US$ 3,0</w:t>
      </w:r>
      <w:r>
        <w:rPr>
          <w:rFonts w:ascii="Arial" w:hAnsi="Arial" w:cs="Arial"/>
          <w:sz w:val="20"/>
          <w:szCs w:val="20"/>
        </w:rPr>
        <w:t>4</w:t>
      </w:r>
      <w:r w:rsidRPr="005A5406">
        <w:rPr>
          <w:rFonts w:ascii="Arial" w:hAnsi="Arial" w:cs="Arial"/>
          <w:sz w:val="20"/>
          <w:szCs w:val="20"/>
        </w:rPr>
        <w:t xml:space="preserve"> bilhões e </w:t>
      </w:r>
      <w:r>
        <w:rPr>
          <w:rFonts w:ascii="Arial" w:hAnsi="Arial" w:cs="Arial"/>
          <w:sz w:val="20"/>
          <w:szCs w:val="20"/>
        </w:rPr>
        <w:t>7,53</w:t>
      </w:r>
      <w:r w:rsidRPr="005A5406">
        <w:rPr>
          <w:rFonts w:ascii="Arial" w:hAnsi="Arial" w:cs="Arial"/>
          <w:sz w:val="20"/>
          <w:szCs w:val="20"/>
        </w:rPr>
        <w:t xml:space="preserve"> milhões de toneladas embarcadas); celulose (US$ </w:t>
      </w:r>
      <w:r>
        <w:rPr>
          <w:rFonts w:ascii="Arial" w:hAnsi="Arial" w:cs="Arial"/>
          <w:sz w:val="20"/>
          <w:szCs w:val="20"/>
        </w:rPr>
        <w:t>272,54</w:t>
      </w:r>
      <w:r w:rsidRPr="005A5406">
        <w:rPr>
          <w:rFonts w:ascii="Arial" w:hAnsi="Arial" w:cs="Arial"/>
          <w:sz w:val="20"/>
          <w:szCs w:val="20"/>
        </w:rPr>
        <w:t xml:space="preserve"> milhões); carne </w:t>
      </w:r>
      <w:r>
        <w:rPr>
          <w:rFonts w:ascii="Arial" w:hAnsi="Arial" w:cs="Arial"/>
          <w:sz w:val="20"/>
          <w:szCs w:val="20"/>
        </w:rPr>
        <w:t>de frango</w:t>
      </w:r>
      <w:r w:rsidRPr="005A5406">
        <w:rPr>
          <w:rFonts w:ascii="Arial" w:hAnsi="Arial" w:cs="Arial"/>
          <w:sz w:val="20"/>
          <w:szCs w:val="20"/>
        </w:rPr>
        <w:t xml:space="preserve"> (US$ </w:t>
      </w:r>
      <w:r>
        <w:rPr>
          <w:rFonts w:ascii="Arial" w:hAnsi="Arial" w:cs="Arial"/>
          <w:sz w:val="20"/>
          <w:szCs w:val="20"/>
        </w:rPr>
        <w:t>66,76</w:t>
      </w:r>
      <w:r w:rsidRPr="005A5406">
        <w:rPr>
          <w:rFonts w:ascii="Arial" w:hAnsi="Arial" w:cs="Arial"/>
          <w:sz w:val="20"/>
          <w:szCs w:val="20"/>
        </w:rPr>
        <w:t xml:space="preserve"> milhões); carne </w:t>
      </w:r>
      <w:r>
        <w:rPr>
          <w:rFonts w:ascii="Arial" w:hAnsi="Arial" w:cs="Arial"/>
          <w:sz w:val="20"/>
          <w:szCs w:val="20"/>
        </w:rPr>
        <w:t>bovina</w:t>
      </w:r>
      <w:r w:rsidRPr="005A5406">
        <w:rPr>
          <w:rFonts w:ascii="Arial" w:hAnsi="Arial" w:cs="Arial"/>
          <w:sz w:val="20"/>
          <w:szCs w:val="20"/>
        </w:rPr>
        <w:t xml:space="preserve"> (US$ </w:t>
      </w:r>
      <w:r>
        <w:rPr>
          <w:rFonts w:ascii="Arial" w:hAnsi="Arial" w:cs="Arial"/>
          <w:sz w:val="20"/>
          <w:szCs w:val="20"/>
        </w:rPr>
        <w:t>66,45</w:t>
      </w:r>
      <w:r w:rsidRPr="005A5406">
        <w:rPr>
          <w:rFonts w:ascii="Arial" w:hAnsi="Arial" w:cs="Arial"/>
          <w:sz w:val="20"/>
          <w:szCs w:val="20"/>
        </w:rPr>
        <w:t xml:space="preserve"> milhões); e </w:t>
      </w:r>
      <w:r>
        <w:rPr>
          <w:rFonts w:ascii="Arial" w:hAnsi="Arial" w:cs="Arial"/>
          <w:sz w:val="20"/>
          <w:szCs w:val="20"/>
        </w:rPr>
        <w:t>óleo de soja</w:t>
      </w:r>
      <w:r w:rsidRPr="005A5406">
        <w:rPr>
          <w:rFonts w:ascii="Arial" w:hAnsi="Arial" w:cs="Arial"/>
          <w:sz w:val="20"/>
          <w:szCs w:val="20"/>
        </w:rPr>
        <w:t xml:space="preserve"> (US$ </w:t>
      </w:r>
      <w:r>
        <w:rPr>
          <w:rFonts w:ascii="Arial" w:hAnsi="Arial" w:cs="Arial"/>
          <w:sz w:val="20"/>
          <w:szCs w:val="20"/>
        </w:rPr>
        <w:t>49,52</w:t>
      </w:r>
      <w:r w:rsidRPr="005A5406">
        <w:rPr>
          <w:rFonts w:ascii="Arial" w:hAnsi="Arial" w:cs="Arial"/>
          <w:sz w:val="20"/>
          <w:szCs w:val="20"/>
        </w:rPr>
        <w:t xml:space="preserve"> milhões). </w:t>
      </w:r>
    </w:p>
    <w:p w:rsidR="008F667F" w:rsidRPr="005A5406" w:rsidRDefault="008F667F" w:rsidP="008F667F">
      <w:pPr>
        <w:pStyle w:val="Recuodecorpodetexto"/>
        <w:rPr>
          <w:rFonts w:ascii="Arial" w:hAnsi="Arial" w:cs="Arial"/>
          <w:sz w:val="20"/>
          <w:szCs w:val="20"/>
        </w:rPr>
      </w:pPr>
    </w:p>
    <w:p w:rsidR="008F667F" w:rsidRPr="005A5406" w:rsidRDefault="008F667F" w:rsidP="008F667F">
      <w:pPr>
        <w:pStyle w:val="Recuodecorpodetexto"/>
        <w:rPr>
          <w:rFonts w:ascii="Arial" w:hAnsi="Arial" w:cs="Arial"/>
          <w:sz w:val="20"/>
          <w:szCs w:val="20"/>
        </w:rPr>
      </w:pPr>
      <w:r w:rsidRPr="005A5406">
        <w:rPr>
          <w:rFonts w:ascii="Arial" w:hAnsi="Arial" w:cs="Arial"/>
          <w:sz w:val="20"/>
          <w:szCs w:val="20"/>
        </w:rPr>
        <w:t xml:space="preserve">O segundo principal destino das exportações agropecuárias brasileiras em </w:t>
      </w:r>
      <w:r>
        <w:rPr>
          <w:rFonts w:ascii="Arial" w:hAnsi="Arial" w:cs="Arial"/>
          <w:sz w:val="20"/>
          <w:szCs w:val="20"/>
        </w:rPr>
        <w:t>abril de 2018</w:t>
      </w:r>
      <w:r w:rsidRPr="005A5406">
        <w:rPr>
          <w:rFonts w:ascii="Arial" w:hAnsi="Arial" w:cs="Arial"/>
          <w:sz w:val="20"/>
          <w:szCs w:val="20"/>
        </w:rPr>
        <w:t xml:space="preserve"> foram os Estados Unidos, com US$ </w:t>
      </w:r>
      <w:r>
        <w:rPr>
          <w:rFonts w:ascii="Arial" w:hAnsi="Arial" w:cs="Arial"/>
          <w:sz w:val="20"/>
          <w:szCs w:val="20"/>
        </w:rPr>
        <w:t>541,53</w:t>
      </w:r>
      <w:r w:rsidRPr="005A5406">
        <w:rPr>
          <w:rFonts w:ascii="Arial" w:hAnsi="Arial" w:cs="Arial"/>
          <w:sz w:val="20"/>
          <w:szCs w:val="20"/>
        </w:rPr>
        <w:t xml:space="preserve"> milhões, o que representou aumento de </w:t>
      </w:r>
      <w:r>
        <w:rPr>
          <w:rFonts w:ascii="Arial" w:hAnsi="Arial" w:cs="Arial"/>
          <w:sz w:val="20"/>
          <w:szCs w:val="20"/>
        </w:rPr>
        <w:t>7,6</w:t>
      </w:r>
      <w:r w:rsidRPr="005A5406">
        <w:rPr>
          <w:rFonts w:ascii="Arial" w:hAnsi="Arial" w:cs="Arial"/>
          <w:sz w:val="20"/>
          <w:szCs w:val="20"/>
        </w:rPr>
        <w:t xml:space="preserve">% em comparação aos US$ </w:t>
      </w:r>
      <w:r>
        <w:rPr>
          <w:rFonts w:ascii="Arial" w:hAnsi="Arial" w:cs="Arial"/>
          <w:sz w:val="20"/>
          <w:szCs w:val="20"/>
        </w:rPr>
        <w:t>503,33</w:t>
      </w:r>
      <w:r w:rsidRPr="005A5406">
        <w:rPr>
          <w:rFonts w:ascii="Arial" w:hAnsi="Arial" w:cs="Arial"/>
          <w:sz w:val="20"/>
          <w:szCs w:val="20"/>
        </w:rPr>
        <w:t xml:space="preserve"> milhões negociados no mesmo mês do ano anterior. Tal expansão foi causada principalmente pelo incremento das vendas de: celulose (+US$ </w:t>
      </w:r>
      <w:r>
        <w:rPr>
          <w:rFonts w:ascii="Arial" w:hAnsi="Arial" w:cs="Arial"/>
          <w:sz w:val="20"/>
          <w:szCs w:val="20"/>
        </w:rPr>
        <w:t>44,72</w:t>
      </w:r>
      <w:r w:rsidRPr="005A5406">
        <w:rPr>
          <w:rFonts w:ascii="Arial" w:hAnsi="Arial" w:cs="Arial"/>
          <w:sz w:val="20"/>
          <w:szCs w:val="20"/>
        </w:rPr>
        <w:t xml:space="preserve"> milhões); </w:t>
      </w:r>
      <w:r>
        <w:rPr>
          <w:rFonts w:ascii="Arial" w:hAnsi="Arial" w:cs="Arial"/>
          <w:sz w:val="20"/>
          <w:szCs w:val="20"/>
        </w:rPr>
        <w:t>suco de laranja</w:t>
      </w:r>
      <w:r w:rsidRPr="005A5406">
        <w:rPr>
          <w:rFonts w:ascii="Arial" w:hAnsi="Arial" w:cs="Arial"/>
          <w:sz w:val="20"/>
          <w:szCs w:val="20"/>
        </w:rPr>
        <w:t xml:space="preserve"> (+US$ </w:t>
      </w:r>
      <w:r>
        <w:rPr>
          <w:rFonts w:ascii="Arial" w:hAnsi="Arial" w:cs="Arial"/>
          <w:sz w:val="20"/>
          <w:szCs w:val="20"/>
        </w:rPr>
        <w:t>25,05</w:t>
      </w:r>
      <w:r w:rsidRPr="005A5406">
        <w:rPr>
          <w:rFonts w:ascii="Arial" w:hAnsi="Arial" w:cs="Arial"/>
          <w:sz w:val="20"/>
          <w:szCs w:val="20"/>
        </w:rPr>
        <w:t xml:space="preserve"> milhões); </w:t>
      </w:r>
      <w:r>
        <w:rPr>
          <w:rFonts w:ascii="Arial" w:hAnsi="Arial" w:cs="Arial"/>
          <w:sz w:val="20"/>
          <w:szCs w:val="20"/>
        </w:rPr>
        <w:t>e madeira</w:t>
      </w:r>
      <w:r w:rsidRPr="005A5406">
        <w:rPr>
          <w:rFonts w:ascii="Arial" w:hAnsi="Arial" w:cs="Arial"/>
          <w:sz w:val="20"/>
          <w:szCs w:val="20"/>
        </w:rPr>
        <w:t xml:space="preserve"> (+US$ </w:t>
      </w:r>
      <w:r>
        <w:rPr>
          <w:rFonts w:ascii="Arial" w:hAnsi="Arial" w:cs="Arial"/>
          <w:sz w:val="20"/>
          <w:szCs w:val="20"/>
        </w:rPr>
        <w:t xml:space="preserve">22,81 milhões). </w:t>
      </w:r>
      <w:r w:rsidRPr="005A5406">
        <w:rPr>
          <w:rFonts w:ascii="Arial" w:hAnsi="Arial" w:cs="Arial"/>
          <w:sz w:val="20"/>
          <w:szCs w:val="20"/>
        </w:rPr>
        <w:t xml:space="preserve">Com isso, a participação desse parceiro comercial subiu de </w:t>
      </w:r>
      <w:r>
        <w:rPr>
          <w:rFonts w:ascii="Arial" w:hAnsi="Arial" w:cs="Arial"/>
          <w:sz w:val="20"/>
          <w:szCs w:val="20"/>
        </w:rPr>
        <w:t>5,8</w:t>
      </w:r>
      <w:r w:rsidRPr="005A5406">
        <w:rPr>
          <w:rFonts w:ascii="Arial" w:hAnsi="Arial" w:cs="Arial"/>
          <w:sz w:val="20"/>
          <w:szCs w:val="20"/>
        </w:rPr>
        <w:t xml:space="preserve">% para </w:t>
      </w:r>
      <w:r>
        <w:rPr>
          <w:rFonts w:ascii="Arial" w:hAnsi="Arial" w:cs="Arial"/>
          <w:sz w:val="20"/>
          <w:szCs w:val="20"/>
        </w:rPr>
        <w:t>6,1</w:t>
      </w:r>
      <w:r w:rsidRPr="005A5406">
        <w:rPr>
          <w:rFonts w:ascii="Arial" w:hAnsi="Arial" w:cs="Arial"/>
          <w:sz w:val="20"/>
          <w:szCs w:val="20"/>
        </w:rPr>
        <w:t>%.</w:t>
      </w:r>
    </w:p>
    <w:p w:rsidR="008F667F" w:rsidRPr="000C4C32" w:rsidRDefault="008F667F" w:rsidP="008F667F">
      <w:pPr>
        <w:pStyle w:val="Recuodecorpodetexto"/>
        <w:rPr>
          <w:rFonts w:ascii="Arial" w:hAnsi="Arial" w:cs="Arial"/>
          <w:sz w:val="20"/>
          <w:szCs w:val="20"/>
          <w:highlight w:val="yellow"/>
        </w:rPr>
      </w:pPr>
    </w:p>
    <w:p w:rsidR="008F667F" w:rsidRPr="005A5406" w:rsidRDefault="008F667F" w:rsidP="008F667F">
      <w:pPr>
        <w:pStyle w:val="Recuodecorpodetexto"/>
        <w:rPr>
          <w:rFonts w:ascii="Arial" w:hAnsi="Arial" w:cs="Arial"/>
          <w:sz w:val="20"/>
          <w:szCs w:val="20"/>
        </w:rPr>
      </w:pPr>
      <w:r w:rsidRPr="005A5406">
        <w:rPr>
          <w:rFonts w:ascii="Arial" w:hAnsi="Arial" w:cs="Arial"/>
          <w:sz w:val="20"/>
          <w:szCs w:val="20"/>
        </w:rPr>
        <w:t xml:space="preserve">As exportações para os Países Baixos, terceiro principal comprador de produtos do agronegócio brasileiro </w:t>
      </w:r>
      <w:r>
        <w:rPr>
          <w:rFonts w:ascii="Arial" w:hAnsi="Arial" w:cs="Arial"/>
          <w:sz w:val="20"/>
          <w:szCs w:val="20"/>
        </w:rPr>
        <w:t>no mês</w:t>
      </w:r>
      <w:r w:rsidRPr="005A5406">
        <w:rPr>
          <w:rFonts w:ascii="Arial" w:hAnsi="Arial" w:cs="Arial"/>
          <w:sz w:val="20"/>
          <w:szCs w:val="20"/>
        </w:rPr>
        <w:t xml:space="preserve">, subiram de US$ </w:t>
      </w:r>
      <w:r>
        <w:rPr>
          <w:rFonts w:ascii="Arial" w:hAnsi="Arial" w:cs="Arial"/>
          <w:sz w:val="20"/>
          <w:szCs w:val="20"/>
        </w:rPr>
        <w:t>311,55 milhões em abril de 2017</w:t>
      </w:r>
      <w:r w:rsidRPr="005A5406">
        <w:rPr>
          <w:rFonts w:ascii="Arial" w:hAnsi="Arial" w:cs="Arial"/>
          <w:sz w:val="20"/>
          <w:szCs w:val="20"/>
        </w:rPr>
        <w:t xml:space="preserve"> para US$ </w:t>
      </w:r>
      <w:r>
        <w:rPr>
          <w:rFonts w:ascii="Arial" w:hAnsi="Arial" w:cs="Arial"/>
          <w:sz w:val="20"/>
          <w:szCs w:val="20"/>
        </w:rPr>
        <w:t>375,87</w:t>
      </w:r>
      <w:r w:rsidRPr="005A5406">
        <w:rPr>
          <w:rFonts w:ascii="Arial" w:hAnsi="Arial" w:cs="Arial"/>
          <w:sz w:val="20"/>
          <w:szCs w:val="20"/>
        </w:rPr>
        <w:t xml:space="preserve"> milhões em </w:t>
      </w:r>
      <w:r>
        <w:rPr>
          <w:rFonts w:ascii="Arial" w:hAnsi="Arial" w:cs="Arial"/>
          <w:sz w:val="20"/>
          <w:szCs w:val="20"/>
        </w:rPr>
        <w:t>abril de 2018</w:t>
      </w:r>
      <w:r w:rsidRPr="005A5406">
        <w:rPr>
          <w:rFonts w:ascii="Arial" w:hAnsi="Arial" w:cs="Arial"/>
          <w:sz w:val="20"/>
          <w:szCs w:val="20"/>
        </w:rPr>
        <w:t xml:space="preserve"> (+</w:t>
      </w:r>
      <w:r>
        <w:rPr>
          <w:rFonts w:ascii="Arial" w:hAnsi="Arial" w:cs="Arial"/>
          <w:sz w:val="20"/>
          <w:szCs w:val="20"/>
        </w:rPr>
        <w:t>20,6</w:t>
      </w:r>
      <w:r w:rsidRPr="005A5406">
        <w:rPr>
          <w:rFonts w:ascii="Arial" w:hAnsi="Arial" w:cs="Arial"/>
          <w:sz w:val="20"/>
          <w:szCs w:val="20"/>
        </w:rPr>
        <w:t xml:space="preserve">%), quase que exclusivamente pela intensificação do comércio de soja em grãos (+US$ </w:t>
      </w:r>
      <w:r>
        <w:rPr>
          <w:rFonts w:ascii="Arial" w:hAnsi="Arial" w:cs="Arial"/>
          <w:sz w:val="20"/>
          <w:szCs w:val="20"/>
        </w:rPr>
        <w:t>55,52</w:t>
      </w:r>
      <w:r w:rsidRPr="005A5406">
        <w:rPr>
          <w:rFonts w:ascii="Arial" w:hAnsi="Arial" w:cs="Arial"/>
          <w:sz w:val="20"/>
          <w:szCs w:val="20"/>
        </w:rPr>
        <w:t xml:space="preserve"> milhões) e de </w:t>
      </w:r>
      <w:r>
        <w:rPr>
          <w:rFonts w:ascii="Arial" w:hAnsi="Arial" w:cs="Arial"/>
          <w:sz w:val="20"/>
          <w:szCs w:val="20"/>
        </w:rPr>
        <w:t>suco de laranja</w:t>
      </w:r>
      <w:r w:rsidRPr="005A5406">
        <w:rPr>
          <w:rFonts w:ascii="Arial" w:hAnsi="Arial" w:cs="Arial"/>
          <w:sz w:val="20"/>
          <w:szCs w:val="20"/>
        </w:rPr>
        <w:t xml:space="preserve"> (+US$ </w:t>
      </w:r>
      <w:r>
        <w:rPr>
          <w:rFonts w:ascii="Arial" w:hAnsi="Arial" w:cs="Arial"/>
          <w:sz w:val="20"/>
          <w:szCs w:val="20"/>
        </w:rPr>
        <w:t>19,56 milhões). Em consequência</w:t>
      </w:r>
      <w:r w:rsidRPr="005A5406">
        <w:rPr>
          <w:rFonts w:ascii="Arial" w:hAnsi="Arial" w:cs="Arial"/>
          <w:sz w:val="20"/>
          <w:szCs w:val="20"/>
        </w:rPr>
        <w:t xml:space="preserve"> desse crescimento, a participação dos Países Baixos nas exportações do agronegócio brasileiro </w:t>
      </w:r>
      <w:r>
        <w:rPr>
          <w:rFonts w:ascii="Arial" w:hAnsi="Arial" w:cs="Arial"/>
          <w:sz w:val="20"/>
          <w:szCs w:val="20"/>
        </w:rPr>
        <w:t>cresceu</w:t>
      </w:r>
      <w:r w:rsidRPr="005A5406">
        <w:rPr>
          <w:rFonts w:ascii="Arial" w:hAnsi="Arial" w:cs="Arial"/>
          <w:sz w:val="20"/>
          <w:szCs w:val="20"/>
        </w:rPr>
        <w:t xml:space="preserve"> de </w:t>
      </w:r>
      <w:r>
        <w:rPr>
          <w:rFonts w:ascii="Arial" w:hAnsi="Arial" w:cs="Arial"/>
          <w:sz w:val="20"/>
          <w:szCs w:val="20"/>
        </w:rPr>
        <w:t>3,6</w:t>
      </w:r>
      <w:r w:rsidRPr="005A5406">
        <w:rPr>
          <w:rFonts w:ascii="Arial" w:hAnsi="Arial" w:cs="Arial"/>
          <w:sz w:val="20"/>
          <w:szCs w:val="20"/>
        </w:rPr>
        <w:t xml:space="preserve">% para </w:t>
      </w:r>
      <w:r>
        <w:rPr>
          <w:rFonts w:ascii="Arial" w:hAnsi="Arial" w:cs="Arial"/>
          <w:sz w:val="20"/>
          <w:szCs w:val="20"/>
        </w:rPr>
        <w:t>4</w:t>
      </w:r>
      <w:r w:rsidRPr="005A5406">
        <w:rPr>
          <w:rFonts w:ascii="Arial" w:hAnsi="Arial" w:cs="Arial"/>
          <w:sz w:val="20"/>
          <w:szCs w:val="20"/>
        </w:rPr>
        <w:t>,2%.</w:t>
      </w:r>
    </w:p>
    <w:p w:rsidR="008F667F" w:rsidRPr="005A5406" w:rsidRDefault="008F667F" w:rsidP="008F667F">
      <w:pPr>
        <w:pStyle w:val="Recuodecorpodetexto"/>
        <w:rPr>
          <w:rFonts w:ascii="Arial" w:hAnsi="Arial" w:cs="Arial"/>
          <w:sz w:val="20"/>
          <w:szCs w:val="20"/>
        </w:rPr>
      </w:pPr>
    </w:p>
    <w:p w:rsidR="008F667F" w:rsidRPr="004446F3" w:rsidRDefault="008F667F" w:rsidP="008F667F">
      <w:pPr>
        <w:pStyle w:val="Recuodecorpodetexto"/>
        <w:rPr>
          <w:rFonts w:ascii="Arial" w:hAnsi="Arial" w:cs="Arial"/>
          <w:sz w:val="20"/>
          <w:szCs w:val="20"/>
        </w:rPr>
      </w:pPr>
      <w:r w:rsidRPr="005A5406">
        <w:rPr>
          <w:rFonts w:ascii="Arial" w:hAnsi="Arial" w:cs="Arial"/>
          <w:sz w:val="20"/>
          <w:szCs w:val="20"/>
        </w:rPr>
        <w:t xml:space="preserve">Em relação ao dinamismo das exportações, os principais destaques </w:t>
      </w:r>
      <w:r>
        <w:rPr>
          <w:rFonts w:ascii="Arial" w:hAnsi="Arial" w:cs="Arial"/>
          <w:sz w:val="20"/>
          <w:szCs w:val="20"/>
        </w:rPr>
        <w:t>do mês</w:t>
      </w:r>
      <w:r w:rsidRPr="005A5406">
        <w:rPr>
          <w:rFonts w:ascii="Arial" w:hAnsi="Arial" w:cs="Arial"/>
          <w:sz w:val="20"/>
          <w:szCs w:val="20"/>
        </w:rPr>
        <w:t xml:space="preserve"> foram: </w:t>
      </w:r>
      <w:r>
        <w:rPr>
          <w:rFonts w:ascii="Arial" w:hAnsi="Arial" w:cs="Arial"/>
          <w:sz w:val="20"/>
          <w:szCs w:val="20"/>
        </w:rPr>
        <w:t>Portugal</w:t>
      </w:r>
      <w:r w:rsidRPr="005A5406">
        <w:rPr>
          <w:rFonts w:ascii="Arial" w:hAnsi="Arial" w:cs="Arial"/>
          <w:sz w:val="20"/>
          <w:szCs w:val="20"/>
        </w:rPr>
        <w:t xml:space="preserve"> (US$ </w:t>
      </w:r>
      <w:r>
        <w:rPr>
          <w:rFonts w:ascii="Arial" w:hAnsi="Arial" w:cs="Arial"/>
          <w:sz w:val="20"/>
          <w:szCs w:val="20"/>
        </w:rPr>
        <w:t>107,08</w:t>
      </w:r>
      <w:r w:rsidRPr="005A5406">
        <w:rPr>
          <w:rFonts w:ascii="Arial" w:hAnsi="Arial" w:cs="Arial"/>
          <w:sz w:val="20"/>
          <w:szCs w:val="20"/>
        </w:rPr>
        <w:t xml:space="preserve"> milhões e +</w:t>
      </w:r>
      <w:r>
        <w:rPr>
          <w:rFonts w:ascii="Arial" w:hAnsi="Arial" w:cs="Arial"/>
          <w:sz w:val="20"/>
          <w:szCs w:val="20"/>
        </w:rPr>
        <w:t>675,3</w:t>
      </w:r>
      <w:r w:rsidRPr="005A5406">
        <w:rPr>
          <w:rFonts w:ascii="Arial" w:hAnsi="Arial" w:cs="Arial"/>
          <w:sz w:val="20"/>
          <w:szCs w:val="20"/>
        </w:rPr>
        <w:t xml:space="preserve">%); </w:t>
      </w:r>
      <w:r>
        <w:rPr>
          <w:rFonts w:ascii="Arial" w:hAnsi="Arial" w:cs="Arial"/>
          <w:sz w:val="20"/>
          <w:szCs w:val="20"/>
        </w:rPr>
        <w:t>Paquistão</w:t>
      </w:r>
      <w:r w:rsidRPr="005A5406">
        <w:rPr>
          <w:rFonts w:ascii="Arial" w:hAnsi="Arial" w:cs="Arial"/>
          <w:sz w:val="20"/>
          <w:szCs w:val="20"/>
        </w:rPr>
        <w:t xml:space="preserve"> (US$ </w:t>
      </w:r>
      <w:r>
        <w:rPr>
          <w:rFonts w:ascii="Arial" w:hAnsi="Arial" w:cs="Arial"/>
          <w:sz w:val="20"/>
          <w:szCs w:val="20"/>
        </w:rPr>
        <w:t>126,08</w:t>
      </w:r>
      <w:r w:rsidRPr="005A5406">
        <w:rPr>
          <w:rFonts w:ascii="Arial" w:hAnsi="Arial" w:cs="Arial"/>
          <w:sz w:val="20"/>
          <w:szCs w:val="20"/>
        </w:rPr>
        <w:t xml:space="preserve"> milhões e +</w:t>
      </w:r>
      <w:r>
        <w:rPr>
          <w:rFonts w:ascii="Arial" w:hAnsi="Arial" w:cs="Arial"/>
          <w:sz w:val="20"/>
          <w:szCs w:val="20"/>
        </w:rPr>
        <w:t>97,8</w:t>
      </w:r>
      <w:r w:rsidRPr="005A5406">
        <w:rPr>
          <w:rFonts w:ascii="Arial" w:hAnsi="Arial" w:cs="Arial"/>
          <w:sz w:val="20"/>
          <w:szCs w:val="20"/>
        </w:rPr>
        <w:t xml:space="preserve">%); </w:t>
      </w:r>
      <w:r>
        <w:rPr>
          <w:rFonts w:ascii="Arial" w:hAnsi="Arial" w:cs="Arial"/>
          <w:sz w:val="20"/>
          <w:szCs w:val="20"/>
        </w:rPr>
        <w:t>Vietnã</w:t>
      </w:r>
      <w:r w:rsidRPr="005A5406">
        <w:rPr>
          <w:rFonts w:ascii="Arial" w:hAnsi="Arial" w:cs="Arial"/>
          <w:sz w:val="20"/>
          <w:szCs w:val="20"/>
        </w:rPr>
        <w:t xml:space="preserve"> (US$ </w:t>
      </w:r>
      <w:r>
        <w:rPr>
          <w:rFonts w:ascii="Arial" w:hAnsi="Arial" w:cs="Arial"/>
          <w:sz w:val="20"/>
          <w:szCs w:val="20"/>
        </w:rPr>
        <w:t>142,18</w:t>
      </w:r>
      <w:r w:rsidRPr="005A5406">
        <w:rPr>
          <w:rFonts w:ascii="Arial" w:hAnsi="Arial" w:cs="Arial"/>
          <w:sz w:val="20"/>
          <w:szCs w:val="20"/>
        </w:rPr>
        <w:t xml:space="preserve"> milhões e +</w:t>
      </w:r>
      <w:r>
        <w:rPr>
          <w:rFonts w:ascii="Arial" w:hAnsi="Arial" w:cs="Arial"/>
          <w:sz w:val="20"/>
          <w:szCs w:val="20"/>
        </w:rPr>
        <w:t>78,9</w:t>
      </w:r>
      <w:r w:rsidRPr="005A5406">
        <w:rPr>
          <w:rFonts w:ascii="Arial" w:hAnsi="Arial" w:cs="Arial"/>
          <w:sz w:val="20"/>
          <w:szCs w:val="20"/>
        </w:rPr>
        <w:t xml:space="preserve">%); </w:t>
      </w:r>
      <w:r>
        <w:rPr>
          <w:rFonts w:ascii="Arial" w:hAnsi="Arial" w:cs="Arial"/>
          <w:sz w:val="20"/>
          <w:szCs w:val="20"/>
        </w:rPr>
        <w:t>Turquia</w:t>
      </w:r>
      <w:r w:rsidRPr="005A5406">
        <w:rPr>
          <w:rFonts w:ascii="Arial" w:hAnsi="Arial" w:cs="Arial"/>
          <w:sz w:val="20"/>
          <w:szCs w:val="20"/>
        </w:rPr>
        <w:t xml:space="preserve"> (US$ </w:t>
      </w:r>
      <w:r>
        <w:rPr>
          <w:rFonts w:ascii="Arial" w:hAnsi="Arial" w:cs="Arial"/>
          <w:sz w:val="20"/>
          <w:szCs w:val="20"/>
        </w:rPr>
        <w:t>148,29</w:t>
      </w:r>
      <w:r w:rsidRPr="005A5406">
        <w:rPr>
          <w:rFonts w:ascii="Arial" w:hAnsi="Arial" w:cs="Arial"/>
          <w:sz w:val="20"/>
          <w:szCs w:val="20"/>
        </w:rPr>
        <w:t xml:space="preserve"> milhões e +</w:t>
      </w:r>
      <w:r>
        <w:rPr>
          <w:rFonts w:ascii="Arial" w:hAnsi="Arial" w:cs="Arial"/>
          <w:sz w:val="20"/>
          <w:szCs w:val="20"/>
        </w:rPr>
        <w:t>69,1</w:t>
      </w:r>
      <w:r w:rsidRPr="005A5406">
        <w:rPr>
          <w:rFonts w:ascii="Arial" w:hAnsi="Arial" w:cs="Arial"/>
          <w:sz w:val="20"/>
          <w:szCs w:val="20"/>
        </w:rPr>
        <w:t xml:space="preserve">%); </w:t>
      </w:r>
      <w:r>
        <w:rPr>
          <w:rFonts w:ascii="Arial" w:hAnsi="Arial" w:cs="Arial"/>
          <w:sz w:val="20"/>
          <w:szCs w:val="20"/>
        </w:rPr>
        <w:t>Alemanha</w:t>
      </w:r>
      <w:r w:rsidRPr="005A5406">
        <w:rPr>
          <w:rFonts w:ascii="Arial" w:hAnsi="Arial" w:cs="Arial"/>
          <w:sz w:val="20"/>
          <w:szCs w:val="20"/>
        </w:rPr>
        <w:t xml:space="preserve"> (US$ </w:t>
      </w:r>
      <w:r>
        <w:rPr>
          <w:rFonts w:ascii="Arial" w:hAnsi="Arial" w:cs="Arial"/>
          <w:sz w:val="20"/>
          <w:szCs w:val="20"/>
        </w:rPr>
        <w:t>238,73</w:t>
      </w:r>
      <w:r w:rsidRPr="005A5406">
        <w:rPr>
          <w:rFonts w:ascii="Arial" w:hAnsi="Arial" w:cs="Arial"/>
          <w:sz w:val="20"/>
          <w:szCs w:val="20"/>
        </w:rPr>
        <w:t xml:space="preserve"> milhões e +</w:t>
      </w:r>
      <w:r>
        <w:rPr>
          <w:rFonts w:ascii="Arial" w:hAnsi="Arial" w:cs="Arial"/>
          <w:sz w:val="20"/>
          <w:szCs w:val="20"/>
        </w:rPr>
        <w:t>48,2</w:t>
      </w:r>
      <w:r w:rsidRPr="005A5406">
        <w:rPr>
          <w:rFonts w:ascii="Arial" w:hAnsi="Arial" w:cs="Arial"/>
          <w:sz w:val="20"/>
          <w:szCs w:val="20"/>
        </w:rPr>
        <w:t xml:space="preserve">%); </w:t>
      </w:r>
      <w:r>
        <w:rPr>
          <w:rFonts w:ascii="Arial" w:hAnsi="Arial" w:cs="Arial"/>
          <w:sz w:val="20"/>
          <w:szCs w:val="20"/>
        </w:rPr>
        <w:t>Itália</w:t>
      </w:r>
      <w:r w:rsidRPr="005A5406">
        <w:rPr>
          <w:rFonts w:ascii="Arial" w:hAnsi="Arial" w:cs="Arial"/>
          <w:sz w:val="20"/>
          <w:szCs w:val="20"/>
        </w:rPr>
        <w:t xml:space="preserve"> (US$ </w:t>
      </w:r>
      <w:r>
        <w:rPr>
          <w:rFonts w:ascii="Arial" w:hAnsi="Arial" w:cs="Arial"/>
          <w:sz w:val="20"/>
          <w:szCs w:val="20"/>
        </w:rPr>
        <w:t>185,35</w:t>
      </w:r>
      <w:r w:rsidRPr="005A5406">
        <w:rPr>
          <w:rFonts w:ascii="Arial" w:hAnsi="Arial" w:cs="Arial"/>
          <w:sz w:val="20"/>
          <w:szCs w:val="20"/>
        </w:rPr>
        <w:t xml:space="preserve"> milhões e +</w:t>
      </w:r>
      <w:r>
        <w:rPr>
          <w:rFonts w:ascii="Arial" w:hAnsi="Arial" w:cs="Arial"/>
          <w:sz w:val="20"/>
          <w:szCs w:val="20"/>
        </w:rPr>
        <w:t>47,5</w:t>
      </w:r>
      <w:r w:rsidRPr="005A5406">
        <w:rPr>
          <w:rFonts w:ascii="Arial" w:hAnsi="Arial" w:cs="Arial"/>
          <w:sz w:val="20"/>
          <w:szCs w:val="20"/>
        </w:rPr>
        <w:t>%)</w:t>
      </w:r>
      <w:r>
        <w:rPr>
          <w:rFonts w:ascii="Arial" w:hAnsi="Arial" w:cs="Arial"/>
          <w:sz w:val="20"/>
          <w:szCs w:val="20"/>
        </w:rPr>
        <w:t>; e Argentina (US$ 153,02 milhões e +44,9%).</w:t>
      </w:r>
    </w:p>
    <w:p w:rsidR="002B1A0F" w:rsidRPr="002B1A0F" w:rsidRDefault="002B1A0F" w:rsidP="002B1A0F"/>
    <w:p w:rsidR="00AB2FF5" w:rsidRPr="00826906" w:rsidRDefault="00AB2FF5" w:rsidP="009C7265">
      <w:pPr>
        <w:pStyle w:val="Recuodecorpodetexto"/>
        <w:rPr>
          <w:rFonts w:ascii="Arial" w:hAnsi="Arial" w:cs="Arial"/>
          <w:color w:val="000000" w:themeColor="text1"/>
          <w:sz w:val="20"/>
          <w:szCs w:val="20"/>
        </w:rPr>
      </w:pPr>
    </w:p>
    <w:p w:rsidR="004731CC" w:rsidRPr="00826906" w:rsidRDefault="002B1A0F" w:rsidP="00AB2FF5">
      <w:pPr>
        <w:rPr>
          <w:rFonts w:ascii="Arial" w:hAnsi="Arial" w:cs="Arial"/>
        </w:rPr>
      </w:pPr>
      <w:r w:rsidRPr="002B1A0F">
        <w:rPr>
          <w:noProof/>
        </w:rPr>
        <w:drawing>
          <wp:inline distT="0" distB="0" distL="0" distR="0" wp14:anchorId="338711A1" wp14:editId="01DECF40">
            <wp:extent cx="6480175" cy="3879215"/>
            <wp:effectExtent l="0" t="0" r="0" b="698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80175" cy="3879215"/>
                    </a:xfrm>
                    <a:prstGeom prst="rect">
                      <a:avLst/>
                    </a:prstGeom>
                  </pic:spPr>
                </pic:pic>
              </a:graphicData>
            </a:graphic>
          </wp:inline>
        </w:drawing>
      </w:r>
    </w:p>
    <w:p w:rsidR="00202D83" w:rsidRDefault="00202D83" w:rsidP="00AB2FF5">
      <w:pPr>
        <w:rPr>
          <w:rFonts w:ascii="Arial" w:hAnsi="Arial" w:cs="Arial"/>
        </w:rPr>
      </w:pPr>
    </w:p>
    <w:p w:rsidR="00826906" w:rsidRPr="00826906" w:rsidRDefault="00826906" w:rsidP="00AB2FF5">
      <w:pPr>
        <w:rPr>
          <w:rFonts w:ascii="Arial" w:hAnsi="Arial" w:cs="Arial"/>
        </w:rPr>
      </w:pPr>
    </w:p>
    <w:p w:rsidR="003B632E" w:rsidRPr="00826906" w:rsidRDefault="003B632E" w:rsidP="003B632E">
      <w:pPr>
        <w:autoSpaceDE w:val="0"/>
        <w:autoSpaceDN w:val="0"/>
        <w:adjustRightInd w:val="0"/>
        <w:jc w:val="both"/>
        <w:rPr>
          <w:rFonts w:ascii="Arial" w:hAnsi="Arial" w:cs="Arial"/>
          <w:b/>
          <w:sz w:val="20"/>
          <w:szCs w:val="20"/>
        </w:rPr>
      </w:pPr>
      <w:r w:rsidRPr="00826906">
        <w:rPr>
          <w:rFonts w:ascii="Arial" w:hAnsi="Arial" w:cs="Arial"/>
          <w:b/>
          <w:sz w:val="20"/>
          <w:szCs w:val="20"/>
        </w:rPr>
        <w:t>II – Resultados do Ano (comparativo Janeiro-</w:t>
      </w:r>
      <w:r w:rsidR="00A560CC">
        <w:rPr>
          <w:rFonts w:ascii="Arial" w:hAnsi="Arial" w:cs="Arial"/>
          <w:b/>
          <w:sz w:val="20"/>
          <w:szCs w:val="20"/>
        </w:rPr>
        <w:t>Abril</w:t>
      </w:r>
      <w:r w:rsidR="007763E5">
        <w:rPr>
          <w:rFonts w:ascii="Arial" w:hAnsi="Arial" w:cs="Arial"/>
          <w:b/>
          <w:sz w:val="20"/>
          <w:szCs w:val="20"/>
        </w:rPr>
        <w:t>/2018</w:t>
      </w:r>
      <w:r w:rsidRPr="00826906">
        <w:rPr>
          <w:rFonts w:ascii="Arial" w:hAnsi="Arial" w:cs="Arial"/>
          <w:b/>
          <w:sz w:val="20"/>
          <w:szCs w:val="20"/>
        </w:rPr>
        <w:t xml:space="preserve"> – Janeiro-</w:t>
      </w:r>
      <w:r w:rsidR="00A560CC">
        <w:rPr>
          <w:rFonts w:ascii="Arial" w:hAnsi="Arial" w:cs="Arial"/>
          <w:b/>
          <w:sz w:val="20"/>
          <w:szCs w:val="20"/>
        </w:rPr>
        <w:t>Abril</w:t>
      </w:r>
      <w:r w:rsidRPr="00826906">
        <w:rPr>
          <w:rFonts w:ascii="Arial" w:hAnsi="Arial" w:cs="Arial"/>
          <w:b/>
          <w:sz w:val="20"/>
          <w:szCs w:val="20"/>
        </w:rPr>
        <w:t>/201</w:t>
      </w:r>
      <w:r w:rsidR="007763E5">
        <w:rPr>
          <w:rFonts w:ascii="Arial" w:hAnsi="Arial" w:cs="Arial"/>
          <w:b/>
          <w:sz w:val="20"/>
          <w:szCs w:val="20"/>
        </w:rPr>
        <w:t>7</w:t>
      </w:r>
      <w:r w:rsidRPr="00826906">
        <w:rPr>
          <w:rFonts w:ascii="Arial" w:hAnsi="Arial" w:cs="Arial"/>
          <w:b/>
          <w:sz w:val="20"/>
          <w:szCs w:val="20"/>
        </w:rPr>
        <w:t>)</w:t>
      </w:r>
    </w:p>
    <w:p w:rsidR="003B632E" w:rsidRDefault="003B632E" w:rsidP="003B632E">
      <w:pPr>
        <w:autoSpaceDE w:val="0"/>
        <w:autoSpaceDN w:val="0"/>
        <w:adjustRightInd w:val="0"/>
        <w:jc w:val="both"/>
        <w:rPr>
          <w:rFonts w:ascii="Arial" w:hAnsi="Arial" w:cs="Arial"/>
          <w:b/>
          <w:sz w:val="20"/>
          <w:szCs w:val="20"/>
        </w:rPr>
      </w:pPr>
    </w:p>
    <w:p w:rsidR="00D12C0B" w:rsidRDefault="00D12C0B" w:rsidP="00DD0277">
      <w:pPr>
        <w:pStyle w:val="Recuodecorpodetexto"/>
        <w:rPr>
          <w:rFonts w:ascii="Arial" w:hAnsi="Arial" w:cs="Arial"/>
          <w:sz w:val="20"/>
          <w:szCs w:val="20"/>
        </w:rPr>
      </w:pPr>
      <w:r>
        <w:rPr>
          <w:rFonts w:ascii="Arial" w:hAnsi="Arial" w:cs="Arial"/>
          <w:sz w:val="20"/>
          <w:szCs w:val="20"/>
        </w:rPr>
        <w:t>As exportações do agronegócio entre janeiro e abril de 2018 foram de US$ 30,47 bilhões. Este número significou uma expansão de 4,4% em relação aos US$ 29,18 bilhões exportados entre janeiro e abril de 2017. O resultado positivo foi influenciado pela elevação de 5,6% no índice de quantum das exportações do agronegócio, uma vez que o índice de preço dos produtos do agronegócio caiu 1,1%.</w:t>
      </w:r>
    </w:p>
    <w:p w:rsidR="00D12C0B" w:rsidRDefault="00D12C0B" w:rsidP="00DD0277">
      <w:pPr>
        <w:pStyle w:val="Recuodecorpodetexto"/>
        <w:rPr>
          <w:rFonts w:ascii="Arial" w:hAnsi="Arial" w:cs="Arial"/>
          <w:sz w:val="20"/>
          <w:szCs w:val="20"/>
        </w:rPr>
      </w:pPr>
    </w:p>
    <w:p w:rsidR="00D12C0B" w:rsidRDefault="00D12C0B" w:rsidP="00DD0277">
      <w:pPr>
        <w:pStyle w:val="Recuodecorpodetexto"/>
        <w:rPr>
          <w:rFonts w:ascii="Arial" w:hAnsi="Arial" w:cs="Arial"/>
          <w:sz w:val="20"/>
          <w:szCs w:val="20"/>
        </w:rPr>
      </w:pPr>
      <w:r>
        <w:rPr>
          <w:rFonts w:ascii="Arial" w:hAnsi="Arial" w:cs="Arial"/>
          <w:sz w:val="20"/>
          <w:szCs w:val="20"/>
        </w:rPr>
        <w:t>O crescimento das exportações dos demais setores suplantou o do agronegócio, ficando em 13,1% no período em análise. Com efeito, a participação do agronegócio nas exportações brasileiras foi reduzida de 42,8% no primeiro quadrimestre de 2017 para 40,9% no primeiro quadrimestre de 2018.</w:t>
      </w:r>
    </w:p>
    <w:p w:rsidR="00D12C0B" w:rsidRDefault="00D12C0B" w:rsidP="00DD0277">
      <w:pPr>
        <w:pStyle w:val="Recuodecorpodetexto"/>
        <w:rPr>
          <w:rFonts w:ascii="Arial" w:hAnsi="Arial" w:cs="Arial"/>
          <w:sz w:val="20"/>
          <w:szCs w:val="20"/>
        </w:rPr>
      </w:pPr>
    </w:p>
    <w:p w:rsidR="00D12C0B" w:rsidRDefault="00D12C0B" w:rsidP="00DD0277">
      <w:pPr>
        <w:pStyle w:val="Recuodecorpodetexto"/>
        <w:rPr>
          <w:rFonts w:ascii="Arial" w:hAnsi="Arial" w:cs="Arial"/>
          <w:sz w:val="20"/>
          <w:szCs w:val="20"/>
        </w:rPr>
      </w:pPr>
      <w:r>
        <w:rPr>
          <w:rFonts w:ascii="Arial" w:hAnsi="Arial" w:cs="Arial"/>
          <w:sz w:val="20"/>
          <w:szCs w:val="20"/>
        </w:rPr>
        <w:t xml:space="preserve">As importações de produtos do agronegócio subiram de US$ 4,84 bilhões entre janeiro e abril de 2017 para US$ 4,91 bilhões entre janeiro e abril de 2018 (+1,4%). </w:t>
      </w:r>
    </w:p>
    <w:p w:rsidR="00D12C0B" w:rsidRDefault="00D12C0B" w:rsidP="00DD0277">
      <w:pPr>
        <w:pStyle w:val="Recuodecorpodetexto"/>
        <w:rPr>
          <w:rFonts w:ascii="Arial" w:hAnsi="Arial" w:cs="Arial"/>
          <w:sz w:val="20"/>
          <w:szCs w:val="20"/>
        </w:rPr>
      </w:pPr>
    </w:p>
    <w:p w:rsidR="00D12C0B" w:rsidRDefault="00D12C0B" w:rsidP="00DD0277">
      <w:pPr>
        <w:pStyle w:val="Recuodecorpodetexto"/>
        <w:rPr>
          <w:rFonts w:ascii="Arial" w:hAnsi="Arial" w:cs="Arial"/>
          <w:sz w:val="20"/>
          <w:szCs w:val="20"/>
        </w:rPr>
      </w:pPr>
      <w:r>
        <w:rPr>
          <w:rFonts w:ascii="Arial" w:hAnsi="Arial" w:cs="Arial"/>
          <w:sz w:val="20"/>
          <w:szCs w:val="20"/>
        </w:rPr>
        <w:t>O crescimento das exportações de produtos do agronegócio (4,4%) em ritmo superior ao das importações (+1,4%) possibilitou uma expansão do saldo superavitário do setor, que subiu de US$ 24,34 bilhões no primeiro quadrimestre de 2017 para US$ 25,56 bilhões no primeiro quadrimestre de 2018.</w:t>
      </w:r>
    </w:p>
    <w:p w:rsidR="003B632E" w:rsidRPr="00826906" w:rsidRDefault="003B632E" w:rsidP="003B632E">
      <w:pPr>
        <w:autoSpaceDE w:val="0"/>
        <w:autoSpaceDN w:val="0"/>
        <w:adjustRightInd w:val="0"/>
        <w:jc w:val="both"/>
        <w:rPr>
          <w:rFonts w:ascii="Arial" w:hAnsi="Arial" w:cs="Arial"/>
          <w:b/>
          <w:sz w:val="20"/>
          <w:szCs w:val="20"/>
        </w:rPr>
      </w:pPr>
    </w:p>
    <w:p w:rsidR="003B632E" w:rsidRDefault="003B632E" w:rsidP="003B632E">
      <w:pPr>
        <w:pStyle w:val="Ttulo5"/>
        <w:autoSpaceDE/>
        <w:autoSpaceDN/>
        <w:adjustRightInd/>
        <w:rPr>
          <w:rFonts w:ascii="Arial" w:hAnsi="Arial" w:cs="Arial"/>
          <w:sz w:val="20"/>
          <w:szCs w:val="20"/>
        </w:rPr>
      </w:pPr>
      <w:r w:rsidRPr="00826906">
        <w:rPr>
          <w:rFonts w:ascii="Arial" w:hAnsi="Arial" w:cs="Arial"/>
          <w:sz w:val="20"/>
          <w:szCs w:val="20"/>
        </w:rPr>
        <w:t>II.a – Setores do Agronegócio</w:t>
      </w:r>
    </w:p>
    <w:p w:rsidR="00D12C0B" w:rsidRDefault="00D12C0B" w:rsidP="00D12C0B"/>
    <w:p w:rsidR="00D12C0B" w:rsidRDefault="00D12C0B" w:rsidP="00DD0277">
      <w:pPr>
        <w:pStyle w:val="Recuodecorpodetexto"/>
        <w:rPr>
          <w:rFonts w:ascii="Arial" w:hAnsi="Arial" w:cs="Arial"/>
          <w:sz w:val="20"/>
          <w:szCs w:val="20"/>
        </w:rPr>
      </w:pPr>
      <w:r>
        <w:rPr>
          <w:rFonts w:ascii="Arial" w:hAnsi="Arial" w:cs="Arial"/>
          <w:sz w:val="20"/>
          <w:szCs w:val="20"/>
        </w:rPr>
        <w:t xml:space="preserve">Os cinco principais setores exportadores do agronegócio neste primeiro quadrimestre de 2018 foram: complexo soja (38,0%), produtos florestais (15,2%), carnes (15,1%), complexo sucroalcooleiro (7,3%) e café (5,3%). Esses cinco principais setores exportadores foram responsáveis por 81,0% do valor total exportado entre janeiro e abril. Entre janeiro e abril de 2017, os mesmos setores participaram com 84,7% do valor total exportado. Houve uma desconcentração da pauta exportada no período, principalmente em função da forte queda de participação do complexo sucroalcooleiro, que perdeu 4,5 pontos percentuais de participação na pauta exportadora. </w:t>
      </w:r>
    </w:p>
    <w:p w:rsidR="00D12C0B" w:rsidRDefault="00D12C0B" w:rsidP="00DD0277">
      <w:pPr>
        <w:pStyle w:val="Recuodecorpodetexto"/>
        <w:rPr>
          <w:rFonts w:ascii="Arial" w:hAnsi="Arial" w:cs="Arial"/>
          <w:sz w:val="20"/>
          <w:szCs w:val="20"/>
        </w:rPr>
      </w:pPr>
    </w:p>
    <w:p w:rsidR="00D12C0B" w:rsidRDefault="00D12C0B" w:rsidP="00DD0277">
      <w:pPr>
        <w:pStyle w:val="Recuodecorpodetexto"/>
        <w:rPr>
          <w:rFonts w:ascii="Arial" w:hAnsi="Arial" w:cs="Arial"/>
          <w:sz w:val="20"/>
          <w:szCs w:val="20"/>
        </w:rPr>
      </w:pPr>
      <w:r>
        <w:rPr>
          <w:rFonts w:ascii="Arial" w:hAnsi="Arial" w:cs="Arial"/>
          <w:sz w:val="20"/>
          <w:szCs w:val="20"/>
        </w:rPr>
        <w:t>O complexo soja, principal setor exportador, contribuiu com US$ 11,59 bilhões (+2,7%) em vendas externas no primeiro quadrimestre de 2018. O principal produto exportado pelo setor é a soja em grão, com quase 80% do valor total exportado. As exportações de soja em grão foram de US$ 9,24 bilhões (-0,2%), influenciadas pela queda de 1,4% na quantidade exportada e incremento de 1,2% no preço médio de exportação. As exportações de farelo de soja subiram 18,9%, passando de US$ 1,68 bilhão entre janeiro e abril de 2017 para US$ 2,0 bilhões no mesmo período de 2018. Já as exportações de óleo de soja subiram de US$ 348,85 milhões no primeiro quadrimestre de 2017 para US$ 355,73 milhões no primeiro quadrimestre de 2018.</w:t>
      </w:r>
    </w:p>
    <w:p w:rsidR="00D12C0B" w:rsidRDefault="00D12C0B" w:rsidP="00DD0277">
      <w:pPr>
        <w:pStyle w:val="Recuodecorpodetexto"/>
        <w:rPr>
          <w:rFonts w:ascii="Arial" w:hAnsi="Arial" w:cs="Arial"/>
          <w:sz w:val="20"/>
          <w:szCs w:val="20"/>
        </w:rPr>
      </w:pPr>
    </w:p>
    <w:p w:rsidR="00D12C0B" w:rsidRDefault="00D12C0B" w:rsidP="00DD0277">
      <w:pPr>
        <w:pStyle w:val="Recuodecorpodetexto"/>
        <w:rPr>
          <w:rFonts w:ascii="Arial" w:hAnsi="Arial" w:cs="Arial"/>
          <w:sz w:val="20"/>
          <w:szCs w:val="20"/>
        </w:rPr>
      </w:pPr>
      <w:r>
        <w:rPr>
          <w:rFonts w:ascii="Arial" w:hAnsi="Arial" w:cs="Arial"/>
          <w:sz w:val="20"/>
          <w:szCs w:val="20"/>
        </w:rPr>
        <w:t>Os produtos florestais obtiveram um forte desempenho exportador neste primeiro quadrimestre de 2018, com crescimento das exportações de 35,2%, passando de US$ 3,44 bilhões de vendas externas entre janeiro e abril de 2017 para US$ 4,64 bilhões entre janeiro e abril de 2018. Com esse desempenho, os produtos florestais alcançaram o posto de segundo maior setor em vendas do agronegócio, ultrapassando as carnes. No setor, o destaque ficou com a celulose. Foram exportados US$ 2,78 bilhões (+48,9%), um recorde de valor. A quantidade exportada também foi recorde para o período, 5,3 milhões de toneladas. Além da celulose, as exportações de madeira e suas obras cresceram 24,5%, enquanto as exportações de papel aumentaram 10,1%.</w:t>
      </w:r>
    </w:p>
    <w:p w:rsidR="00D12C0B" w:rsidRDefault="00D12C0B" w:rsidP="00DD0277">
      <w:pPr>
        <w:pStyle w:val="Recuodecorpodetexto"/>
        <w:rPr>
          <w:rFonts w:ascii="Arial" w:hAnsi="Arial" w:cs="Arial"/>
          <w:sz w:val="20"/>
          <w:szCs w:val="20"/>
        </w:rPr>
      </w:pPr>
    </w:p>
    <w:p w:rsidR="00D12C0B" w:rsidRDefault="00D12C0B" w:rsidP="00DD0277">
      <w:pPr>
        <w:pStyle w:val="Recuodecorpodetexto"/>
        <w:rPr>
          <w:rFonts w:ascii="Arial" w:hAnsi="Arial" w:cs="Arial"/>
          <w:sz w:val="20"/>
          <w:szCs w:val="20"/>
        </w:rPr>
      </w:pPr>
      <w:r>
        <w:rPr>
          <w:rFonts w:ascii="Arial" w:hAnsi="Arial" w:cs="Arial"/>
          <w:sz w:val="20"/>
          <w:szCs w:val="20"/>
        </w:rPr>
        <w:t>As exportações de carnes diminuíram de US$ 4,76 bilhões entre janeiro e abril de 2017 para US$ 4,60 bilhões entre janeiro e abril de 2018 9 (-3,5%). No primeiro quadrimestre de 2018, as vendas externas de carnes de frango foram de US$ 2,06 bilhões (-11,6%), de carne suína US$ 411,77 (-22,3%) e carne de peru US$ 49,01 milhões (-58,1%). Ao contrário do desempenho negativo das demais carnes, as exportações de carne bovina cresceram 17,2%, passando de US$ 1,66 bilhão entre janeiro e abril de 2017 para US$ 1,94 bilhão entre janeiro e abril de 2018. O volume exportado subiu de 415,7 mil toneladas entre janeiro e abril de 2017 para 508,4 mil toneladas entre janeiro e abril de 2018 (+22,3%). Por sua vez, o preço médio de exportação da carne bovina recuou 4,2%.</w:t>
      </w:r>
    </w:p>
    <w:p w:rsidR="00D12C0B" w:rsidRDefault="00D12C0B" w:rsidP="00DD0277">
      <w:pPr>
        <w:pStyle w:val="Recuodecorpodetexto"/>
        <w:rPr>
          <w:rFonts w:ascii="Arial" w:hAnsi="Arial" w:cs="Arial"/>
          <w:sz w:val="20"/>
          <w:szCs w:val="20"/>
        </w:rPr>
      </w:pPr>
    </w:p>
    <w:p w:rsidR="00D12C0B" w:rsidRDefault="00D12C0B" w:rsidP="00DD0277">
      <w:pPr>
        <w:pStyle w:val="Recuodecorpodetexto"/>
        <w:rPr>
          <w:rFonts w:ascii="Arial" w:hAnsi="Arial" w:cs="Arial"/>
          <w:sz w:val="20"/>
          <w:szCs w:val="20"/>
        </w:rPr>
      </w:pPr>
      <w:r>
        <w:rPr>
          <w:rFonts w:ascii="Arial" w:hAnsi="Arial" w:cs="Arial"/>
          <w:sz w:val="20"/>
          <w:szCs w:val="20"/>
        </w:rPr>
        <w:t xml:space="preserve">A maior queda dentre os principais setores exportadores do agronegócio ocorreu com o setor sucroalcooleiro. As vendas externas do setor caíram de US$ 3,43 bilhões entre janeiro e abril de 2017 para US$ 2,21 bilhões entre janeiro e abril de 2018 (-35,6%). Houve queda tanto na quantidade exportada (-19,7%) como no preço médio de exportação (-19,9%). As exportações de açúcar foram de US$ 2,00 bilhões (-37,5%) enquanto as exportações de álcool foram de US$ 203,83 milhões (-9,6%). </w:t>
      </w:r>
    </w:p>
    <w:p w:rsidR="00D12C0B" w:rsidRDefault="00D12C0B" w:rsidP="00DD0277">
      <w:pPr>
        <w:pStyle w:val="Recuodecorpodetexto"/>
        <w:rPr>
          <w:rFonts w:ascii="Arial" w:hAnsi="Arial" w:cs="Arial"/>
          <w:sz w:val="20"/>
          <w:szCs w:val="20"/>
        </w:rPr>
      </w:pPr>
    </w:p>
    <w:p w:rsidR="00D12C0B" w:rsidRDefault="00D12C0B" w:rsidP="00DD0277">
      <w:pPr>
        <w:pStyle w:val="Recuodecorpodetexto"/>
        <w:rPr>
          <w:rFonts w:ascii="Arial" w:hAnsi="Arial" w:cs="Arial"/>
          <w:sz w:val="20"/>
          <w:szCs w:val="20"/>
        </w:rPr>
      </w:pPr>
      <w:r>
        <w:rPr>
          <w:rFonts w:ascii="Arial" w:hAnsi="Arial" w:cs="Arial"/>
          <w:sz w:val="20"/>
          <w:szCs w:val="20"/>
        </w:rPr>
        <w:t xml:space="preserve">O café ficou na quinta posição dentre os principais setores exportadores. As exportações do setor caíram de US$ 1,82 bilhão entre janeiro e abril de 2017 para US$ 1,63 bilhão entre janeiro e abril de 2018 (-10,4%). No setor, as vendas de café verde foram de US$ 1,43 bilhão (-10,9%) enquanto as exportações de café solúvel foram de US$ 172,92 (-8,9%). </w:t>
      </w:r>
    </w:p>
    <w:p w:rsidR="00D12C0B" w:rsidRDefault="00D12C0B" w:rsidP="00DD0277">
      <w:pPr>
        <w:pStyle w:val="Recuodecorpodetexto"/>
        <w:rPr>
          <w:rFonts w:ascii="Arial" w:hAnsi="Arial" w:cs="Arial"/>
          <w:sz w:val="20"/>
          <w:szCs w:val="20"/>
        </w:rPr>
      </w:pPr>
    </w:p>
    <w:p w:rsidR="00D12C0B" w:rsidRDefault="00D12C0B" w:rsidP="00DD0277">
      <w:pPr>
        <w:pStyle w:val="Recuodecorpodetexto"/>
        <w:rPr>
          <w:rFonts w:ascii="Arial" w:hAnsi="Arial" w:cs="Arial"/>
          <w:sz w:val="20"/>
          <w:szCs w:val="20"/>
        </w:rPr>
      </w:pPr>
      <w:r>
        <w:rPr>
          <w:rFonts w:ascii="Arial" w:hAnsi="Arial" w:cs="Arial"/>
          <w:sz w:val="20"/>
          <w:szCs w:val="20"/>
        </w:rPr>
        <w:t>Os vinte demais setores exportadores do agronegócio exportaram US$ 5,80 bilhões no primeiro quadrimestre de 2018 com uma expansão de 30,4% em relação em relação aos US$ 4,45 bilhões exportados no primeiro quadrimestre de 2017. Dentre esses 20 setores, os setores que apresentaram maior crescimento absoluto de exportações foram: Cereais, farinhas e preparações (exportações de US$ 1,08 bilhão, + US$ 441,15 milhões em valor absoluto); fumo e seus produtos (exportações de US$ 597,94 milhões, + US$ 278,98 milhões); sucos (exportações de US$ 776,16 milhões, + US$ 212,49 milhões); fibras e produtos têxteis (exportações de US$ 499,87 milhões, + US$ 172,54 milhões); animais vivos (exportações de US$ 190,50 milhões, + US$ 114,62 milhões).</w:t>
      </w:r>
    </w:p>
    <w:p w:rsidR="00D12C0B" w:rsidRDefault="00D12C0B" w:rsidP="00D12C0B">
      <w:pPr>
        <w:jc w:val="both"/>
        <w:rPr>
          <w:rFonts w:ascii="Arial" w:hAnsi="Arial" w:cs="Arial"/>
          <w:sz w:val="20"/>
          <w:szCs w:val="20"/>
        </w:rPr>
      </w:pPr>
    </w:p>
    <w:p w:rsidR="00D12C0B" w:rsidRPr="003D5F31" w:rsidRDefault="00D12C0B" w:rsidP="00DD0277">
      <w:pPr>
        <w:pStyle w:val="Recuodecorpodetexto"/>
        <w:rPr>
          <w:rFonts w:ascii="Arial" w:hAnsi="Arial" w:cs="Arial"/>
          <w:sz w:val="20"/>
          <w:szCs w:val="20"/>
        </w:rPr>
      </w:pPr>
      <w:r>
        <w:rPr>
          <w:rFonts w:ascii="Arial" w:hAnsi="Arial" w:cs="Arial"/>
          <w:sz w:val="20"/>
          <w:szCs w:val="20"/>
        </w:rPr>
        <w:t>As importações do agronegócio atingiram US$ 4,91 bilhões entre janeiro e abril de 2018 (+1,4%). Os principais produtos do agronegócio importados foram: álcool etílico (US$ 444,06 milhões; +5,9%); trigo (US$ 420,88 milhões; +9,4%); papel (US$ 303,03 milhões; +20,5%); vestuário e outros produtos têxteis de algodão (US$ 217,86 milhões; +33,8%); salmões (US$ 170,26 milhões; -6,6%); azeite de oliva (US$ 168,00 milhões; +84,5%); borracha natural (US$ 127,34 milhões; +4,2%).</w:t>
      </w:r>
    </w:p>
    <w:p w:rsidR="00D12C0B" w:rsidRPr="00D12C0B" w:rsidRDefault="00D12C0B" w:rsidP="00D12C0B"/>
    <w:p w:rsidR="003B632E" w:rsidRDefault="003B632E" w:rsidP="003B632E">
      <w:pPr>
        <w:rPr>
          <w:rFonts w:ascii="Arial" w:hAnsi="Arial" w:cs="Arial"/>
        </w:rPr>
      </w:pPr>
    </w:p>
    <w:p w:rsidR="002B1A0F" w:rsidRPr="00826906" w:rsidRDefault="002B1A0F" w:rsidP="003B632E">
      <w:pPr>
        <w:rPr>
          <w:rFonts w:ascii="Arial" w:hAnsi="Arial" w:cs="Arial"/>
        </w:rPr>
      </w:pPr>
      <w:r w:rsidRPr="002B1A0F">
        <w:rPr>
          <w:noProof/>
        </w:rPr>
        <w:drawing>
          <wp:inline distT="0" distB="0" distL="0" distR="0" wp14:anchorId="6C9A9A65" wp14:editId="4FDFB70A">
            <wp:extent cx="6480175" cy="385508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80175" cy="3855085"/>
                    </a:xfrm>
                    <a:prstGeom prst="rect">
                      <a:avLst/>
                    </a:prstGeom>
                  </pic:spPr>
                </pic:pic>
              </a:graphicData>
            </a:graphic>
          </wp:inline>
        </w:drawing>
      </w:r>
    </w:p>
    <w:p w:rsidR="00D12C0B" w:rsidRDefault="00D12C0B" w:rsidP="003B632E">
      <w:pPr>
        <w:pStyle w:val="Ttulo5"/>
        <w:autoSpaceDE/>
        <w:autoSpaceDN/>
        <w:adjustRightInd/>
        <w:rPr>
          <w:rFonts w:ascii="Arial" w:hAnsi="Arial" w:cs="Arial"/>
          <w:b w:val="0"/>
          <w:sz w:val="20"/>
          <w:szCs w:val="20"/>
        </w:rPr>
      </w:pPr>
      <w:bookmarkStart w:id="0" w:name="OLE_LINK1"/>
    </w:p>
    <w:p w:rsidR="003B632E" w:rsidRDefault="003B632E" w:rsidP="003B632E">
      <w:pPr>
        <w:pStyle w:val="Ttulo5"/>
        <w:autoSpaceDE/>
        <w:autoSpaceDN/>
        <w:adjustRightInd/>
        <w:rPr>
          <w:rFonts w:ascii="Arial" w:hAnsi="Arial" w:cs="Arial"/>
          <w:sz w:val="20"/>
          <w:szCs w:val="20"/>
        </w:rPr>
      </w:pPr>
      <w:r w:rsidRPr="00826906">
        <w:rPr>
          <w:rFonts w:ascii="Arial" w:hAnsi="Arial" w:cs="Arial"/>
          <w:sz w:val="20"/>
          <w:szCs w:val="20"/>
        </w:rPr>
        <w:t>II.b – Blocos Econômicos e Regiões Geográficas</w:t>
      </w:r>
    </w:p>
    <w:p w:rsidR="00D12C0B" w:rsidRDefault="00D12C0B" w:rsidP="00D12C0B"/>
    <w:p w:rsidR="00D12C0B" w:rsidRDefault="00D12C0B" w:rsidP="00DD0277">
      <w:pPr>
        <w:pStyle w:val="Recuodecorpodetexto"/>
        <w:rPr>
          <w:rFonts w:ascii="Arial" w:hAnsi="Arial" w:cs="Arial"/>
          <w:sz w:val="20"/>
          <w:szCs w:val="20"/>
        </w:rPr>
      </w:pPr>
      <w:r>
        <w:rPr>
          <w:rFonts w:ascii="Arial" w:hAnsi="Arial" w:cs="Arial"/>
          <w:sz w:val="20"/>
          <w:szCs w:val="20"/>
        </w:rPr>
        <w:t>As exportações para a Ásia subiram de US$ 14,09 bilhões entre janeiro e abril de 2017 para US$ 14,40 bilhões entre janeiro e abril de 2018 (+2,2%). Com este crescimento inferior ao do total das exportações do agronegócio no quadrimestre, a participação do continente asiático diminuiu de 48,3% para 47,2% do total exportado pelo Brasil em produtos do agronegócio.</w:t>
      </w:r>
    </w:p>
    <w:p w:rsidR="00D12C0B" w:rsidRDefault="00D12C0B" w:rsidP="00DD0277">
      <w:pPr>
        <w:pStyle w:val="Recuodecorpodetexto"/>
        <w:rPr>
          <w:rFonts w:ascii="Arial" w:hAnsi="Arial" w:cs="Arial"/>
          <w:sz w:val="20"/>
          <w:szCs w:val="20"/>
        </w:rPr>
      </w:pPr>
    </w:p>
    <w:p w:rsidR="00D12C0B" w:rsidRPr="00164A77" w:rsidRDefault="00D12C0B" w:rsidP="00DD0277">
      <w:pPr>
        <w:pStyle w:val="Recuodecorpodetexto"/>
        <w:rPr>
          <w:rFonts w:ascii="Arial" w:hAnsi="Arial" w:cs="Arial"/>
          <w:sz w:val="20"/>
          <w:szCs w:val="20"/>
        </w:rPr>
      </w:pPr>
      <w:r>
        <w:rPr>
          <w:rFonts w:ascii="Arial" w:hAnsi="Arial" w:cs="Arial"/>
          <w:sz w:val="20"/>
          <w:szCs w:val="20"/>
        </w:rPr>
        <w:t xml:space="preserve">A União Europeia foi o bloco que apresentou maior expansão do </w:t>
      </w:r>
      <w:r w:rsidRPr="00DD0277">
        <w:rPr>
          <w:rFonts w:ascii="Arial" w:hAnsi="Arial" w:cs="Arial"/>
          <w:sz w:val="20"/>
          <w:szCs w:val="20"/>
        </w:rPr>
        <w:t>market share</w:t>
      </w:r>
      <w:r>
        <w:rPr>
          <w:rFonts w:ascii="Arial" w:hAnsi="Arial" w:cs="Arial"/>
          <w:sz w:val="20"/>
          <w:szCs w:val="20"/>
        </w:rPr>
        <w:t xml:space="preserve"> no período. As exportações ao Bloco subiram de US$ 5,03 bilhões entre janeiro e abril de 2017 para US$ 5,88 bilhões no mesmo período de 2018, números que representaram um incremento de 16,9% no valor exportado ou 2,1 pontos percentuais na participação do bloco. Participação que passou de 17,2% no primeiro quadrimestre de 2017 para 19,3% no primeiro quadrimestre de 2018.</w:t>
      </w:r>
    </w:p>
    <w:p w:rsidR="00D12C0B" w:rsidRDefault="00D12C0B" w:rsidP="00DD0277">
      <w:pPr>
        <w:pStyle w:val="Recuodecorpodetexto"/>
        <w:rPr>
          <w:rFonts w:ascii="Arial" w:hAnsi="Arial" w:cs="Arial"/>
          <w:sz w:val="20"/>
          <w:szCs w:val="20"/>
        </w:rPr>
      </w:pPr>
    </w:p>
    <w:p w:rsidR="00D12C0B" w:rsidRPr="00826906" w:rsidRDefault="00D12C0B" w:rsidP="00DD0277">
      <w:pPr>
        <w:pStyle w:val="Recuodecorpodetexto"/>
        <w:rPr>
          <w:rFonts w:ascii="Arial" w:hAnsi="Arial" w:cs="Arial"/>
          <w:sz w:val="20"/>
          <w:szCs w:val="20"/>
        </w:rPr>
      </w:pPr>
      <w:r>
        <w:rPr>
          <w:rFonts w:ascii="Arial" w:hAnsi="Arial" w:cs="Arial"/>
          <w:sz w:val="20"/>
          <w:szCs w:val="20"/>
        </w:rPr>
        <w:t xml:space="preserve">Outros blocos ou regiões geográficas que expandiram as aquisições de produtos do agronegócio brasileiro foram: NAFTA (US$ 2,76 bilhões; +15,3%); ALADI (US$ 1,21 bilhão; +24,2%); MERCOSUL (US$ 1,13 bilhão; +35,6%) e demais países da Europa Ocidental (US$ 595,38 milhões; +73,0%). </w:t>
      </w:r>
    </w:p>
    <w:p w:rsidR="00D12C0B" w:rsidRPr="00DD0277" w:rsidRDefault="00D12C0B" w:rsidP="00DD0277">
      <w:pPr>
        <w:pStyle w:val="Recuodecorpodetexto"/>
        <w:rPr>
          <w:rFonts w:ascii="Arial" w:hAnsi="Arial" w:cs="Arial"/>
          <w:sz w:val="20"/>
          <w:szCs w:val="20"/>
        </w:rPr>
      </w:pPr>
    </w:p>
    <w:p w:rsidR="003B632E" w:rsidRPr="00826906" w:rsidRDefault="003B632E" w:rsidP="003B632E">
      <w:pPr>
        <w:jc w:val="both"/>
        <w:rPr>
          <w:rFonts w:ascii="Arial" w:hAnsi="Arial" w:cs="Arial"/>
          <w:sz w:val="20"/>
          <w:szCs w:val="20"/>
        </w:rPr>
      </w:pPr>
    </w:p>
    <w:p w:rsidR="003B632E" w:rsidRPr="00826906" w:rsidRDefault="002B1A0F" w:rsidP="003B632E">
      <w:pPr>
        <w:jc w:val="both"/>
        <w:rPr>
          <w:rFonts w:ascii="Arial" w:hAnsi="Arial" w:cs="Arial"/>
          <w:sz w:val="20"/>
          <w:szCs w:val="20"/>
        </w:rPr>
      </w:pPr>
      <w:r w:rsidRPr="002B1A0F">
        <w:rPr>
          <w:noProof/>
        </w:rPr>
        <w:drawing>
          <wp:inline distT="0" distB="0" distL="0" distR="0" wp14:anchorId="2EC3CA55" wp14:editId="0857A1CD">
            <wp:extent cx="6480175" cy="234823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0175" cy="2348230"/>
                    </a:xfrm>
                    <a:prstGeom prst="rect">
                      <a:avLst/>
                    </a:prstGeom>
                  </pic:spPr>
                </pic:pic>
              </a:graphicData>
            </a:graphic>
          </wp:inline>
        </w:drawing>
      </w:r>
    </w:p>
    <w:p w:rsidR="003B632E" w:rsidRPr="00826906" w:rsidRDefault="003B632E" w:rsidP="003B632E">
      <w:pPr>
        <w:ind w:firstLine="709"/>
        <w:jc w:val="both"/>
        <w:rPr>
          <w:rFonts w:ascii="Arial" w:hAnsi="Arial" w:cs="Arial"/>
          <w:sz w:val="20"/>
          <w:szCs w:val="20"/>
        </w:rPr>
      </w:pPr>
    </w:p>
    <w:p w:rsidR="003B632E" w:rsidRPr="00826906" w:rsidRDefault="003B632E" w:rsidP="003B632E">
      <w:pPr>
        <w:pStyle w:val="Ttulo5"/>
        <w:autoSpaceDE/>
        <w:autoSpaceDN/>
        <w:adjustRightInd/>
        <w:rPr>
          <w:rFonts w:ascii="Arial" w:hAnsi="Arial" w:cs="Arial"/>
          <w:sz w:val="20"/>
          <w:szCs w:val="20"/>
        </w:rPr>
      </w:pPr>
    </w:p>
    <w:p w:rsidR="003B632E" w:rsidRPr="00826906" w:rsidRDefault="003B632E" w:rsidP="003B632E">
      <w:pPr>
        <w:pStyle w:val="Ttulo5"/>
        <w:autoSpaceDE/>
        <w:autoSpaceDN/>
        <w:adjustRightInd/>
        <w:rPr>
          <w:rFonts w:ascii="Arial" w:hAnsi="Arial" w:cs="Arial"/>
          <w:sz w:val="20"/>
          <w:szCs w:val="20"/>
        </w:rPr>
      </w:pPr>
      <w:r w:rsidRPr="00826906">
        <w:rPr>
          <w:rFonts w:ascii="Arial" w:hAnsi="Arial" w:cs="Arial"/>
          <w:sz w:val="20"/>
          <w:szCs w:val="20"/>
        </w:rPr>
        <w:t>II.c – Países</w:t>
      </w:r>
    </w:p>
    <w:bookmarkEnd w:id="0"/>
    <w:p w:rsidR="003B632E" w:rsidRDefault="003B632E" w:rsidP="003B632E">
      <w:pPr>
        <w:rPr>
          <w:rFonts w:ascii="Arial" w:hAnsi="Arial" w:cs="Arial"/>
          <w:b/>
          <w:sz w:val="20"/>
          <w:szCs w:val="20"/>
        </w:rPr>
      </w:pPr>
    </w:p>
    <w:p w:rsidR="00D12C0B" w:rsidRDefault="00D12C0B" w:rsidP="00DD0277">
      <w:pPr>
        <w:pStyle w:val="Recuodecorpodetexto"/>
        <w:rPr>
          <w:rFonts w:ascii="Arial" w:hAnsi="Arial" w:cs="Arial"/>
          <w:sz w:val="20"/>
          <w:szCs w:val="20"/>
        </w:rPr>
      </w:pPr>
      <w:r w:rsidRPr="00D41768">
        <w:rPr>
          <w:rFonts w:ascii="Arial" w:hAnsi="Arial" w:cs="Arial"/>
          <w:sz w:val="20"/>
          <w:szCs w:val="20"/>
        </w:rPr>
        <w:t xml:space="preserve">Na análise das exportações </w:t>
      </w:r>
      <w:r>
        <w:rPr>
          <w:rFonts w:ascii="Arial" w:hAnsi="Arial" w:cs="Arial"/>
          <w:sz w:val="20"/>
          <w:szCs w:val="20"/>
        </w:rPr>
        <w:t xml:space="preserve">para os vinte principais mercados importadores de produtos do agronegócio brasileiro, apresentados na Tabela 6, percebe-se que houve incremento das exportações para dezessete dos vinte países analisados.  Esses vinte mercados participavam com 74,7% do total exportado pelo Brasil em produtos do agronegócio brasileiro no primeiro quadrimestre de 2017. Essa participação subiu para 75,0% no primeiro quadrimestre de 2018, demonstrando que para o período de análise houve concentração das exportações brasileiros do agronegócio nesses mercados. </w:t>
      </w:r>
    </w:p>
    <w:p w:rsidR="00D12C0B" w:rsidRDefault="00D12C0B" w:rsidP="00DD0277">
      <w:pPr>
        <w:pStyle w:val="Recuodecorpodetexto"/>
        <w:rPr>
          <w:rFonts w:ascii="Arial" w:hAnsi="Arial" w:cs="Arial"/>
          <w:sz w:val="20"/>
          <w:szCs w:val="20"/>
        </w:rPr>
      </w:pPr>
    </w:p>
    <w:p w:rsidR="00D12C0B" w:rsidRDefault="00D12C0B" w:rsidP="00DD0277">
      <w:pPr>
        <w:pStyle w:val="Recuodecorpodetexto"/>
        <w:rPr>
          <w:rFonts w:ascii="Arial" w:hAnsi="Arial" w:cs="Arial"/>
          <w:sz w:val="20"/>
          <w:szCs w:val="20"/>
        </w:rPr>
      </w:pPr>
      <w:r>
        <w:rPr>
          <w:rFonts w:ascii="Arial" w:hAnsi="Arial" w:cs="Arial"/>
          <w:sz w:val="20"/>
          <w:szCs w:val="20"/>
        </w:rPr>
        <w:t>A China adquiriu US$ 9,48 bilhões de produtos do agronegócio brasileiro no primeiro quadrimestre de 2018. O crescimento de 0,6% nas exportações ao país asiático fez com que a participação chinesa diminuísse de 32,3% entre janeiro e abril de 2017 para 31,1% entre janeiro e abril de 2018.</w:t>
      </w:r>
    </w:p>
    <w:p w:rsidR="00D12C0B" w:rsidRDefault="00D12C0B" w:rsidP="00DD0277">
      <w:pPr>
        <w:pStyle w:val="Recuodecorpodetexto"/>
        <w:rPr>
          <w:rFonts w:ascii="Arial" w:hAnsi="Arial" w:cs="Arial"/>
          <w:sz w:val="20"/>
          <w:szCs w:val="20"/>
        </w:rPr>
      </w:pPr>
    </w:p>
    <w:p w:rsidR="00D12C0B" w:rsidRDefault="00D12C0B" w:rsidP="00DD0277">
      <w:pPr>
        <w:pStyle w:val="Recuodecorpodetexto"/>
        <w:rPr>
          <w:rFonts w:ascii="Arial" w:hAnsi="Arial" w:cs="Arial"/>
          <w:sz w:val="20"/>
          <w:szCs w:val="20"/>
        </w:rPr>
      </w:pPr>
      <w:r>
        <w:rPr>
          <w:rFonts w:ascii="Arial" w:hAnsi="Arial" w:cs="Arial"/>
          <w:sz w:val="20"/>
          <w:szCs w:val="20"/>
        </w:rPr>
        <w:t>Quatro países na relação dos vinte principais apresentaram crescimento das aquisições acima de 20,0%: Turquia (US$ 445,26 milhões; +95,4%); Itália (US$ 760,69 milhões; +30,2%); Hong Kong (US$ 879,83 milhões; +29,5%); e Argentina (US$ 513,41 milhões; 24,1%).</w:t>
      </w:r>
    </w:p>
    <w:p w:rsidR="00D12C0B" w:rsidRPr="00826906" w:rsidRDefault="00D12C0B" w:rsidP="003B632E">
      <w:pPr>
        <w:rPr>
          <w:rFonts w:ascii="Arial" w:hAnsi="Arial" w:cs="Arial"/>
          <w:b/>
          <w:sz w:val="20"/>
          <w:szCs w:val="20"/>
        </w:rPr>
      </w:pPr>
    </w:p>
    <w:p w:rsidR="003B632E" w:rsidRPr="00826906" w:rsidRDefault="002B1A0F" w:rsidP="003B632E">
      <w:pPr>
        <w:rPr>
          <w:rFonts w:ascii="Arial" w:hAnsi="Arial" w:cs="Arial"/>
        </w:rPr>
      </w:pPr>
      <w:r w:rsidRPr="002B1A0F">
        <w:rPr>
          <w:noProof/>
        </w:rPr>
        <w:drawing>
          <wp:inline distT="0" distB="0" distL="0" distR="0" wp14:anchorId="78E5E68D" wp14:editId="51976661">
            <wp:extent cx="6480175" cy="3879215"/>
            <wp:effectExtent l="0" t="0" r="0" b="698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80175" cy="3879215"/>
                    </a:xfrm>
                    <a:prstGeom prst="rect">
                      <a:avLst/>
                    </a:prstGeom>
                  </pic:spPr>
                </pic:pic>
              </a:graphicData>
            </a:graphic>
          </wp:inline>
        </w:drawing>
      </w:r>
    </w:p>
    <w:p w:rsidR="00D12C0B" w:rsidRPr="00826906" w:rsidRDefault="00D12C0B" w:rsidP="003B632E">
      <w:pPr>
        <w:autoSpaceDE w:val="0"/>
        <w:autoSpaceDN w:val="0"/>
        <w:adjustRightInd w:val="0"/>
        <w:rPr>
          <w:rFonts w:ascii="Arial" w:hAnsi="Arial" w:cs="Arial"/>
          <w:sz w:val="20"/>
          <w:szCs w:val="20"/>
        </w:rPr>
      </w:pPr>
    </w:p>
    <w:p w:rsidR="0001136D" w:rsidRDefault="0001136D" w:rsidP="0001136D">
      <w:pPr>
        <w:autoSpaceDE w:val="0"/>
        <w:autoSpaceDN w:val="0"/>
        <w:adjustRightInd w:val="0"/>
        <w:jc w:val="both"/>
        <w:rPr>
          <w:rFonts w:ascii="Arial" w:hAnsi="Arial" w:cs="Arial"/>
          <w:b/>
          <w:sz w:val="20"/>
          <w:szCs w:val="20"/>
        </w:rPr>
      </w:pPr>
      <w:r w:rsidRPr="00AB3924">
        <w:rPr>
          <w:rFonts w:ascii="Arial" w:hAnsi="Arial" w:cs="Arial"/>
          <w:b/>
          <w:sz w:val="20"/>
          <w:szCs w:val="20"/>
        </w:rPr>
        <w:t xml:space="preserve">III – Resultados de </w:t>
      </w:r>
      <w:r w:rsidR="00A560CC">
        <w:rPr>
          <w:rFonts w:ascii="Arial" w:hAnsi="Arial" w:cs="Arial"/>
          <w:b/>
          <w:sz w:val="20"/>
          <w:szCs w:val="20"/>
        </w:rPr>
        <w:t>Maio</w:t>
      </w:r>
      <w:r w:rsidRPr="00AB3924">
        <w:rPr>
          <w:rFonts w:ascii="Arial" w:hAnsi="Arial" w:cs="Arial"/>
          <w:b/>
          <w:sz w:val="20"/>
          <w:szCs w:val="20"/>
        </w:rPr>
        <w:t xml:space="preserve"> de 201</w:t>
      </w:r>
      <w:r>
        <w:rPr>
          <w:rFonts w:ascii="Arial" w:hAnsi="Arial" w:cs="Arial"/>
          <w:b/>
          <w:sz w:val="20"/>
          <w:szCs w:val="20"/>
        </w:rPr>
        <w:t>7</w:t>
      </w:r>
      <w:r w:rsidRPr="00AB3924">
        <w:rPr>
          <w:rFonts w:ascii="Arial" w:hAnsi="Arial" w:cs="Arial"/>
          <w:b/>
          <w:sz w:val="20"/>
          <w:szCs w:val="20"/>
        </w:rPr>
        <w:t xml:space="preserve"> a </w:t>
      </w:r>
      <w:r w:rsidR="00A560CC">
        <w:rPr>
          <w:rFonts w:ascii="Arial" w:hAnsi="Arial" w:cs="Arial"/>
          <w:b/>
          <w:sz w:val="20"/>
          <w:szCs w:val="20"/>
        </w:rPr>
        <w:t>Abril</w:t>
      </w:r>
      <w:r>
        <w:rPr>
          <w:rFonts w:ascii="Arial" w:hAnsi="Arial" w:cs="Arial"/>
          <w:b/>
          <w:sz w:val="20"/>
          <w:szCs w:val="20"/>
        </w:rPr>
        <w:t xml:space="preserve"> de 2018</w:t>
      </w:r>
      <w:r w:rsidRPr="00AB3924">
        <w:rPr>
          <w:rFonts w:ascii="Arial" w:hAnsi="Arial" w:cs="Arial"/>
          <w:b/>
          <w:sz w:val="20"/>
          <w:szCs w:val="20"/>
        </w:rPr>
        <w:t xml:space="preserve"> (Acumulado 12 meses)</w:t>
      </w:r>
    </w:p>
    <w:p w:rsidR="002B1A0F" w:rsidRDefault="002B1A0F" w:rsidP="0001136D">
      <w:pPr>
        <w:autoSpaceDE w:val="0"/>
        <w:autoSpaceDN w:val="0"/>
        <w:adjustRightInd w:val="0"/>
        <w:jc w:val="both"/>
        <w:rPr>
          <w:rFonts w:ascii="Arial" w:hAnsi="Arial" w:cs="Arial"/>
          <w:b/>
          <w:sz w:val="20"/>
          <w:szCs w:val="20"/>
        </w:rPr>
      </w:pPr>
    </w:p>
    <w:p w:rsidR="00DD0277" w:rsidRPr="007F60B9" w:rsidRDefault="00DD0277" w:rsidP="00DD0277">
      <w:pPr>
        <w:pStyle w:val="Recuodecorpodetexto"/>
        <w:rPr>
          <w:rFonts w:ascii="Arial" w:hAnsi="Arial" w:cs="Arial"/>
          <w:sz w:val="20"/>
          <w:szCs w:val="20"/>
        </w:rPr>
      </w:pPr>
      <w:r w:rsidRPr="007F60B9">
        <w:rPr>
          <w:rFonts w:ascii="Arial" w:hAnsi="Arial" w:cs="Arial"/>
          <w:sz w:val="20"/>
          <w:szCs w:val="20"/>
        </w:rPr>
        <w:t>Nos últimos doze meses, entre maio de 2017 e abril de 2018, as exportações do agronegócio brasileiro alcançaram a cifra de US$ 97,31 bilhões, o que significou incremento de 13,1 em comparação aos US$ 86,0 bilhões exportados nos doze meses imediatamente anteriores. Esse valor representou 43,4% do total das vendas externas brasileiras no período. As importações de produtos do agronegócio totalizaram US$ 14,22 bilhões, com retração de 1,7% em relação a maio de 2016 e abril de 2017. Como resultado, o saldo da balança comercial do agronegócio no acumulado dos últimos doze meses foi de US$ 83,09 bilhões (+16,1%).</w:t>
      </w:r>
    </w:p>
    <w:p w:rsidR="00D12C0B" w:rsidRDefault="00D12C0B" w:rsidP="0001136D">
      <w:pPr>
        <w:autoSpaceDE w:val="0"/>
        <w:autoSpaceDN w:val="0"/>
        <w:adjustRightInd w:val="0"/>
        <w:jc w:val="both"/>
        <w:rPr>
          <w:rFonts w:ascii="Arial" w:hAnsi="Arial" w:cs="Arial"/>
          <w:b/>
          <w:sz w:val="20"/>
          <w:szCs w:val="20"/>
        </w:rPr>
      </w:pPr>
    </w:p>
    <w:p w:rsidR="0001136D" w:rsidRDefault="0001136D" w:rsidP="0001136D">
      <w:pPr>
        <w:pStyle w:val="Ttulo5"/>
        <w:autoSpaceDE/>
        <w:autoSpaceDN/>
        <w:adjustRightInd/>
        <w:rPr>
          <w:rFonts w:ascii="Arial" w:hAnsi="Arial" w:cs="Arial"/>
          <w:sz w:val="20"/>
          <w:szCs w:val="20"/>
        </w:rPr>
      </w:pPr>
      <w:r w:rsidRPr="00AB3924">
        <w:rPr>
          <w:rFonts w:ascii="Arial" w:hAnsi="Arial" w:cs="Arial"/>
          <w:sz w:val="20"/>
          <w:szCs w:val="20"/>
        </w:rPr>
        <w:t>III.a – Setores do Agronegócio</w:t>
      </w:r>
    </w:p>
    <w:p w:rsidR="00DD0277" w:rsidRDefault="00DD0277" w:rsidP="00DD0277"/>
    <w:p w:rsidR="00DD0277" w:rsidRPr="007F60B9" w:rsidRDefault="00DD0277" w:rsidP="00DD0277">
      <w:pPr>
        <w:pStyle w:val="Recuodecorpodetexto"/>
        <w:rPr>
          <w:rFonts w:ascii="Arial" w:hAnsi="Arial" w:cs="Arial"/>
          <w:sz w:val="20"/>
          <w:szCs w:val="20"/>
        </w:rPr>
      </w:pPr>
      <w:r w:rsidRPr="007F60B9">
        <w:rPr>
          <w:rFonts w:ascii="Arial" w:hAnsi="Arial" w:cs="Arial"/>
          <w:sz w:val="20"/>
          <w:szCs w:val="20"/>
        </w:rPr>
        <w:t>Os principais setores exportadores do agronegócio no período foram: complexo soja, com 32,9% de participação; carnes, com 15,7%; produtos florestais, com 13,1%; complexo sucroalcooleiro, com 11,3%; e cereais, farinhas e preparações, com 5,8%.</w:t>
      </w:r>
    </w:p>
    <w:p w:rsidR="00DD0277" w:rsidRPr="007F60B9" w:rsidRDefault="00DD0277" w:rsidP="00DD0277">
      <w:pPr>
        <w:pStyle w:val="Recuodecorpodetexto"/>
        <w:rPr>
          <w:rFonts w:ascii="Arial" w:hAnsi="Arial" w:cs="Arial"/>
          <w:sz w:val="20"/>
          <w:szCs w:val="20"/>
        </w:rPr>
      </w:pPr>
    </w:p>
    <w:p w:rsidR="00DD0277" w:rsidRPr="007F60B9" w:rsidRDefault="00DD0277" w:rsidP="00DD0277">
      <w:pPr>
        <w:pStyle w:val="Recuodecorpodetexto"/>
        <w:rPr>
          <w:rFonts w:ascii="Arial" w:hAnsi="Arial" w:cs="Arial"/>
          <w:sz w:val="20"/>
          <w:szCs w:val="20"/>
        </w:rPr>
      </w:pPr>
      <w:r w:rsidRPr="007F60B9">
        <w:rPr>
          <w:rFonts w:ascii="Arial" w:hAnsi="Arial" w:cs="Arial"/>
          <w:sz w:val="20"/>
          <w:szCs w:val="20"/>
        </w:rPr>
        <w:t xml:space="preserve">As exportações do complexo soja, entre maio de 2017 e abril de 2018, aumentaram em comparação ao período anterior de US$ 27,52 bilhões para US$ 32,03 bilhões (+16,3%). O incremento de 20,2% no quantum comercializado compensou em muito a queda na cotação média dos produtos do setor (-3,2%). O principal item negociado foi a soja em grãos, com o montante de US$ 25,70 bilhões e expansão de 20,9% em comparação a maio de 2016 e abril de 2017 (US$ 21,26 bilhões). A quantidade embarcada atingiu o patamar de 67,82 milhões de toneladas (+24,4%). O preço médio do produto no mercado internacional caiu 2,8%, chegando a US$ 379 por tonelada. As vendas externas de farelo de soja avançaram 0,8% nos doze meses em razão da elevação de 6,1% no </w:t>
      </w:r>
      <w:r w:rsidRPr="00DD0277">
        <w:rPr>
          <w:rFonts w:ascii="Arial" w:hAnsi="Arial" w:cs="Arial"/>
          <w:sz w:val="20"/>
          <w:szCs w:val="20"/>
        </w:rPr>
        <w:t>quantum</w:t>
      </w:r>
      <w:r w:rsidRPr="007F60B9">
        <w:rPr>
          <w:rFonts w:ascii="Arial" w:hAnsi="Arial" w:cs="Arial"/>
          <w:sz w:val="20"/>
          <w:szCs w:val="20"/>
        </w:rPr>
        <w:t xml:space="preserve"> comercializado do produto, totalizando US$ 5,29 bilhões. O preço médio do óleo de soja no mercado internacional cresceu no período (+2,6%), possibilitando incremento de 2,0% na receita de exportação, atingindo a cifra de US$ 1,04 bilhão.  </w:t>
      </w:r>
    </w:p>
    <w:p w:rsidR="00DD0277" w:rsidRPr="007F60B9" w:rsidRDefault="00DD0277" w:rsidP="00DD0277">
      <w:pPr>
        <w:pStyle w:val="Recuodecorpodetexto"/>
        <w:rPr>
          <w:rFonts w:ascii="Arial" w:hAnsi="Arial" w:cs="Arial"/>
          <w:sz w:val="20"/>
          <w:szCs w:val="20"/>
        </w:rPr>
      </w:pPr>
    </w:p>
    <w:p w:rsidR="00DD0277" w:rsidRPr="007F60B9" w:rsidRDefault="00DD0277" w:rsidP="00DD0277">
      <w:pPr>
        <w:pStyle w:val="Recuodecorpodetexto"/>
        <w:rPr>
          <w:rFonts w:ascii="Arial" w:hAnsi="Arial" w:cs="Arial"/>
          <w:sz w:val="20"/>
          <w:szCs w:val="20"/>
        </w:rPr>
      </w:pPr>
      <w:r w:rsidRPr="007F60B9">
        <w:rPr>
          <w:rFonts w:ascii="Arial" w:hAnsi="Arial" w:cs="Arial"/>
          <w:sz w:val="20"/>
          <w:szCs w:val="20"/>
        </w:rPr>
        <w:t xml:space="preserve">As exportações de carnes alcançaram o montante de US$ 15,31 bilhões, o que representou expansão de 5,1% em comparação ao valor comercializado nos doze meses imediatamente anteriores (US$ 14,57 bilhões). Em relação à quantidade, foram embarcadas 6,63 milhões de toneladas no período, observando-se leve aumento de 0,3%. Já o preço médio aumentou 4,8% e atingiu o patamar de US$ 2.310 por tonelada. O principal produto negociado no período foi a carne de frango, com 4,11 milhões de toneladas comercializadas (-3,2%) e US$ 6,86 bilhões em valor exportado (-2,2%). As vendas externas de carne bovina totalizaram US$ 6,35 bilhões (+21,5%), com pequena alta no preço médio do produto (+0,6%) e incremento de 20,8% no </w:t>
      </w:r>
      <w:r w:rsidRPr="00DD0277">
        <w:rPr>
          <w:rFonts w:ascii="Arial" w:hAnsi="Arial" w:cs="Arial"/>
          <w:sz w:val="20"/>
          <w:szCs w:val="20"/>
        </w:rPr>
        <w:t>quantum</w:t>
      </w:r>
      <w:r w:rsidRPr="007F60B9">
        <w:rPr>
          <w:rFonts w:ascii="Arial" w:hAnsi="Arial" w:cs="Arial"/>
          <w:sz w:val="20"/>
          <w:szCs w:val="20"/>
        </w:rPr>
        <w:t xml:space="preserve"> comercializado. As exportações de carne suína sofreram redução em valor (-7,7%), com a soma de US$ 1,49 bilhão. A quantidade embarcada decresceu 9,8% no período e o preço médio passou de US$ 2.237 por tonelada para US$ 2.289 por tonelada (+2,3%). As vendas externas de carne de</w:t>
      </w:r>
      <w:r w:rsidRPr="00DD0277">
        <w:rPr>
          <w:rFonts w:ascii="Arial" w:hAnsi="Arial" w:cs="Arial"/>
          <w:sz w:val="20"/>
          <w:szCs w:val="20"/>
        </w:rPr>
        <w:t xml:space="preserve"> </w:t>
      </w:r>
      <w:r w:rsidRPr="007F60B9">
        <w:rPr>
          <w:rFonts w:ascii="Arial" w:hAnsi="Arial" w:cs="Arial"/>
          <w:sz w:val="20"/>
          <w:szCs w:val="20"/>
        </w:rPr>
        <w:t>peru diminuíram 39,4% em quantidade e atingiram a cifra de US$ 205,19 milhões nos últimos doze meses (-43,7%).</w:t>
      </w:r>
    </w:p>
    <w:p w:rsidR="00DD0277" w:rsidRPr="007F60B9" w:rsidRDefault="00DD0277" w:rsidP="00DD0277">
      <w:pPr>
        <w:pStyle w:val="Recuodecorpodetexto"/>
        <w:rPr>
          <w:rFonts w:ascii="Arial" w:hAnsi="Arial" w:cs="Arial"/>
          <w:sz w:val="20"/>
          <w:szCs w:val="20"/>
        </w:rPr>
      </w:pPr>
    </w:p>
    <w:p w:rsidR="00DD0277" w:rsidRPr="007F60B9" w:rsidRDefault="00DD0277" w:rsidP="00DD0277">
      <w:pPr>
        <w:pStyle w:val="Recuodecorpodetexto"/>
        <w:rPr>
          <w:rFonts w:ascii="Arial" w:hAnsi="Arial" w:cs="Arial"/>
          <w:sz w:val="20"/>
          <w:szCs w:val="20"/>
        </w:rPr>
      </w:pPr>
      <w:r w:rsidRPr="007F60B9">
        <w:rPr>
          <w:rFonts w:ascii="Arial" w:hAnsi="Arial" w:cs="Arial"/>
          <w:sz w:val="20"/>
          <w:szCs w:val="20"/>
        </w:rPr>
        <w:t>Os produtos florestais aparecem na terceira colocação entre os maiores setores do agronegócio em valor exportado, com vendas de US$ 12,73 bilhões (+23,8%) e 23,72 milhões de toneladas comercializadas (+9,2%). O principal item negociado foi a celulose, com o recorde histórico de 14,55 milhões de toneladas embarcadas (+6,9%). Com a expansão de 22,9% no preço médio, houve incremento de 31,4% no valor exportado, que atingiu a soma recorde de US$ 7,26 bilhões. As vendas de madeiras e suas obras alcançaram o patamar de US$ 3,49 bilhões (+20,3%), com 7,02 milhões de toneladas negociadas (+17,9%) e aumento de 2,0% no preço médio dos produtos desse subsetor. Em relação às vendas externas de papel, houve queda de 0,4% em quantidade (2,14 milhões de toneladas), expansão 7,1% no preço médio e elevação de 6,6% na receita (US$ 1,98 bilhão).</w:t>
      </w:r>
    </w:p>
    <w:p w:rsidR="00DD0277" w:rsidRPr="007F60B9" w:rsidRDefault="00DD0277" w:rsidP="00DD0277">
      <w:pPr>
        <w:pStyle w:val="Recuodecorpodetexto"/>
        <w:rPr>
          <w:rFonts w:ascii="Arial" w:hAnsi="Arial" w:cs="Arial"/>
          <w:sz w:val="20"/>
          <w:szCs w:val="20"/>
        </w:rPr>
      </w:pPr>
    </w:p>
    <w:p w:rsidR="00DD0277" w:rsidRPr="007F60B9" w:rsidRDefault="00DD0277" w:rsidP="00DD0277">
      <w:pPr>
        <w:pStyle w:val="Recuodecorpodetexto"/>
        <w:rPr>
          <w:rFonts w:ascii="Arial" w:hAnsi="Arial" w:cs="Arial"/>
          <w:sz w:val="20"/>
          <w:szCs w:val="20"/>
        </w:rPr>
      </w:pPr>
      <w:r w:rsidRPr="007F60B9">
        <w:rPr>
          <w:rFonts w:ascii="Arial" w:hAnsi="Arial" w:cs="Arial"/>
          <w:sz w:val="20"/>
          <w:szCs w:val="20"/>
        </w:rPr>
        <w:t>As exportações do complexo sucroalcooleiro decresceram de US$ 12,07 bilhões, entre maio de 2016 e abril de 2017, para US$ 11,01 bilhões, entre maio de 2017 e abril de 2018 (-8,8%), em razão da queda de 3,9% no quantum exportado, que atingiu 28,39 milhões de toneladas no período, e concomitante retração da cotação média dos produtos do setor (-5,1%). O preço médio do açúcar caiu 5,8% nos últimos doze meses, enquanto a quantidade comercializada decresceu 4,0%, puxando para baixo a receita de exportação, que caiu 9,6% e alcançou US$ 10,21 bilhões. O preço médio do álcool subiu no período considerado, passando de US$ 671 por tonelada para os atuais US$ 703 por tonelada (+4,7%). As vendas em quantidade diminuíram 2,6%, resultando no valor exportado de US$ 785,19 milhões (+2,0%).</w:t>
      </w:r>
    </w:p>
    <w:p w:rsidR="00DD0277" w:rsidRPr="007F60B9" w:rsidRDefault="00DD0277" w:rsidP="00DD0277">
      <w:pPr>
        <w:pStyle w:val="Recuodecorpodetexto"/>
        <w:rPr>
          <w:rFonts w:ascii="Arial" w:hAnsi="Arial" w:cs="Arial"/>
          <w:sz w:val="20"/>
          <w:szCs w:val="20"/>
        </w:rPr>
      </w:pPr>
    </w:p>
    <w:p w:rsidR="00DD0277" w:rsidRPr="007F60B9" w:rsidRDefault="00DD0277" w:rsidP="00DD0277">
      <w:pPr>
        <w:pStyle w:val="Recuodecorpodetexto"/>
        <w:rPr>
          <w:rFonts w:ascii="Arial" w:hAnsi="Arial" w:cs="Arial"/>
          <w:sz w:val="20"/>
          <w:szCs w:val="20"/>
        </w:rPr>
      </w:pPr>
      <w:r w:rsidRPr="007F60B9">
        <w:rPr>
          <w:rFonts w:ascii="Arial" w:hAnsi="Arial" w:cs="Arial"/>
          <w:sz w:val="20"/>
          <w:szCs w:val="20"/>
        </w:rPr>
        <w:t xml:space="preserve">Os cereais, farinhas e preparações ficaram na quinta colocação entre os setores do agronegócio no acumulado dos últimos doze meses, com vendas externas de US$ 5,65 bilhões e quantum comercializado de 33,46 milhões de toneladas, o que representou incremento de 118,4% e 150,4%, respectivamente. O principal item negociado foi o milho, com exportações de US$ 4,96 bilhões e aumento de 143,7% em comparação aos US$ 2,04 bilhões registrados entre maio de 2016 e abril de 2017. A quantidade comercializada no período foi de 31,91 milhões de toneladas, o que significou expansão de 166,4% em relação aos doze meses anteriores (US$ 11,97 milhões de toneladas). </w:t>
      </w:r>
    </w:p>
    <w:p w:rsidR="00DD0277" w:rsidRPr="007F60B9" w:rsidRDefault="00DD0277" w:rsidP="00DD0277">
      <w:pPr>
        <w:pStyle w:val="Recuodecorpodetexto"/>
        <w:rPr>
          <w:rFonts w:ascii="Arial" w:hAnsi="Arial" w:cs="Arial"/>
          <w:sz w:val="20"/>
          <w:szCs w:val="20"/>
        </w:rPr>
      </w:pPr>
    </w:p>
    <w:p w:rsidR="00DD0277" w:rsidRPr="007F60B9" w:rsidRDefault="00DD0277" w:rsidP="00DD0277">
      <w:pPr>
        <w:pStyle w:val="Recuodecorpodetexto"/>
        <w:rPr>
          <w:rFonts w:ascii="Arial" w:hAnsi="Arial" w:cs="Arial"/>
          <w:sz w:val="20"/>
          <w:szCs w:val="20"/>
        </w:rPr>
      </w:pPr>
      <w:r w:rsidRPr="007F60B9">
        <w:rPr>
          <w:rFonts w:ascii="Arial" w:hAnsi="Arial" w:cs="Arial"/>
          <w:sz w:val="20"/>
          <w:szCs w:val="20"/>
        </w:rPr>
        <w:t>Os cinco setores do agronegócio mencionados, em conjunto, alcançaram a cifra de US$ 76,73 bilhões e obtiveram 78,9% de participação nas exportações de produtos do agronegócio realizadas entre maio de 2017 e abril de 2018.</w:t>
      </w:r>
    </w:p>
    <w:p w:rsidR="00DD0277" w:rsidRPr="007F60B9" w:rsidRDefault="00DD0277" w:rsidP="00DD0277">
      <w:pPr>
        <w:pStyle w:val="Recuodecorpodetexto"/>
        <w:rPr>
          <w:rFonts w:ascii="Arial" w:hAnsi="Arial" w:cs="Arial"/>
          <w:sz w:val="20"/>
          <w:szCs w:val="20"/>
        </w:rPr>
      </w:pPr>
    </w:p>
    <w:p w:rsidR="00DD0277" w:rsidRPr="007F60B9" w:rsidRDefault="00DD0277" w:rsidP="00DD0277">
      <w:pPr>
        <w:pStyle w:val="Recuodecorpodetexto"/>
        <w:rPr>
          <w:rFonts w:ascii="Arial" w:hAnsi="Arial" w:cs="Arial"/>
          <w:sz w:val="20"/>
          <w:szCs w:val="20"/>
        </w:rPr>
      </w:pPr>
      <w:r w:rsidRPr="007F60B9">
        <w:rPr>
          <w:rFonts w:ascii="Arial" w:hAnsi="Arial" w:cs="Arial"/>
          <w:sz w:val="20"/>
          <w:szCs w:val="20"/>
        </w:rPr>
        <w:t xml:space="preserve"> Em relação às importações de produtos do agronegócio nos últimos doze meses, observou-se um montante de US$ 14,22 bilhões e recuo de 1,7% em comparação aos US$ 14,47 bilhões registrados entre maio de 2016 e abril de 2017. Os principais itens adquiridos no mercado internacional, nesse período, foram: pescados (US$ 1,36 bilhão e +7,3%); trigo (US$ 1,19 bilhão e -12,9%); papel (US$ 892,80 milhões e +18,0%); lácteos (US$ 483,98 milhões e -33,6%); malte (US$ 430,80 milhões e -6,0%); e azeite de oliva (US$ 411,75 milhões e +36,6%).</w:t>
      </w:r>
    </w:p>
    <w:p w:rsidR="00DD0277" w:rsidRPr="00DD0277" w:rsidRDefault="00DD0277" w:rsidP="00DD0277"/>
    <w:p w:rsidR="0001136D" w:rsidRPr="00AB3924" w:rsidRDefault="0001136D" w:rsidP="0001136D">
      <w:pPr>
        <w:rPr>
          <w:rFonts w:ascii="Arial" w:hAnsi="Arial" w:cs="Arial"/>
        </w:rPr>
      </w:pPr>
    </w:p>
    <w:p w:rsidR="00384963" w:rsidRDefault="002B1A0F" w:rsidP="00CA2C33">
      <w:pPr>
        <w:rPr>
          <w:rFonts w:ascii="Arial" w:hAnsi="Arial" w:cs="Arial"/>
          <w:sz w:val="20"/>
          <w:szCs w:val="20"/>
        </w:rPr>
      </w:pPr>
      <w:r w:rsidRPr="002B1A0F">
        <w:rPr>
          <w:noProof/>
        </w:rPr>
        <w:drawing>
          <wp:inline distT="0" distB="0" distL="0" distR="0" wp14:anchorId="14847FAF" wp14:editId="522184C0">
            <wp:extent cx="6480175" cy="3855085"/>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80175" cy="3855085"/>
                    </a:xfrm>
                    <a:prstGeom prst="rect">
                      <a:avLst/>
                    </a:prstGeom>
                  </pic:spPr>
                </pic:pic>
              </a:graphicData>
            </a:graphic>
          </wp:inline>
        </w:drawing>
      </w:r>
    </w:p>
    <w:p w:rsidR="00384963" w:rsidRDefault="00384963" w:rsidP="00CA2C33">
      <w:pPr>
        <w:rPr>
          <w:rFonts w:ascii="Arial" w:hAnsi="Arial" w:cs="Arial"/>
          <w:sz w:val="20"/>
          <w:szCs w:val="20"/>
        </w:rPr>
      </w:pPr>
    </w:p>
    <w:p w:rsidR="0001136D" w:rsidRDefault="0001136D" w:rsidP="00CA2C33">
      <w:pPr>
        <w:rPr>
          <w:rFonts w:ascii="Arial" w:hAnsi="Arial" w:cs="Arial"/>
          <w:b/>
          <w:sz w:val="20"/>
          <w:szCs w:val="20"/>
        </w:rPr>
      </w:pPr>
      <w:r w:rsidRPr="00384963">
        <w:rPr>
          <w:rFonts w:ascii="Arial" w:hAnsi="Arial" w:cs="Arial"/>
          <w:b/>
          <w:sz w:val="20"/>
          <w:szCs w:val="20"/>
        </w:rPr>
        <w:t>III.b – Blocos Econômicos e Regiões Geográficas</w:t>
      </w:r>
    </w:p>
    <w:p w:rsidR="00DD0277" w:rsidRDefault="00DD0277" w:rsidP="00CA2C33">
      <w:pPr>
        <w:rPr>
          <w:rFonts w:ascii="Arial" w:hAnsi="Arial" w:cs="Arial"/>
          <w:b/>
          <w:sz w:val="20"/>
          <w:szCs w:val="20"/>
        </w:rPr>
      </w:pPr>
    </w:p>
    <w:p w:rsidR="00DD0277" w:rsidRPr="007F60B9" w:rsidRDefault="00DD0277" w:rsidP="00DD0277">
      <w:pPr>
        <w:pStyle w:val="Recuodecorpodetexto"/>
        <w:rPr>
          <w:rFonts w:ascii="Arial" w:hAnsi="Arial" w:cs="Arial"/>
          <w:sz w:val="20"/>
          <w:szCs w:val="20"/>
        </w:rPr>
      </w:pPr>
      <w:r w:rsidRPr="007F60B9">
        <w:rPr>
          <w:rFonts w:ascii="Arial" w:hAnsi="Arial" w:cs="Arial"/>
          <w:sz w:val="20"/>
          <w:szCs w:val="20"/>
        </w:rPr>
        <w:t>No âmbito das exportações do agronegócio por blocos econômicos e regiões geográficas, a Ásia segue no posto de principal destino dos produtos do agronegócio brasileiro. As vendas para o continente asiático atingiram a marca de US$ 44,48 bilhões, o que significou expansão de 16,3% em comparação aos valores registrados entre maio de 2016 e abril de 2017 (US$ 38,25 bilhões). Dessa forma, a participação da região nas exportações de produtos do agronegócio brasileiro passou de 44,5% para 45,7%.</w:t>
      </w:r>
    </w:p>
    <w:p w:rsidR="00DD0277" w:rsidRPr="007F60B9" w:rsidRDefault="00DD0277" w:rsidP="00DD0277">
      <w:pPr>
        <w:pStyle w:val="Recuodecorpodetexto"/>
        <w:rPr>
          <w:rFonts w:ascii="Arial" w:hAnsi="Arial" w:cs="Arial"/>
          <w:sz w:val="20"/>
          <w:szCs w:val="20"/>
        </w:rPr>
      </w:pPr>
    </w:p>
    <w:p w:rsidR="00DD0277" w:rsidRPr="007F60B9" w:rsidRDefault="00DD0277" w:rsidP="00DD0277">
      <w:pPr>
        <w:pStyle w:val="Recuodecorpodetexto"/>
        <w:rPr>
          <w:rFonts w:ascii="Arial" w:hAnsi="Arial" w:cs="Arial"/>
          <w:sz w:val="20"/>
          <w:szCs w:val="20"/>
        </w:rPr>
      </w:pPr>
      <w:r w:rsidRPr="007F60B9">
        <w:rPr>
          <w:rFonts w:ascii="Arial" w:hAnsi="Arial" w:cs="Arial"/>
          <w:sz w:val="20"/>
          <w:szCs w:val="20"/>
        </w:rPr>
        <w:t xml:space="preserve">O segundo principal bloco de destino das exportações agropecuárias brasileiras nos últimos doze meses, a União Europeia, apresentou incremento de 8,6% nas aquisições de mercadorias brasileiras, alcançando a cifra de US$ 17,80 bilhões, ante um total de US$ 16,38 bilhões nos doze meses imediatamente anteriores (-US$ 1,41 bilhão). Mesmo com esse crescimento em valor, a participação da UE-28 nas exportações do agronegócio brasileiro caiu de 19,0% para 18,3%, uma vez que apresentou incremento inferior à média verificada no período (+13,1%). </w:t>
      </w:r>
    </w:p>
    <w:p w:rsidR="00DD0277" w:rsidRPr="00DD0277" w:rsidRDefault="00DD0277" w:rsidP="00DD0277">
      <w:pPr>
        <w:pStyle w:val="Recuodecorpodetexto"/>
        <w:rPr>
          <w:rFonts w:ascii="Arial" w:hAnsi="Arial" w:cs="Arial"/>
          <w:sz w:val="20"/>
          <w:szCs w:val="20"/>
        </w:rPr>
      </w:pPr>
    </w:p>
    <w:p w:rsidR="00DD0277" w:rsidRPr="00384963" w:rsidRDefault="00DD0277" w:rsidP="00CA2C33">
      <w:pPr>
        <w:rPr>
          <w:rFonts w:ascii="Arial" w:hAnsi="Arial" w:cs="Arial"/>
          <w:b/>
          <w:sz w:val="20"/>
          <w:szCs w:val="20"/>
        </w:rPr>
      </w:pPr>
    </w:p>
    <w:p w:rsidR="004278D4" w:rsidRDefault="004278D4" w:rsidP="002B1A0F">
      <w:pPr>
        <w:pStyle w:val="Recuodecorpodetexto"/>
        <w:ind w:firstLine="0"/>
        <w:rPr>
          <w:rFonts w:ascii="Arial" w:hAnsi="Arial" w:cs="Arial"/>
          <w:sz w:val="20"/>
          <w:szCs w:val="20"/>
        </w:rPr>
      </w:pPr>
    </w:p>
    <w:p w:rsidR="002B1A0F" w:rsidRDefault="002B1A0F" w:rsidP="002B1A0F">
      <w:pPr>
        <w:pStyle w:val="Recuodecorpodetexto"/>
        <w:ind w:firstLine="0"/>
        <w:rPr>
          <w:rFonts w:ascii="Arial" w:hAnsi="Arial" w:cs="Arial"/>
          <w:sz w:val="20"/>
          <w:szCs w:val="20"/>
        </w:rPr>
      </w:pPr>
      <w:r w:rsidRPr="002B1A0F">
        <w:rPr>
          <w:noProof/>
        </w:rPr>
        <w:drawing>
          <wp:inline distT="0" distB="0" distL="0" distR="0" wp14:anchorId="7C270C0D" wp14:editId="340BC1DE">
            <wp:extent cx="6480175" cy="2348230"/>
            <wp:effectExtent l="0" t="0" r="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80175" cy="2348230"/>
                    </a:xfrm>
                    <a:prstGeom prst="rect">
                      <a:avLst/>
                    </a:prstGeom>
                  </pic:spPr>
                </pic:pic>
              </a:graphicData>
            </a:graphic>
          </wp:inline>
        </w:drawing>
      </w:r>
    </w:p>
    <w:p w:rsidR="0001136D" w:rsidRPr="00AB3924" w:rsidRDefault="0001136D" w:rsidP="0001136D">
      <w:pPr>
        <w:pStyle w:val="Recuodecorpodetexto"/>
        <w:rPr>
          <w:rFonts w:ascii="Arial" w:hAnsi="Arial" w:cs="Arial"/>
          <w:sz w:val="20"/>
          <w:szCs w:val="20"/>
        </w:rPr>
      </w:pPr>
    </w:p>
    <w:p w:rsidR="0001136D" w:rsidRDefault="0001136D" w:rsidP="0001136D">
      <w:pPr>
        <w:pStyle w:val="Ttulo5"/>
        <w:autoSpaceDE/>
        <w:autoSpaceDN/>
        <w:adjustRightInd/>
        <w:rPr>
          <w:rFonts w:ascii="Arial" w:hAnsi="Arial" w:cs="Arial"/>
          <w:sz w:val="20"/>
          <w:szCs w:val="20"/>
        </w:rPr>
      </w:pPr>
      <w:r w:rsidRPr="00AB3924">
        <w:rPr>
          <w:rFonts w:ascii="Arial" w:hAnsi="Arial" w:cs="Arial"/>
          <w:sz w:val="20"/>
          <w:szCs w:val="20"/>
        </w:rPr>
        <w:t>III.c – Países</w:t>
      </w:r>
    </w:p>
    <w:p w:rsidR="00DD0277" w:rsidRDefault="00DD0277" w:rsidP="00DD0277"/>
    <w:p w:rsidR="00DD0277" w:rsidRPr="007F60B9" w:rsidRDefault="00DD0277" w:rsidP="00DD0277">
      <w:pPr>
        <w:pStyle w:val="Recuodecorpodetexto"/>
        <w:rPr>
          <w:rFonts w:ascii="Arial" w:hAnsi="Arial" w:cs="Arial"/>
          <w:sz w:val="20"/>
          <w:szCs w:val="20"/>
        </w:rPr>
      </w:pPr>
      <w:r w:rsidRPr="007F60B9">
        <w:rPr>
          <w:rFonts w:ascii="Arial" w:hAnsi="Arial" w:cs="Arial"/>
          <w:sz w:val="20"/>
          <w:szCs w:val="20"/>
        </w:rPr>
        <w:t xml:space="preserve">No que se refere aos países, a China permaneceu como o principal destino das exportações do agronegócio brasileiro, com a cifra de US$ 26,64 bilhões. Em relação ao período anterior, verificou-se elevação de 17,2% no valor exportado e crescimento da participação chinesa de 1,0 ponto percentual, chegando a 27,4% de </w:t>
      </w:r>
      <w:r w:rsidRPr="00DD0277">
        <w:rPr>
          <w:rFonts w:ascii="Arial" w:hAnsi="Arial" w:cs="Arial"/>
          <w:sz w:val="20"/>
          <w:szCs w:val="20"/>
        </w:rPr>
        <w:t>market share</w:t>
      </w:r>
      <w:r w:rsidRPr="007F60B9">
        <w:rPr>
          <w:rFonts w:ascii="Arial" w:hAnsi="Arial" w:cs="Arial"/>
          <w:sz w:val="20"/>
          <w:szCs w:val="20"/>
        </w:rPr>
        <w:t xml:space="preserve">. Os principais produtos responsáveis por esse crescimento das exportações no período foram: soja em grãos (+US$ 3,89 bilhões); celulose (+US$ 544,52 milhões); carne bovina (+US$ 277,71 milhões); e óleos vegetais (+US$ 63,07 milhões). </w:t>
      </w:r>
    </w:p>
    <w:p w:rsidR="00DD0277" w:rsidRPr="007F60B9" w:rsidRDefault="00DD0277" w:rsidP="00DD0277">
      <w:pPr>
        <w:pStyle w:val="Recuodecorpodetexto"/>
        <w:rPr>
          <w:rFonts w:ascii="Arial" w:hAnsi="Arial" w:cs="Arial"/>
          <w:sz w:val="20"/>
          <w:szCs w:val="20"/>
        </w:rPr>
      </w:pPr>
    </w:p>
    <w:p w:rsidR="00DD0277" w:rsidRPr="007F60B9" w:rsidRDefault="00DD0277" w:rsidP="00DD0277">
      <w:pPr>
        <w:pStyle w:val="Recuodecorpodetexto"/>
        <w:rPr>
          <w:rFonts w:ascii="Arial" w:hAnsi="Arial" w:cs="Arial"/>
          <w:sz w:val="20"/>
          <w:szCs w:val="20"/>
        </w:rPr>
      </w:pPr>
      <w:r w:rsidRPr="007F60B9">
        <w:rPr>
          <w:rFonts w:ascii="Arial" w:hAnsi="Arial" w:cs="Arial"/>
          <w:sz w:val="20"/>
          <w:szCs w:val="20"/>
        </w:rPr>
        <w:t>As exportações para os Estados Unidos, segundo principal destino no acumulado dos últimos doze meses, cresceram de US$ 6,29 bilhões para US$ 6,98 bilhões (+11,0%). Apesar desse incremento, a participação norte americana nas exportações brasileiras caiu de 7,3% para 7,2%. Os principais produtos que contribuíram para o incremento das exportações para o mercado norte-americano nos últimos doze meses foram: celulose (+US$ 287,90 milhões); madeira (+US$ 206,52 milhões); suco de laranja (+US$ 161,03 milhões); e álcool (+US$ 56,76 milhões).</w:t>
      </w:r>
    </w:p>
    <w:p w:rsidR="00DD0277" w:rsidRPr="007F60B9" w:rsidRDefault="00DD0277" w:rsidP="00DD0277">
      <w:pPr>
        <w:pStyle w:val="Recuodecorpodetexto"/>
        <w:rPr>
          <w:rFonts w:ascii="Arial" w:hAnsi="Arial" w:cs="Arial"/>
          <w:sz w:val="20"/>
          <w:szCs w:val="20"/>
        </w:rPr>
      </w:pPr>
    </w:p>
    <w:p w:rsidR="00DD0277" w:rsidRPr="007F60B9" w:rsidRDefault="00DD0277" w:rsidP="00DD0277">
      <w:pPr>
        <w:pStyle w:val="Recuodecorpodetexto"/>
        <w:rPr>
          <w:rFonts w:ascii="Arial" w:hAnsi="Arial" w:cs="Arial"/>
          <w:sz w:val="20"/>
          <w:szCs w:val="20"/>
        </w:rPr>
      </w:pPr>
      <w:r w:rsidRPr="007F60B9">
        <w:rPr>
          <w:rFonts w:ascii="Arial" w:hAnsi="Arial" w:cs="Arial"/>
          <w:sz w:val="20"/>
          <w:szCs w:val="20"/>
        </w:rPr>
        <w:t>O terceiro principal destino das exportações agropecuárias brasileiras foram os Países Baixos, com US$ 4,67 bilhões, o que representou aumento de 8,4% em comparação aos US$ 4,31 bilhões registrados entre maio de 2016 e abril de 2017. Por causa do crescimento abaixo da média da variação das exportações no período (+13,1%), a participação desse parceiro comercial caiu 0,2 ponto percentual, atingindo 4,8%. Os produtos que se destacaram em relação ao crescimento das exportações, em valor, para esse mercado, foram: celulose (+US$ 162,17 milhões); suco de laranja (+US$ 145,27 milhões); soja em grãos (+US$ 126,72 milhões); e milho (+US$ 51,17 milhões).</w:t>
      </w:r>
    </w:p>
    <w:p w:rsidR="00DD0277" w:rsidRPr="007F60B9" w:rsidRDefault="00DD0277" w:rsidP="00DD0277">
      <w:pPr>
        <w:pStyle w:val="Recuodecorpodetexto"/>
        <w:rPr>
          <w:rFonts w:ascii="Arial" w:hAnsi="Arial" w:cs="Arial"/>
          <w:sz w:val="20"/>
          <w:szCs w:val="20"/>
        </w:rPr>
      </w:pPr>
    </w:p>
    <w:p w:rsidR="00DD0277" w:rsidRPr="005A5406" w:rsidRDefault="00DD0277" w:rsidP="00DD0277">
      <w:pPr>
        <w:pStyle w:val="Recuodecorpodetexto"/>
        <w:rPr>
          <w:rFonts w:ascii="Arial" w:hAnsi="Arial" w:cs="Arial"/>
          <w:sz w:val="20"/>
          <w:szCs w:val="20"/>
        </w:rPr>
      </w:pPr>
      <w:r w:rsidRPr="007F60B9">
        <w:rPr>
          <w:rFonts w:ascii="Arial" w:hAnsi="Arial" w:cs="Arial"/>
          <w:sz w:val="20"/>
          <w:szCs w:val="20"/>
        </w:rPr>
        <w:t>Em relação ao dinamismo das exportações, os principais destaques do período, conforme ilustrado na Tabela 9, foram: Egito (US$ 2,14 bilhões e +96,7%); Vietnã (US$ 1,53 bilhão e +38,4%); Espanha (US$ 2,03 bilhões e +35,1%); Bangladesh (US$ 1,48 bilhão e +33,2%); Hong Kong (US$ 2,67 bilhões e +31,5%); Japão (US$ 2,64 bilhões e +28,1%); Emirados Árabes Unidos (US$ 1,72 bilhão e +26,5%); e Itália (US$ 2,33 bilhões e +24,3%).</w:t>
      </w:r>
    </w:p>
    <w:p w:rsidR="00DD0277" w:rsidRPr="00DD0277" w:rsidRDefault="00DD0277" w:rsidP="00DD0277">
      <w:pPr>
        <w:pStyle w:val="Recuodecorpodetexto"/>
        <w:rPr>
          <w:rFonts w:ascii="Arial" w:hAnsi="Arial" w:cs="Arial"/>
          <w:sz w:val="20"/>
          <w:szCs w:val="20"/>
        </w:rPr>
      </w:pPr>
    </w:p>
    <w:p w:rsidR="0001136D" w:rsidRPr="00AB3924" w:rsidRDefault="0001136D" w:rsidP="0001136D">
      <w:pPr>
        <w:rPr>
          <w:rFonts w:ascii="Arial" w:hAnsi="Arial" w:cs="Arial"/>
        </w:rPr>
      </w:pPr>
    </w:p>
    <w:p w:rsidR="00384963" w:rsidRPr="00AB3924" w:rsidRDefault="002B1A0F" w:rsidP="0001136D">
      <w:pPr>
        <w:rPr>
          <w:rFonts w:ascii="Arial" w:hAnsi="Arial" w:cs="Arial"/>
        </w:rPr>
      </w:pPr>
      <w:r w:rsidRPr="002B1A0F">
        <w:rPr>
          <w:noProof/>
        </w:rPr>
        <w:drawing>
          <wp:inline distT="0" distB="0" distL="0" distR="0" wp14:anchorId="59CF2789" wp14:editId="5B7F741F">
            <wp:extent cx="6480175" cy="3879215"/>
            <wp:effectExtent l="0" t="0" r="0" b="698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80175" cy="3879215"/>
                    </a:xfrm>
                    <a:prstGeom prst="rect">
                      <a:avLst/>
                    </a:prstGeom>
                  </pic:spPr>
                </pic:pic>
              </a:graphicData>
            </a:graphic>
          </wp:inline>
        </w:drawing>
      </w:r>
    </w:p>
    <w:p w:rsidR="007D7D4C" w:rsidRDefault="007D7D4C" w:rsidP="00384963">
      <w:pPr>
        <w:pStyle w:val="Recuodecorpodetexto"/>
        <w:ind w:firstLine="0"/>
        <w:rPr>
          <w:rFonts w:ascii="Arial" w:hAnsi="Arial" w:cs="Arial"/>
          <w:sz w:val="20"/>
          <w:szCs w:val="20"/>
        </w:rPr>
      </w:pPr>
    </w:p>
    <w:p w:rsidR="00384963" w:rsidRPr="00826906" w:rsidRDefault="00384963" w:rsidP="00384963">
      <w:pPr>
        <w:pStyle w:val="Recuodecorpodetexto"/>
        <w:ind w:firstLine="0"/>
        <w:rPr>
          <w:rFonts w:ascii="Arial" w:hAnsi="Arial" w:cs="Arial"/>
          <w:sz w:val="20"/>
          <w:szCs w:val="20"/>
        </w:rPr>
      </w:pPr>
    </w:p>
    <w:p w:rsidR="00C87B02" w:rsidRPr="00826906" w:rsidRDefault="00C87B02">
      <w:pPr>
        <w:pStyle w:val="Ttulo4"/>
        <w:pBdr>
          <w:top w:val="single" w:sz="4" w:space="1" w:color="auto"/>
          <w:left w:val="single" w:sz="4" w:space="4" w:color="auto"/>
          <w:bottom w:val="single" w:sz="4" w:space="1" w:color="auto"/>
          <w:right w:val="single" w:sz="4" w:space="4" w:color="auto"/>
        </w:pBdr>
        <w:spacing w:after="80"/>
        <w:ind w:firstLine="0"/>
        <w:rPr>
          <w:i w:val="0"/>
          <w:sz w:val="20"/>
          <w:szCs w:val="20"/>
          <w:lang w:val="pt-BR"/>
        </w:rPr>
      </w:pPr>
      <w:r w:rsidRPr="00826906">
        <w:rPr>
          <w:i w:val="0"/>
          <w:sz w:val="20"/>
          <w:szCs w:val="20"/>
          <w:lang w:val="pt-BR"/>
        </w:rPr>
        <w:t>NOTA METODOLÓGICA</w:t>
      </w:r>
    </w:p>
    <w:p w:rsidR="00C87B02" w:rsidRPr="00826906" w:rsidRDefault="00C87B02" w:rsidP="00E316DA">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rFonts w:ascii="Arial" w:hAnsi="Arial" w:cs="Arial"/>
          <w:sz w:val="20"/>
          <w:szCs w:val="20"/>
        </w:rPr>
      </w:pPr>
      <w:r w:rsidRPr="00826906">
        <w:rPr>
          <w:rFonts w:ascii="Arial" w:hAnsi="Arial" w:cs="Arial"/>
          <w:sz w:val="20"/>
          <w:szCs w:val="20"/>
        </w:rPr>
        <w:t>A classificação de produtos do agronegócio utilizada nesta nota foi atualizada de acordo com a Resolução CAMEX Nº 94, de 8/12/2012, que alterou a Nomenclatura Comum do MERCOSUL – NCM para adaptá-la em relação às modificações do Sistema Harmonizado de Designação e de Codificação de Mercadorias (SH-2012), que estabelece um método internacional para a classificação de mercadorias.</w:t>
      </w:r>
    </w:p>
    <w:p w:rsidR="00C87B02" w:rsidRPr="00826906" w:rsidRDefault="00C87B02" w:rsidP="00E316DA">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rFonts w:ascii="Arial" w:hAnsi="Arial" w:cs="Arial"/>
          <w:sz w:val="20"/>
          <w:szCs w:val="20"/>
        </w:rPr>
      </w:pPr>
    </w:p>
    <w:p w:rsidR="00C87B02" w:rsidRPr="00826906" w:rsidRDefault="00C87B02" w:rsidP="00E316DA">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rFonts w:ascii="Arial" w:hAnsi="Arial" w:cs="Arial"/>
          <w:sz w:val="20"/>
          <w:szCs w:val="20"/>
        </w:rPr>
      </w:pPr>
      <w:r w:rsidRPr="00826906">
        <w:rPr>
          <w:rFonts w:ascii="Arial" w:hAnsi="Arial" w:cs="Arial"/>
          <w:sz w:val="20"/>
          <w:szCs w:val="20"/>
        </w:rPr>
        <w:t xml:space="preserve">A Balança Comercial do Agronegócio utiliza uma classificação dos produtos do agronegócio que reúne 2.867 NCM’s em 25 setores. Essa é a mesma classificação utilizada no AGROSTAT BRASIL - base de dados </w:t>
      </w:r>
      <w:r w:rsidRPr="00826906">
        <w:rPr>
          <w:rFonts w:ascii="Arial" w:hAnsi="Arial" w:cs="Arial"/>
          <w:i/>
          <w:sz w:val="20"/>
          <w:szCs w:val="20"/>
        </w:rPr>
        <w:t>on line</w:t>
      </w:r>
      <w:r w:rsidRPr="00826906">
        <w:rPr>
          <w:rFonts w:ascii="Arial" w:hAnsi="Arial" w:cs="Arial"/>
          <w:sz w:val="20"/>
          <w:szCs w:val="20"/>
        </w:rPr>
        <w:t xml:space="preserve"> que oferece uma visão detalhada e atualizada das exportações e importações brasileiras do agronegócio. Mais informações da metodologia e classificação podem ser consultadas no site: </w:t>
      </w:r>
      <w:hyperlink r:id="rId17" w:history="1">
        <w:r w:rsidRPr="00826906">
          <w:rPr>
            <w:rStyle w:val="Hyperlink"/>
            <w:rFonts w:ascii="Arial" w:hAnsi="Arial" w:cs="Arial"/>
            <w:sz w:val="20"/>
            <w:szCs w:val="20"/>
          </w:rPr>
          <w:t>agrostat.agricultura.gov.br</w:t>
        </w:r>
      </w:hyperlink>
      <w:r w:rsidRPr="00826906">
        <w:rPr>
          <w:rFonts w:ascii="Arial" w:hAnsi="Arial" w:cs="Arial"/>
          <w:sz w:val="20"/>
          <w:szCs w:val="20"/>
        </w:rPr>
        <w:t xml:space="preserve"> </w:t>
      </w:r>
    </w:p>
    <w:p w:rsidR="00C87B02" w:rsidRPr="00826906" w:rsidRDefault="00C87B02">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rFonts w:ascii="Arial" w:hAnsi="Arial" w:cs="Arial"/>
          <w:sz w:val="20"/>
          <w:szCs w:val="20"/>
        </w:rPr>
      </w:pPr>
    </w:p>
    <w:p w:rsidR="00C87B02" w:rsidRPr="00826906" w:rsidRDefault="00C87B02">
      <w:pPr>
        <w:pStyle w:val="Ttulo2"/>
        <w:jc w:val="right"/>
        <w:rPr>
          <w:rFonts w:ascii="Arial" w:hAnsi="Arial" w:cs="Arial"/>
          <w:b/>
          <w:sz w:val="20"/>
        </w:rPr>
      </w:pPr>
    </w:p>
    <w:p w:rsidR="00C87B02" w:rsidRPr="00826906" w:rsidRDefault="00C87B02">
      <w:pPr>
        <w:pStyle w:val="Ttulo2"/>
        <w:jc w:val="right"/>
        <w:rPr>
          <w:rFonts w:ascii="Arial" w:hAnsi="Arial" w:cs="Arial"/>
          <w:b/>
          <w:sz w:val="20"/>
        </w:rPr>
      </w:pPr>
      <w:r w:rsidRPr="00826906">
        <w:rPr>
          <w:rFonts w:ascii="Arial" w:hAnsi="Arial" w:cs="Arial"/>
          <w:b/>
          <w:sz w:val="20"/>
        </w:rPr>
        <w:t>MAPA/SRI/DPI</w:t>
      </w:r>
    </w:p>
    <w:p w:rsidR="00C87B02" w:rsidRPr="00826906" w:rsidRDefault="00C87B02">
      <w:pPr>
        <w:pStyle w:val="Recuodecorpodetexto"/>
        <w:jc w:val="right"/>
        <w:rPr>
          <w:rFonts w:ascii="Arial" w:hAnsi="Arial" w:cs="Arial"/>
          <w:sz w:val="20"/>
          <w:szCs w:val="20"/>
        </w:rPr>
      </w:pPr>
      <w:r w:rsidRPr="00826906">
        <w:rPr>
          <w:rFonts w:ascii="Arial" w:hAnsi="Arial" w:cs="Arial"/>
          <w:sz w:val="20"/>
          <w:szCs w:val="20"/>
        </w:rPr>
        <w:t xml:space="preserve"> </w:t>
      </w:r>
      <w:r w:rsidR="00DD0277">
        <w:rPr>
          <w:rFonts w:ascii="Arial" w:hAnsi="Arial" w:cs="Arial"/>
          <w:sz w:val="20"/>
          <w:szCs w:val="20"/>
        </w:rPr>
        <w:t>11</w:t>
      </w:r>
      <w:r w:rsidR="0001136D">
        <w:rPr>
          <w:rFonts w:ascii="Arial" w:hAnsi="Arial" w:cs="Arial"/>
          <w:sz w:val="20"/>
          <w:szCs w:val="20"/>
        </w:rPr>
        <w:t>/0</w:t>
      </w:r>
      <w:r w:rsidR="00DD0277">
        <w:rPr>
          <w:rFonts w:ascii="Arial" w:hAnsi="Arial" w:cs="Arial"/>
          <w:sz w:val="20"/>
          <w:szCs w:val="20"/>
        </w:rPr>
        <w:t>5</w:t>
      </w:r>
      <w:r w:rsidR="00826906">
        <w:rPr>
          <w:rFonts w:ascii="Arial" w:hAnsi="Arial" w:cs="Arial"/>
          <w:sz w:val="20"/>
          <w:szCs w:val="20"/>
        </w:rPr>
        <w:t>/2018</w:t>
      </w:r>
    </w:p>
    <w:sectPr w:rsidR="00C87B02" w:rsidRPr="00826906" w:rsidSect="00C2569A">
      <w:footerReference w:type="even" r:id="rId18"/>
      <w:footerReference w:type="default" r:id="rId19"/>
      <w:pgSz w:w="11907" w:h="16840" w:code="9"/>
      <w:pgMar w:top="851" w:right="851" w:bottom="851" w:left="851" w:header="0" w:footer="0"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AB1" w:rsidRDefault="00CA5AB1">
      <w:r>
        <w:separator/>
      </w:r>
    </w:p>
  </w:endnote>
  <w:endnote w:type="continuationSeparator" w:id="0">
    <w:p w:rsidR="00CA5AB1" w:rsidRDefault="00CA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F40" w:rsidRDefault="008F4F4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F4F40" w:rsidRDefault="008F4F4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F40" w:rsidRPr="000754DD" w:rsidRDefault="008F4F40">
    <w:pPr>
      <w:pStyle w:val="Rodap"/>
      <w:framePr w:wrap="around" w:vAnchor="text" w:hAnchor="margin" w:xAlign="center" w:y="1"/>
      <w:rPr>
        <w:rStyle w:val="Nmerodepgina"/>
        <w:rFonts w:ascii="Arial" w:hAnsi="Arial" w:cs="Arial"/>
        <w:sz w:val="16"/>
        <w:szCs w:val="16"/>
      </w:rPr>
    </w:pPr>
    <w:r w:rsidRPr="000754DD">
      <w:rPr>
        <w:rStyle w:val="Nmerodepgina"/>
        <w:rFonts w:ascii="Arial" w:hAnsi="Arial" w:cs="Arial"/>
        <w:sz w:val="16"/>
        <w:szCs w:val="16"/>
      </w:rPr>
      <w:fldChar w:fldCharType="begin"/>
    </w:r>
    <w:r w:rsidRPr="000754DD">
      <w:rPr>
        <w:rStyle w:val="Nmerodepgina"/>
        <w:rFonts w:ascii="Arial" w:hAnsi="Arial" w:cs="Arial"/>
        <w:sz w:val="16"/>
        <w:szCs w:val="16"/>
      </w:rPr>
      <w:instrText xml:space="preserve">PAGE  </w:instrText>
    </w:r>
    <w:r w:rsidRPr="000754DD">
      <w:rPr>
        <w:rStyle w:val="Nmerodepgina"/>
        <w:rFonts w:ascii="Arial" w:hAnsi="Arial" w:cs="Arial"/>
        <w:sz w:val="16"/>
        <w:szCs w:val="16"/>
      </w:rPr>
      <w:fldChar w:fldCharType="separate"/>
    </w:r>
    <w:r w:rsidR="00176E88">
      <w:rPr>
        <w:rStyle w:val="Nmerodepgina"/>
        <w:rFonts w:ascii="Arial" w:hAnsi="Arial" w:cs="Arial"/>
        <w:noProof/>
        <w:sz w:val="16"/>
        <w:szCs w:val="16"/>
      </w:rPr>
      <w:t>11</w:t>
    </w:r>
    <w:r w:rsidRPr="000754DD">
      <w:rPr>
        <w:rStyle w:val="Nmerodepgina"/>
        <w:rFonts w:ascii="Arial" w:hAnsi="Arial" w:cs="Arial"/>
        <w:sz w:val="16"/>
        <w:szCs w:val="16"/>
      </w:rPr>
      <w:fldChar w:fldCharType="end"/>
    </w:r>
  </w:p>
  <w:p w:rsidR="008F4F40" w:rsidRDefault="008F4F4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AB1" w:rsidRDefault="00CA5AB1">
      <w:r>
        <w:separator/>
      </w:r>
    </w:p>
  </w:footnote>
  <w:footnote w:type="continuationSeparator" w:id="0">
    <w:p w:rsidR="00CA5AB1" w:rsidRDefault="00CA5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4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2A5"/>
    <w:rsid w:val="000014D2"/>
    <w:rsid w:val="0000209E"/>
    <w:rsid w:val="0000254E"/>
    <w:rsid w:val="000036C3"/>
    <w:rsid w:val="0000402A"/>
    <w:rsid w:val="00004903"/>
    <w:rsid w:val="000054FF"/>
    <w:rsid w:val="00006103"/>
    <w:rsid w:val="00006262"/>
    <w:rsid w:val="00006ECB"/>
    <w:rsid w:val="00007083"/>
    <w:rsid w:val="00007D32"/>
    <w:rsid w:val="00010A70"/>
    <w:rsid w:val="0001136D"/>
    <w:rsid w:val="00012110"/>
    <w:rsid w:val="00013681"/>
    <w:rsid w:val="00013B15"/>
    <w:rsid w:val="00013C10"/>
    <w:rsid w:val="0001553F"/>
    <w:rsid w:val="000166CF"/>
    <w:rsid w:val="00017D67"/>
    <w:rsid w:val="00017F9E"/>
    <w:rsid w:val="00021202"/>
    <w:rsid w:val="00021AE7"/>
    <w:rsid w:val="00023523"/>
    <w:rsid w:val="00023700"/>
    <w:rsid w:val="00024620"/>
    <w:rsid w:val="000246E5"/>
    <w:rsid w:val="00024774"/>
    <w:rsid w:val="00025562"/>
    <w:rsid w:val="0002567E"/>
    <w:rsid w:val="0002592B"/>
    <w:rsid w:val="00026C30"/>
    <w:rsid w:val="00027B9D"/>
    <w:rsid w:val="00027CD6"/>
    <w:rsid w:val="00027FBF"/>
    <w:rsid w:val="000301F8"/>
    <w:rsid w:val="00030275"/>
    <w:rsid w:val="0003161E"/>
    <w:rsid w:val="00031A57"/>
    <w:rsid w:val="0003291F"/>
    <w:rsid w:val="000329DF"/>
    <w:rsid w:val="000348EF"/>
    <w:rsid w:val="00034D11"/>
    <w:rsid w:val="000354EE"/>
    <w:rsid w:val="00035920"/>
    <w:rsid w:val="00035927"/>
    <w:rsid w:val="00035E51"/>
    <w:rsid w:val="000400E7"/>
    <w:rsid w:val="00040781"/>
    <w:rsid w:val="00040AAD"/>
    <w:rsid w:val="00040CEE"/>
    <w:rsid w:val="000411F9"/>
    <w:rsid w:val="0004141A"/>
    <w:rsid w:val="00041459"/>
    <w:rsid w:val="0004188A"/>
    <w:rsid w:val="00041926"/>
    <w:rsid w:val="00041C47"/>
    <w:rsid w:val="000421AD"/>
    <w:rsid w:val="00042DA0"/>
    <w:rsid w:val="00043C91"/>
    <w:rsid w:val="00044959"/>
    <w:rsid w:val="00045520"/>
    <w:rsid w:val="00045689"/>
    <w:rsid w:val="000456E0"/>
    <w:rsid w:val="0004621E"/>
    <w:rsid w:val="00047101"/>
    <w:rsid w:val="00047F65"/>
    <w:rsid w:val="00051416"/>
    <w:rsid w:val="00053736"/>
    <w:rsid w:val="000542D8"/>
    <w:rsid w:val="00055505"/>
    <w:rsid w:val="00056B26"/>
    <w:rsid w:val="00057E53"/>
    <w:rsid w:val="00057F96"/>
    <w:rsid w:val="00060DB6"/>
    <w:rsid w:val="00060E48"/>
    <w:rsid w:val="00060ECE"/>
    <w:rsid w:val="00063D9B"/>
    <w:rsid w:val="00063DE6"/>
    <w:rsid w:val="00065F75"/>
    <w:rsid w:val="00066372"/>
    <w:rsid w:val="00066406"/>
    <w:rsid w:val="000666A5"/>
    <w:rsid w:val="000676F5"/>
    <w:rsid w:val="00067C72"/>
    <w:rsid w:val="000708D1"/>
    <w:rsid w:val="00070FDC"/>
    <w:rsid w:val="0007199F"/>
    <w:rsid w:val="0007208F"/>
    <w:rsid w:val="000728BD"/>
    <w:rsid w:val="00072A5A"/>
    <w:rsid w:val="00072BF1"/>
    <w:rsid w:val="000735F0"/>
    <w:rsid w:val="00073B00"/>
    <w:rsid w:val="0007448A"/>
    <w:rsid w:val="00074CFD"/>
    <w:rsid w:val="00074FEC"/>
    <w:rsid w:val="000754DD"/>
    <w:rsid w:val="00076763"/>
    <w:rsid w:val="000777E6"/>
    <w:rsid w:val="00080CDD"/>
    <w:rsid w:val="0008233D"/>
    <w:rsid w:val="000838F3"/>
    <w:rsid w:val="00084C40"/>
    <w:rsid w:val="000851AD"/>
    <w:rsid w:val="0008675A"/>
    <w:rsid w:val="00086BE6"/>
    <w:rsid w:val="00087349"/>
    <w:rsid w:val="00091B89"/>
    <w:rsid w:val="00092CA9"/>
    <w:rsid w:val="000930DA"/>
    <w:rsid w:val="00093582"/>
    <w:rsid w:val="00093FC9"/>
    <w:rsid w:val="0009438C"/>
    <w:rsid w:val="00094CD8"/>
    <w:rsid w:val="00094EAB"/>
    <w:rsid w:val="000950D3"/>
    <w:rsid w:val="00096E13"/>
    <w:rsid w:val="000976B6"/>
    <w:rsid w:val="000978BB"/>
    <w:rsid w:val="00097960"/>
    <w:rsid w:val="00097ADA"/>
    <w:rsid w:val="00097AEB"/>
    <w:rsid w:val="000A0879"/>
    <w:rsid w:val="000A0E3C"/>
    <w:rsid w:val="000A12CC"/>
    <w:rsid w:val="000A14AC"/>
    <w:rsid w:val="000A16C5"/>
    <w:rsid w:val="000A3C7F"/>
    <w:rsid w:val="000A412F"/>
    <w:rsid w:val="000A58CA"/>
    <w:rsid w:val="000A6462"/>
    <w:rsid w:val="000A6B29"/>
    <w:rsid w:val="000A7772"/>
    <w:rsid w:val="000B1245"/>
    <w:rsid w:val="000B1599"/>
    <w:rsid w:val="000B2CCF"/>
    <w:rsid w:val="000B4CB7"/>
    <w:rsid w:val="000B617B"/>
    <w:rsid w:val="000B6F56"/>
    <w:rsid w:val="000B778B"/>
    <w:rsid w:val="000C0B2D"/>
    <w:rsid w:val="000C101E"/>
    <w:rsid w:val="000C1354"/>
    <w:rsid w:val="000C4843"/>
    <w:rsid w:val="000C4CA1"/>
    <w:rsid w:val="000C4E0B"/>
    <w:rsid w:val="000C5899"/>
    <w:rsid w:val="000C5BC6"/>
    <w:rsid w:val="000C64AB"/>
    <w:rsid w:val="000C6B89"/>
    <w:rsid w:val="000D0596"/>
    <w:rsid w:val="000D0A1C"/>
    <w:rsid w:val="000D0A49"/>
    <w:rsid w:val="000D1791"/>
    <w:rsid w:val="000D26FA"/>
    <w:rsid w:val="000D279E"/>
    <w:rsid w:val="000D2D61"/>
    <w:rsid w:val="000D39E2"/>
    <w:rsid w:val="000D4068"/>
    <w:rsid w:val="000D5591"/>
    <w:rsid w:val="000D5BE5"/>
    <w:rsid w:val="000E03A7"/>
    <w:rsid w:val="000E0754"/>
    <w:rsid w:val="000E1F98"/>
    <w:rsid w:val="000E2E78"/>
    <w:rsid w:val="000E3005"/>
    <w:rsid w:val="000E33C3"/>
    <w:rsid w:val="000E398E"/>
    <w:rsid w:val="000E39A2"/>
    <w:rsid w:val="000E3FFC"/>
    <w:rsid w:val="000E42AC"/>
    <w:rsid w:val="000E4AF7"/>
    <w:rsid w:val="000E4D0B"/>
    <w:rsid w:val="000E7154"/>
    <w:rsid w:val="000E7667"/>
    <w:rsid w:val="000E7821"/>
    <w:rsid w:val="000F20EC"/>
    <w:rsid w:val="000F2478"/>
    <w:rsid w:val="000F3A73"/>
    <w:rsid w:val="000F4768"/>
    <w:rsid w:val="000F5D88"/>
    <w:rsid w:val="000F67E1"/>
    <w:rsid w:val="000F6FB8"/>
    <w:rsid w:val="000F7529"/>
    <w:rsid w:val="000F7E4B"/>
    <w:rsid w:val="000F7E56"/>
    <w:rsid w:val="001002A5"/>
    <w:rsid w:val="001009DA"/>
    <w:rsid w:val="00102086"/>
    <w:rsid w:val="00102714"/>
    <w:rsid w:val="001028A9"/>
    <w:rsid w:val="00102FA0"/>
    <w:rsid w:val="00103608"/>
    <w:rsid w:val="00103A27"/>
    <w:rsid w:val="00103E4E"/>
    <w:rsid w:val="0010432D"/>
    <w:rsid w:val="00104345"/>
    <w:rsid w:val="00106AE7"/>
    <w:rsid w:val="0011004F"/>
    <w:rsid w:val="0011065F"/>
    <w:rsid w:val="0011143D"/>
    <w:rsid w:val="001120A0"/>
    <w:rsid w:val="0011278C"/>
    <w:rsid w:val="00112CB5"/>
    <w:rsid w:val="0011359A"/>
    <w:rsid w:val="00114060"/>
    <w:rsid w:val="001145E1"/>
    <w:rsid w:val="00114767"/>
    <w:rsid w:val="001148DB"/>
    <w:rsid w:val="00116244"/>
    <w:rsid w:val="00116DF6"/>
    <w:rsid w:val="001172F2"/>
    <w:rsid w:val="00120C53"/>
    <w:rsid w:val="00120FC3"/>
    <w:rsid w:val="001214F0"/>
    <w:rsid w:val="00121674"/>
    <w:rsid w:val="00121B82"/>
    <w:rsid w:val="001230EB"/>
    <w:rsid w:val="00123AEA"/>
    <w:rsid w:val="00123C08"/>
    <w:rsid w:val="00124184"/>
    <w:rsid w:val="00124275"/>
    <w:rsid w:val="00124438"/>
    <w:rsid w:val="001248CD"/>
    <w:rsid w:val="00125976"/>
    <w:rsid w:val="00127EF3"/>
    <w:rsid w:val="001302B1"/>
    <w:rsid w:val="00130896"/>
    <w:rsid w:val="00130BEF"/>
    <w:rsid w:val="00131883"/>
    <w:rsid w:val="00131C03"/>
    <w:rsid w:val="00132734"/>
    <w:rsid w:val="00132CFF"/>
    <w:rsid w:val="001343E9"/>
    <w:rsid w:val="00134A6E"/>
    <w:rsid w:val="00134AB8"/>
    <w:rsid w:val="00135398"/>
    <w:rsid w:val="00135405"/>
    <w:rsid w:val="00135BA2"/>
    <w:rsid w:val="001360B0"/>
    <w:rsid w:val="00136B69"/>
    <w:rsid w:val="00136D9F"/>
    <w:rsid w:val="00137206"/>
    <w:rsid w:val="00137272"/>
    <w:rsid w:val="0013770C"/>
    <w:rsid w:val="00140494"/>
    <w:rsid w:val="00140CC4"/>
    <w:rsid w:val="001410C3"/>
    <w:rsid w:val="00142592"/>
    <w:rsid w:val="00142F1E"/>
    <w:rsid w:val="00143382"/>
    <w:rsid w:val="00144082"/>
    <w:rsid w:val="0014413D"/>
    <w:rsid w:val="00144D60"/>
    <w:rsid w:val="0014572B"/>
    <w:rsid w:val="0014658F"/>
    <w:rsid w:val="0014766D"/>
    <w:rsid w:val="001479CC"/>
    <w:rsid w:val="00147F3E"/>
    <w:rsid w:val="0015012C"/>
    <w:rsid w:val="00150906"/>
    <w:rsid w:val="00150D5F"/>
    <w:rsid w:val="00151988"/>
    <w:rsid w:val="00153702"/>
    <w:rsid w:val="00153E37"/>
    <w:rsid w:val="00155044"/>
    <w:rsid w:val="001553E1"/>
    <w:rsid w:val="0015622C"/>
    <w:rsid w:val="00156437"/>
    <w:rsid w:val="00157AFB"/>
    <w:rsid w:val="00161E99"/>
    <w:rsid w:val="001631E2"/>
    <w:rsid w:val="001653C9"/>
    <w:rsid w:val="001654D4"/>
    <w:rsid w:val="00165A56"/>
    <w:rsid w:val="001668BA"/>
    <w:rsid w:val="00166F09"/>
    <w:rsid w:val="00167040"/>
    <w:rsid w:val="00167101"/>
    <w:rsid w:val="00167A20"/>
    <w:rsid w:val="00171552"/>
    <w:rsid w:val="001715EE"/>
    <w:rsid w:val="00171A0D"/>
    <w:rsid w:val="00172239"/>
    <w:rsid w:val="0017334E"/>
    <w:rsid w:val="001737BF"/>
    <w:rsid w:val="001739E0"/>
    <w:rsid w:val="00173C33"/>
    <w:rsid w:val="001740EF"/>
    <w:rsid w:val="0017415F"/>
    <w:rsid w:val="00175DF5"/>
    <w:rsid w:val="00175FD4"/>
    <w:rsid w:val="001765E5"/>
    <w:rsid w:val="001768DC"/>
    <w:rsid w:val="00176E88"/>
    <w:rsid w:val="00177C36"/>
    <w:rsid w:val="00180987"/>
    <w:rsid w:val="00181959"/>
    <w:rsid w:val="00181A5E"/>
    <w:rsid w:val="00181F12"/>
    <w:rsid w:val="0018353B"/>
    <w:rsid w:val="001845DB"/>
    <w:rsid w:val="00185460"/>
    <w:rsid w:val="001855B7"/>
    <w:rsid w:val="001877D0"/>
    <w:rsid w:val="00187C56"/>
    <w:rsid w:val="0019065E"/>
    <w:rsid w:val="00191D61"/>
    <w:rsid w:val="00192430"/>
    <w:rsid w:val="00193C52"/>
    <w:rsid w:val="00193F46"/>
    <w:rsid w:val="00194175"/>
    <w:rsid w:val="0019506D"/>
    <w:rsid w:val="001950E2"/>
    <w:rsid w:val="001965D0"/>
    <w:rsid w:val="00196B83"/>
    <w:rsid w:val="001A002C"/>
    <w:rsid w:val="001A0A6C"/>
    <w:rsid w:val="001A0C5C"/>
    <w:rsid w:val="001A1062"/>
    <w:rsid w:val="001A1AD0"/>
    <w:rsid w:val="001A1F94"/>
    <w:rsid w:val="001A29EA"/>
    <w:rsid w:val="001A3C0C"/>
    <w:rsid w:val="001A47BE"/>
    <w:rsid w:val="001A4C12"/>
    <w:rsid w:val="001A551F"/>
    <w:rsid w:val="001A5F2C"/>
    <w:rsid w:val="001A69E4"/>
    <w:rsid w:val="001A7D65"/>
    <w:rsid w:val="001B0348"/>
    <w:rsid w:val="001B15A0"/>
    <w:rsid w:val="001B18D8"/>
    <w:rsid w:val="001B21EA"/>
    <w:rsid w:val="001B23D6"/>
    <w:rsid w:val="001B272C"/>
    <w:rsid w:val="001B290B"/>
    <w:rsid w:val="001B48AD"/>
    <w:rsid w:val="001B5153"/>
    <w:rsid w:val="001B5F0E"/>
    <w:rsid w:val="001B7C51"/>
    <w:rsid w:val="001C10B3"/>
    <w:rsid w:val="001C182B"/>
    <w:rsid w:val="001C2AFB"/>
    <w:rsid w:val="001C2BE2"/>
    <w:rsid w:val="001C3C0D"/>
    <w:rsid w:val="001C499D"/>
    <w:rsid w:val="001C75BF"/>
    <w:rsid w:val="001C7639"/>
    <w:rsid w:val="001D1357"/>
    <w:rsid w:val="001D3304"/>
    <w:rsid w:val="001D35D6"/>
    <w:rsid w:val="001D3640"/>
    <w:rsid w:val="001D51EE"/>
    <w:rsid w:val="001D5DA7"/>
    <w:rsid w:val="001E005F"/>
    <w:rsid w:val="001E2DBF"/>
    <w:rsid w:val="001E3298"/>
    <w:rsid w:val="001E3EA2"/>
    <w:rsid w:val="001E4FEE"/>
    <w:rsid w:val="001E605F"/>
    <w:rsid w:val="001E649C"/>
    <w:rsid w:val="001F03E4"/>
    <w:rsid w:val="001F1E12"/>
    <w:rsid w:val="001F1E86"/>
    <w:rsid w:val="001F25CA"/>
    <w:rsid w:val="001F304D"/>
    <w:rsid w:val="001F3315"/>
    <w:rsid w:val="001F39C4"/>
    <w:rsid w:val="001F47BF"/>
    <w:rsid w:val="001F59FD"/>
    <w:rsid w:val="001F6377"/>
    <w:rsid w:val="001F6BD9"/>
    <w:rsid w:val="00200422"/>
    <w:rsid w:val="00200C1F"/>
    <w:rsid w:val="00201721"/>
    <w:rsid w:val="00201EB6"/>
    <w:rsid w:val="0020228A"/>
    <w:rsid w:val="00202D83"/>
    <w:rsid w:val="00202E7D"/>
    <w:rsid w:val="002037B1"/>
    <w:rsid w:val="00203C2C"/>
    <w:rsid w:val="00204020"/>
    <w:rsid w:val="00204023"/>
    <w:rsid w:val="002048AD"/>
    <w:rsid w:val="0020496C"/>
    <w:rsid w:val="00204E09"/>
    <w:rsid w:val="00204E55"/>
    <w:rsid w:val="00205177"/>
    <w:rsid w:val="00206CCC"/>
    <w:rsid w:val="0020757C"/>
    <w:rsid w:val="002104CA"/>
    <w:rsid w:val="002106CF"/>
    <w:rsid w:val="00210CDA"/>
    <w:rsid w:val="0021144F"/>
    <w:rsid w:val="00211702"/>
    <w:rsid w:val="00214201"/>
    <w:rsid w:val="00214566"/>
    <w:rsid w:val="0021521E"/>
    <w:rsid w:val="0021634D"/>
    <w:rsid w:val="00216841"/>
    <w:rsid w:val="002175BC"/>
    <w:rsid w:val="00217690"/>
    <w:rsid w:val="0021787B"/>
    <w:rsid w:val="00220165"/>
    <w:rsid w:val="00224391"/>
    <w:rsid w:val="00224683"/>
    <w:rsid w:val="0022533F"/>
    <w:rsid w:val="002259FA"/>
    <w:rsid w:val="00230941"/>
    <w:rsid w:val="00230FEE"/>
    <w:rsid w:val="00231034"/>
    <w:rsid w:val="0023186C"/>
    <w:rsid w:val="00232DF4"/>
    <w:rsid w:val="00232F99"/>
    <w:rsid w:val="00233BE6"/>
    <w:rsid w:val="00233C69"/>
    <w:rsid w:val="0023409D"/>
    <w:rsid w:val="00234BDA"/>
    <w:rsid w:val="00235B60"/>
    <w:rsid w:val="00235D98"/>
    <w:rsid w:val="002365E6"/>
    <w:rsid w:val="00236C8A"/>
    <w:rsid w:val="0023726D"/>
    <w:rsid w:val="0024071A"/>
    <w:rsid w:val="00240914"/>
    <w:rsid w:val="00243565"/>
    <w:rsid w:val="00244DAD"/>
    <w:rsid w:val="00244FFD"/>
    <w:rsid w:val="00246FFB"/>
    <w:rsid w:val="0025029B"/>
    <w:rsid w:val="00252568"/>
    <w:rsid w:val="00253BAB"/>
    <w:rsid w:val="00253F6E"/>
    <w:rsid w:val="0025449A"/>
    <w:rsid w:val="00256A85"/>
    <w:rsid w:val="0025703A"/>
    <w:rsid w:val="002575E1"/>
    <w:rsid w:val="002576A8"/>
    <w:rsid w:val="00257972"/>
    <w:rsid w:val="00257CA9"/>
    <w:rsid w:val="00260952"/>
    <w:rsid w:val="00260A3D"/>
    <w:rsid w:val="00262474"/>
    <w:rsid w:val="0026519E"/>
    <w:rsid w:val="00265916"/>
    <w:rsid w:val="00265B91"/>
    <w:rsid w:val="0026638C"/>
    <w:rsid w:val="00266F5A"/>
    <w:rsid w:val="00267384"/>
    <w:rsid w:val="00270FB8"/>
    <w:rsid w:val="00272B5F"/>
    <w:rsid w:val="00273ED5"/>
    <w:rsid w:val="00274325"/>
    <w:rsid w:val="002759C4"/>
    <w:rsid w:val="00275FD2"/>
    <w:rsid w:val="002765C2"/>
    <w:rsid w:val="0027693B"/>
    <w:rsid w:val="00277191"/>
    <w:rsid w:val="00280B61"/>
    <w:rsid w:val="00280D1E"/>
    <w:rsid w:val="00280F43"/>
    <w:rsid w:val="00281796"/>
    <w:rsid w:val="00281CB4"/>
    <w:rsid w:val="00282463"/>
    <w:rsid w:val="002825B3"/>
    <w:rsid w:val="00282A21"/>
    <w:rsid w:val="002834B5"/>
    <w:rsid w:val="002846ED"/>
    <w:rsid w:val="00286307"/>
    <w:rsid w:val="00286682"/>
    <w:rsid w:val="00286980"/>
    <w:rsid w:val="00286EB2"/>
    <w:rsid w:val="0028796C"/>
    <w:rsid w:val="00287BF8"/>
    <w:rsid w:val="00287C5B"/>
    <w:rsid w:val="00290216"/>
    <w:rsid w:val="002905B3"/>
    <w:rsid w:val="00290EE0"/>
    <w:rsid w:val="00292902"/>
    <w:rsid w:val="00292C37"/>
    <w:rsid w:val="00292F48"/>
    <w:rsid w:val="002954AE"/>
    <w:rsid w:val="002954F3"/>
    <w:rsid w:val="0029641D"/>
    <w:rsid w:val="00296626"/>
    <w:rsid w:val="002A0A91"/>
    <w:rsid w:val="002A451B"/>
    <w:rsid w:val="002A4B0B"/>
    <w:rsid w:val="002A50D8"/>
    <w:rsid w:val="002A5A16"/>
    <w:rsid w:val="002A5B80"/>
    <w:rsid w:val="002A5D48"/>
    <w:rsid w:val="002A699C"/>
    <w:rsid w:val="002A69F4"/>
    <w:rsid w:val="002A7051"/>
    <w:rsid w:val="002A707F"/>
    <w:rsid w:val="002A7318"/>
    <w:rsid w:val="002A750D"/>
    <w:rsid w:val="002A7843"/>
    <w:rsid w:val="002B0032"/>
    <w:rsid w:val="002B0264"/>
    <w:rsid w:val="002B0AA4"/>
    <w:rsid w:val="002B0BBC"/>
    <w:rsid w:val="002B1708"/>
    <w:rsid w:val="002B19C3"/>
    <w:rsid w:val="002B1A0F"/>
    <w:rsid w:val="002B225F"/>
    <w:rsid w:val="002B3FF6"/>
    <w:rsid w:val="002B3FFA"/>
    <w:rsid w:val="002B40D1"/>
    <w:rsid w:val="002B4209"/>
    <w:rsid w:val="002B48DF"/>
    <w:rsid w:val="002B4BFF"/>
    <w:rsid w:val="002B5200"/>
    <w:rsid w:val="002B6586"/>
    <w:rsid w:val="002B728E"/>
    <w:rsid w:val="002B76D5"/>
    <w:rsid w:val="002C006D"/>
    <w:rsid w:val="002C0364"/>
    <w:rsid w:val="002C0850"/>
    <w:rsid w:val="002C0938"/>
    <w:rsid w:val="002C2E49"/>
    <w:rsid w:val="002C2EBD"/>
    <w:rsid w:val="002C2F67"/>
    <w:rsid w:val="002C41FE"/>
    <w:rsid w:val="002C5A64"/>
    <w:rsid w:val="002C61C3"/>
    <w:rsid w:val="002C71CF"/>
    <w:rsid w:val="002C741E"/>
    <w:rsid w:val="002D057E"/>
    <w:rsid w:val="002D15C6"/>
    <w:rsid w:val="002D198F"/>
    <w:rsid w:val="002D2497"/>
    <w:rsid w:val="002D2693"/>
    <w:rsid w:val="002D35B6"/>
    <w:rsid w:val="002D37D5"/>
    <w:rsid w:val="002D4505"/>
    <w:rsid w:val="002D5693"/>
    <w:rsid w:val="002D58E0"/>
    <w:rsid w:val="002D6145"/>
    <w:rsid w:val="002D6B4E"/>
    <w:rsid w:val="002D6E77"/>
    <w:rsid w:val="002D7367"/>
    <w:rsid w:val="002E05B8"/>
    <w:rsid w:val="002E1A76"/>
    <w:rsid w:val="002E1D8A"/>
    <w:rsid w:val="002E2A6B"/>
    <w:rsid w:val="002E3695"/>
    <w:rsid w:val="002E416C"/>
    <w:rsid w:val="002E50B6"/>
    <w:rsid w:val="002E50CA"/>
    <w:rsid w:val="002E5A8C"/>
    <w:rsid w:val="002E64B9"/>
    <w:rsid w:val="002E6B13"/>
    <w:rsid w:val="002E6CA1"/>
    <w:rsid w:val="002E7085"/>
    <w:rsid w:val="002E78F4"/>
    <w:rsid w:val="002F00B6"/>
    <w:rsid w:val="002F2AA2"/>
    <w:rsid w:val="002F37D6"/>
    <w:rsid w:val="002F4059"/>
    <w:rsid w:val="002F4822"/>
    <w:rsid w:val="002F4B47"/>
    <w:rsid w:val="002F6408"/>
    <w:rsid w:val="002F69FB"/>
    <w:rsid w:val="002F6A42"/>
    <w:rsid w:val="002F6CE0"/>
    <w:rsid w:val="00301BFC"/>
    <w:rsid w:val="00301E82"/>
    <w:rsid w:val="00302D1E"/>
    <w:rsid w:val="0030347E"/>
    <w:rsid w:val="003054FC"/>
    <w:rsid w:val="0030680F"/>
    <w:rsid w:val="0031100B"/>
    <w:rsid w:val="003114C5"/>
    <w:rsid w:val="00311EF8"/>
    <w:rsid w:val="00311F32"/>
    <w:rsid w:val="00312E0B"/>
    <w:rsid w:val="00313A73"/>
    <w:rsid w:val="003143F7"/>
    <w:rsid w:val="003146D2"/>
    <w:rsid w:val="00314BFA"/>
    <w:rsid w:val="00316822"/>
    <w:rsid w:val="00316C31"/>
    <w:rsid w:val="003202FE"/>
    <w:rsid w:val="00320DCF"/>
    <w:rsid w:val="003213EA"/>
    <w:rsid w:val="00321FD3"/>
    <w:rsid w:val="003222A3"/>
    <w:rsid w:val="003224EB"/>
    <w:rsid w:val="00322652"/>
    <w:rsid w:val="00323974"/>
    <w:rsid w:val="00323A54"/>
    <w:rsid w:val="00324262"/>
    <w:rsid w:val="00324322"/>
    <w:rsid w:val="003243CC"/>
    <w:rsid w:val="00324ECE"/>
    <w:rsid w:val="00324F68"/>
    <w:rsid w:val="003259EE"/>
    <w:rsid w:val="00327472"/>
    <w:rsid w:val="00330581"/>
    <w:rsid w:val="003306C9"/>
    <w:rsid w:val="00330D35"/>
    <w:rsid w:val="00332895"/>
    <w:rsid w:val="00334232"/>
    <w:rsid w:val="00334E38"/>
    <w:rsid w:val="00334ED4"/>
    <w:rsid w:val="00334FCC"/>
    <w:rsid w:val="00335352"/>
    <w:rsid w:val="00335889"/>
    <w:rsid w:val="00335DB5"/>
    <w:rsid w:val="00336A86"/>
    <w:rsid w:val="00341FEA"/>
    <w:rsid w:val="00343ADB"/>
    <w:rsid w:val="00343CAD"/>
    <w:rsid w:val="00345AEE"/>
    <w:rsid w:val="00350F51"/>
    <w:rsid w:val="0035125D"/>
    <w:rsid w:val="00352DE2"/>
    <w:rsid w:val="00353472"/>
    <w:rsid w:val="0035436D"/>
    <w:rsid w:val="00354FF6"/>
    <w:rsid w:val="00355FCD"/>
    <w:rsid w:val="00361C71"/>
    <w:rsid w:val="003630D6"/>
    <w:rsid w:val="0036317F"/>
    <w:rsid w:val="00364842"/>
    <w:rsid w:val="00365AB9"/>
    <w:rsid w:val="00367D6B"/>
    <w:rsid w:val="00370C77"/>
    <w:rsid w:val="00370F4A"/>
    <w:rsid w:val="00372F4E"/>
    <w:rsid w:val="003734AA"/>
    <w:rsid w:val="003743B9"/>
    <w:rsid w:val="00374794"/>
    <w:rsid w:val="00374A21"/>
    <w:rsid w:val="003766EA"/>
    <w:rsid w:val="0038134C"/>
    <w:rsid w:val="003820BA"/>
    <w:rsid w:val="003823A1"/>
    <w:rsid w:val="00382526"/>
    <w:rsid w:val="00382C83"/>
    <w:rsid w:val="00383C89"/>
    <w:rsid w:val="00383D01"/>
    <w:rsid w:val="00384177"/>
    <w:rsid w:val="00384963"/>
    <w:rsid w:val="003862C2"/>
    <w:rsid w:val="00386C6D"/>
    <w:rsid w:val="003909E2"/>
    <w:rsid w:val="00390CD1"/>
    <w:rsid w:val="00392C3A"/>
    <w:rsid w:val="00392E0F"/>
    <w:rsid w:val="00392FC0"/>
    <w:rsid w:val="003947CB"/>
    <w:rsid w:val="003949D8"/>
    <w:rsid w:val="00394C37"/>
    <w:rsid w:val="00394ED0"/>
    <w:rsid w:val="003952C4"/>
    <w:rsid w:val="0039561C"/>
    <w:rsid w:val="003A0B29"/>
    <w:rsid w:val="003A0E82"/>
    <w:rsid w:val="003A1348"/>
    <w:rsid w:val="003A1858"/>
    <w:rsid w:val="003A2950"/>
    <w:rsid w:val="003A47B8"/>
    <w:rsid w:val="003A510C"/>
    <w:rsid w:val="003A6481"/>
    <w:rsid w:val="003A7A2A"/>
    <w:rsid w:val="003A7F11"/>
    <w:rsid w:val="003B049D"/>
    <w:rsid w:val="003B0ACC"/>
    <w:rsid w:val="003B0D74"/>
    <w:rsid w:val="003B1517"/>
    <w:rsid w:val="003B1EC6"/>
    <w:rsid w:val="003B2B76"/>
    <w:rsid w:val="003B3718"/>
    <w:rsid w:val="003B434D"/>
    <w:rsid w:val="003B5497"/>
    <w:rsid w:val="003B58CD"/>
    <w:rsid w:val="003B6186"/>
    <w:rsid w:val="003B632E"/>
    <w:rsid w:val="003B6A83"/>
    <w:rsid w:val="003B6C9F"/>
    <w:rsid w:val="003B73D5"/>
    <w:rsid w:val="003B7B3B"/>
    <w:rsid w:val="003C13B7"/>
    <w:rsid w:val="003C1449"/>
    <w:rsid w:val="003C3151"/>
    <w:rsid w:val="003C3CF6"/>
    <w:rsid w:val="003C54E1"/>
    <w:rsid w:val="003C59B2"/>
    <w:rsid w:val="003C69D0"/>
    <w:rsid w:val="003D07AA"/>
    <w:rsid w:val="003D11F0"/>
    <w:rsid w:val="003D17C5"/>
    <w:rsid w:val="003D1872"/>
    <w:rsid w:val="003D27B6"/>
    <w:rsid w:val="003D302B"/>
    <w:rsid w:val="003D31BB"/>
    <w:rsid w:val="003D39F3"/>
    <w:rsid w:val="003D3D98"/>
    <w:rsid w:val="003D4CD5"/>
    <w:rsid w:val="003D5633"/>
    <w:rsid w:val="003D5703"/>
    <w:rsid w:val="003D62F6"/>
    <w:rsid w:val="003D7895"/>
    <w:rsid w:val="003E091B"/>
    <w:rsid w:val="003E146F"/>
    <w:rsid w:val="003E165E"/>
    <w:rsid w:val="003E1EE3"/>
    <w:rsid w:val="003E2AF6"/>
    <w:rsid w:val="003E30EC"/>
    <w:rsid w:val="003E31CD"/>
    <w:rsid w:val="003E367B"/>
    <w:rsid w:val="003E4A98"/>
    <w:rsid w:val="003E53C5"/>
    <w:rsid w:val="003E56D8"/>
    <w:rsid w:val="003E7039"/>
    <w:rsid w:val="003F07E7"/>
    <w:rsid w:val="003F0A4D"/>
    <w:rsid w:val="003F10A8"/>
    <w:rsid w:val="003F150F"/>
    <w:rsid w:val="003F1C93"/>
    <w:rsid w:val="003F2069"/>
    <w:rsid w:val="003F3106"/>
    <w:rsid w:val="003F3114"/>
    <w:rsid w:val="003F4615"/>
    <w:rsid w:val="003F49CC"/>
    <w:rsid w:val="003F5D9B"/>
    <w:rsid w:val="003F71CE"/>
    <w:rsid w:val="003F73EB"/>
    <w:rsid w:val="003F79EF"/>
    <w:rsid w:val="004004D6"/>
    <w:rsid w:val="004005E8"/>
    <w:rsid w:val="004005EF"/>
    <w:rsid w:val="004012D9"/>
    <w:rsid w:val="0040178D"/>
    <w:rsid w:val="00401878"/>
    <w:rsid w:val="00401A32"/>
    <w:rsid w:val="00402BD6"/>
    <w:rsid w:val="004033C1"/>
    <w:rsid w:val="00403F4D"/>
    <w:rsid w:val="00405739"/>
    <w:rsid w:val="0040583E"/>
    <w:rsid w:val="00405BFA"/>
    <w:rsid w:val="00405D60"/>
    <w:rsid w:val="00406822"/>
    <w:rsid w:val="00407255"/>
    <w:rsid w:val="004130A6"/>
    <w:rsid w:val="0041356D"/>
    <w:rsid w:val="00413ADB"/>
    <w:rsid w:val="00414AB5"/>
    <w:rsid w:val="0041502E"/>
    <w:rsid w:val="00415075"/>
    <w:rsid w:val="004150FC"/>
    <w:rsid w:val="0041600B"/>
    <w:rsid w:val="004169FB"/>
    <w:rsid w:val="004215B4"/>
    <w:rsid w:val="00421D62"/>
    <w:rsid w:val="00422301"/>
    <w:rsid w:val="00422C8B"/>
    <w:rsid w:val="004233BC"/>
    <w:rsid w:val="004238B9"/>
    <w:rsid w:val="00426013"/>
    <w:rsid w:val="0042676A"/>
    <w:rsid w:val="00426779"/>
    <w:rsid w:val="00427339"/>
    <w:rsid w:val="004278D4"/>
    <w:rsid w:val="00430556"/>
    <w:rsid w:val="00431374"/>
    <w:rsid w:val="0043165A"/>
    <w:rsid w:val="00431DFE"/>
    <w:rsid w:val="004320F4"/>
    <w:rsid w:val="00432541"/>
    <w:rsid w:val="00433948"/>
    <w:rsid w:val="00433AE8"/>
    <w:rsid w:val="004343AC"/>
    <w:rsid w:val="00434639"/>
    <w:rsid w:val="00434E4E"/>
    <w:rsid w:val="00435123"/>
    <w:rsid w:val="00435284"/>
    <w:rsid w:val="0043540E"/>
    <w:rsid w:val="004360EB"/>
    <w:rsid w:val="00436328"/>
    <w:rsid w:val="00436E8A"/>
    <w:rsid w:val="004375F6"/>
    <w:rsid w:val="004418ED"/>
    <w:rsid w:val="00443955"/>
    <w:rsid w:val="00445579"/>
    <w:rsid w:val="00445D12"/>
    <w:rsid w:val="0044631C"/>
    <w:rsid w:val="00446752"/>
    <w:rsid w:val="00446BC7"/>
    <w:rsid w:val="0044758F"/>
    <w:rsid w:val="004476F8"/>
    <w:rsid w:val="00447760"/>
    <w:rsid w:val="00450323"/>
    <w:rsid w:val="004515A0"/>
    <w:rsid w:val="00452393"/>
    <w:rsid w:val="00452B1D"/>
    <w:rsid w:val="00452EA9"/>
    <w:rsid w:val="004556F3"/>
    <w:rsid w:val="00457723"/>
    <w:rsid w:val="00457AA1"/>
    <w:rsid w:val="00457DB3"/>
    <w:rsid w:val="00463C85"/>
    <w:rsid w:val="004645F5"/>
    <w:rsid w:val="0046493C"/>
    <w:rsid w:val="00465925"/>
    <w:rsid w:val="00466B47"/>
    <w:rsid w:val="004673C8"/>
    <w:rsid w:val="00470511"/>
    <w:rsid w:val="004717FE"/>
    <w:rsid w:val="004719BB"/>
    <w:rsid w:val="004719DB"/>
    <w:rsid w:val="00471F27"/>
    <w:rsid w:val="004731CC"/>
    <w:rsid w:val="00473237"/>
    <w:rsid w:val="00473532"/>
    <w:rsid w:val="00473872"/>
    <w:rsid w:val="004742BC"/>
    <w:rsid w:val="0047504C"/>
    <w:rsid w:val="0047558D"/>
    <w:rsid w:val="00475ADE"/>
    <w:rsid w:val="004772A2"/>
    <w:rsid w:val="004776F1"/>
    <w:rsid w:val="00480B14"/>
    <w:rsid w:val="00480BCC"/>
    <w:rsid w:val="00481D08"/>
    <w:rsid w:val="00482630"/>
    <w:rsid w:val="00482E82"/>
    <w:rsid w:val="004831BB"/>
    <w:rsid w:val="00483AB6"/>
    <w:rsid w:val="00484481"/>
    <w:rsid w:val="0048481F"/>
    <w:rsid w:val="00485744"/>
    <w:rsid w:val="00486ECE"/>
    <w:rsid w:val="00487FB1"/>
    <w:rsid w:val="00492292"/>
    <w:rsid w:val="0049292E"/>
    <w:rsid w:val="00492C73"/>
    <w:rsid w:val="004931C5"/>
    <w:rsid w:val="0049405D"/>
    <w:rsid w:val="0049568A"/>
    <w:rsid w:val="00495E53"/>
    <w:rsid w:val="00496096"/>
    <w:rsid w:val="004A00D7"/>
    <w:rsid w:val="004A019B"/>
    <w:rsid w:val="004A0AD4"/>
    <w:rsid w:val="004A106D"/>
    <w:rsid w:val="004A12EB"/>
    <w:rsid w:val="004A1E44"/>
    <w:rsid w:val="004A31C4"/>
    <w:rsid w:val="004A4252"/>
    <w:rsid w:val="004A454D"/>
    <w:rsid w:val="004A5CAF"/>
    <w:rsid w:val="004A63D2"/>
    <w:rsid w:val="004A68FB"/>
    <w:rsid w:val="004A6A6F"/>
    <w:rsid w:val="004A77C5"/>
    <w:rsid w:val="004A78A2"/>
    <w:rsid w:val="004A7FE9"/>
    <w:rsid w:val="004B0525"/>
    <w:rsid w:val="004B0DEA"/>
    <w:rsid w:val="004B151F"/>
    <w:rsid w:val="004B1A1C"/>
    <w:rsid w:val="004B289F"/>
    <w:rsid w:val="004B336A"/>
    <w:rsid w:val="004B37C4"/>
    <w:rsid w:val="004B3949"/>
    <w:rsid w:val="004B5C0A"/>
    <w:rsid w:val="004B6007"/>
    <w:rsid w:val="004B63F1"/>
    <w:rsid w:val="004B6A3B"/>
    <w:rsid w:val="004B7D09"/>
    <w:rsid w:val="004C1656"/>
    <w:rsid w:val="004C191A"/>
    <w:rsid w:val="004C1E56"/>
    <w:rsid w:val="004C28BB"/>
    <w:rsid w:val="004C30A8"/>
    <w:rsid w:val="004C38B2"/>
    <w:rsid w:val="004C3A69"/>
    <w:rsid w:val="004C41CC"/>
    <w:rsid w:val="004C4B68"/>
    <w:rsid w:val="004C5467"/>
    <w:rsid w:val="004C5F79"/>
    <w:rsid w:val="004C6E0A"/>
    <w:rsid w:val="004C6EE3"/>
    <w:rsid w:val="004D12C0"/>
    <w:rsid w:val="004D17C2"/>
    <w:rsid w:val="004D46C1"/>
    <w:rsid w:val="004D72DB"/>
    <w:rsid w:val="004E065A"/>
    <w:rsid w:val="004E0700"/>
    <w:rsid w:val="004E0FE6"/>
    <w:rsid w:val="004E10B6"/>
    <w:rsid w:val="004E3415"/>
    <w:rsid w:val="004E3776"/>
    <w:rsid w:val="004E51AB"/>
    <w:rsid w:val="004E60E3"/>
    <w:rsid w:val="004E71DB"/>
    <w:rsid w:val="004E74B2"/>
    <w:rsid w:val="004F0B9D"/>
    <w:rsid w:val="004F101C"/>
    <w:rsid w:val="004F4B16"/>
    <w:rsid w:val="004F4C23"/>
    <w:rsid w:val="004F5D9D"/>
    <w:rsid w:val="004F68B1"/>
    <w:rsid w:val="004F7037"/>
    <w:rsid w:val="004F70EC"/>
    <w:rsid w:val="004F710D"/>
    <w:rsid w:val="00500160"/>
    <w:rsid w:val="005002E2"/>
    <w:rsid w:val="00500EAF"/>
    <w:rsid w:val="005012E3"/>
    <w:rsid w:val="0050139D"/>
    <w:rsid w:val="00501795"/>
    <w:rsid w:val="00501B3F"/>
    <w:rsid w:val="00502105"/>
    <w:rsid w:val="00502FFC"/>
    <w:rsid w:val="00503EF2"/>
    <w:rsid w:val="00504C04"/>
    <w:rsid w:val="005052A2"/>
    <w:rsid w:val="0050583C"/>
    <w:rsid w:val="005069AD"/>
    <w:rsid w:val="00506B9A"/>
    <w:rsid w:val="00506D6A"/>
    <w:rsid w:val="0050737E"/>
    <w:rsid w:val="00507E5C"/>
    <w:rsid w:val="005106CE"/>
    <w:rsid w:val="005137DD"/>
    <w:rsid w:val="00513DA7"/>
    <w:rsid w:val="005153C5"/>
    <w:rsid w:val="00515548"/>
    <w:rsid w:val="00515B3A"/>
    <w:rsid w:val="00517835"/>
    <w:rsid w:val="0052020F"/>
    <w:rsid w:val="005209A5"/>
    <w:rsid w:val="00520C74"/>
    <w:rsid w:val="005211A7"/>
    <w:rsid w:val="00522768"/>
    <w:rsid w:val="00522B94"/>
    <w:rsid w:val="00525E76"/>
    <w:rsid w:val="00526112"/>
    <w:rsid w:val="00526F60"/>
    <w:rsid w:val="00527C8F"/>
    <w:rsid w:val="00530B31"/>
    <w:rsid w:val="0053113E"/>
    <w:rsid w:val="00531DCE"/>
    <w:rsid w:val="00531E2F"/>
    <w:rsid w:val="005326B6"/>
    <w:rsid w:val="00532F6C"/>
    <w:rsid w:val="005334B2"/>
    <w:rsid w:val="00533766"/>
    <w:rsid w:val="0053494E"/>
    <w:rsid w:val="00534954"/>
    <w:rsid w:val="0053642E"/>
    <w:rsid w:val="00537060"/>
    <w:rsid w:val="00540A2B"/>
    <w:rsid w:val="005416D7"/>
    <w:rsid w:val="00542256"/>
    <w:rsid w:val="00543648"/>
    <w:rsid w:val="00543885"/>
    <w:rsid w:val="00544917"/>
    <w:rsid w:val="005474C2"/>
    <w:rsid w:val="005476ED"/>
    <w:rsid w:val="00550BE0"/>
    <w:rsid w:val="00551BF9"/>
    <w:rsid w:val="00551E1E"/>
    <w:rsid w:val="00553174"/>
    <w:rsid w:val="00553574"/>
    <w:rsid w:val="00553C17"/>
    <w:rsid w:val="00554A36"/>
    <w:rsid w:val="00554BA8"/>
    <w:rsid w:val="00554FBD"/>
    <w:rsid w:val="00555759"/>
    <w:rsid w:val="005558D4"/>
    <w:rsid w:val="00556259"/>
    <w:rsid w:val="00560934"/>
    <w:rsid w:val="00561A9B"/>
    <w:rsid w:val="00561C8B"/>
    <w:rsid w:val="00561DCD"/>
    <w:rsid w:val="00562601"/>
    <w:rsid w:val="00562EC0"/>
    <w:rsid w:val="00563206"/>
    <w:rsid w:val="00563922"/>
    <w:rsid w:val="00563E31"/>
    <w:rsid w:val="00564C24"/>
    <w:rsid w:val="00564DCC"/>
    <w:rsid w:val="005656C2"/>
    <w:rsid w:val="00567CF5"/>
    <w:rsid w:val="0057119B"/>
    <w:rsid w:val="0057128D"/>
    <w:rsid w:val="005729B2"/>
    <w:rsid w:val="00573EDD"/>
    <w:rsid w:val="0057461A"/>
    <w:rsid w:val="005747FB"/>
    <w:rsid w:val="00574C37"/>
    <w:rsid w:val="00575079"/>
    <w:rsid w:val="00575363"/>
    <w:rsid w:val="00575449"/>
    <w:rsid w:val="005757C4"/>
    <w:rsid w:val="00575A5D"/>
    <w:rsid w:val="00575EB6"/>
    <w:rsid w:val="005765A4"/>
    <w:rsid w:val="00576A24"/>
    <w:rsid w:val="00576B4D"/>
    <w:rsid w:val="00577DF1"/>
    <w:rsid w:val="00580A75"/>
    <w:rsid w:val="00582727"/>
    <w:rsid w:val="00583441"/>
    <w:rsid w:val="0058410D"/>
    <w:rsid w:val="005842E1"/>
    <w:rsid w:val="00584359"/>
    <w:rsid w:val="005863B1"/>
    <w:rsid w:val="0058686F"/>
    <w:rsid w:val="00587010"/>
    <w:rsid w:val="00587460"/>
    <w:rsid w:val="0059163E"/>
    <w:rsid w:val="005919DE"/>
    <w:rsid w:val="00592638"/>
    <w:rsid w:val="00592C77"/>
    <w:rsid w:val="00594D75"/>
    <w:rsid w:val="00595490"/>
    <w:rsid w:val="00595A34"/>
    <w:rsid w:val="00595CE1"/>
    <w:rsid w:val="005A04FC"/>
    <w:rsid w:val="005A162D"/>
    <w:rsid w:val="005A1ADA"/>
    <w:rsid w:val="005A1EEF"/>
    <w:rsid w:val="005A2565"/>
    <w:rsid w:val="005A2EF8"/>
    <w:rsid w:val="005A34B6"/>
    <w:rsid w:val="005A3524"/>
    <w:rsid w:val="005A51F4"/>
    <w:rsid w:val="005A707C"/>
    <w:rsid w:val="005B0013"/>
    <w:rsid w:val="005B04C0"/>
    <w:rsid w:val="005B0A08"/>
    <w:rsid w:val="005B1238"/>
    <w:rsid w:val="005B173D"/>
    <w:rsid w:val="005B1A76"/>
    <w:rsid w:val="005B30F3"/>
    <w:rsid w:val="005B3102"/>
    <w:rsid w:val="005B5B16"/>
    <w:rsid w:val="005B6B2A"/>
    <w:rsid w:val="005C01FF"/>
    <w:rsid w:val="005C1449"/>
    <w:rsid w:val="005C1DBC"/>
    <w:rsid w:val="005C1E38"/>
    <w:rsid w:val="005C1F05"/>
    <w:rsid w:val="005C2FE7"/>
    <w:rsid w:val="005C3C51"/>
    <w:rsid w:val="005C3E04"/>
    <w:rsid w:val="005C4401"/>
    <w:rsid w:val="005C493E"/>
    <w:rsid w:val="005C4D06"/>
    <w:rsid w:val="005C4DF4"/>
    <w:rsid w:val="005C54D4"/>
    <w:rsid w:val="005C62C4"/>
    <w:rsid w:val="005C6E9D"/>
    <w:rsid w:val="005C7E19"/>
    <w:rsid w:val="005D0B74"/>
    <w:rsid w:val="005D0E00"/>
    <w:rsid w:val="005D2202"/>
    <w:rsid w:val="005D2627"/>
    <w:rsid w:val="005D294F"/>
    <w:rsid w:val="005D349E"/>
    <w:rsid w:val="005D3EDB"/>
    <w:rsid w:val="005D497D"/>
    <w:rsid w:val="005D4D9F"/>
    <w:rsid w:val="005D535C"/>
    <w:rsid w:val="005D581A"/>
    <w:rsid w:val="005D71E2"/>
    <w:rsid w:val="005D7673"/>
    <w:rsid w:val="005E00C1"/>
    <w:rsid w:val="005E26F5"/>
    <w:rsid w:val="005E387F"/>
    <w:rsid w:val="005E396F"/>
    <w:rsid w:val="005E4BC9"/>
    <w:rsid w:val="005E4C1C"/>
    <w:rsid w:val="005E67DD"/>
    <w:rsid w:val="005E726E"/>
    <w:rsid w:val="005E783E"/>
    <w:rsid w:val="005F0EDC"/>
    <w:rsid w:val="005F216C"/>
    <w:rsid w:val="005F40B5"/>
    <w:rsid w:val="005F45DB"/>
    <w:rsid w:val="005F507B"/>
    <w:rsid w:val="005F519E"/>
    <w:rsid w:val="005F5266"/>
    <w:rsid w:val="005F529A"/>
    <w:rsid w:val="005F66A0"/>
    <w:rsid w:val="005F69F8"/>
    <w:rsid w:val="005F6A69"/>
    <w:rsid w:val="005F6E44"/>
    <w:rsid w:val="005F7628"/>
    <w:rsid w:val="005F7682"/>
    <w:rsid w:val="005F7990"/>
    <w:rsid w:val="0060206D"/>
    <w:rsid w:val="006020C0"/>
    <w:rsid w:val="006022F2"/>
    <w:rsid w:val="006029F1"/>
    <w:rsid w:val="006033BB"/>
    <w:rsid w:val="00603A63"/>
    <w:rsid w:val="00603C16"/>
    <w:rsid w:val="0060433B"/>
    <w:rsid w:val="00604CE0"/>
    <w:rsid w:val="00604F97"/>
    <w:rsid w:val="00605CCD"/>
    <w:rsid w:val="006063EA"/>
    <w:rsid w:val="00606817"/>
    <w:rsid w:val="006078EA"/>
    <w:rsid w:val="00607CBD"/>
    <w:rsid w:val="00610997"/>
    <w:rsid w:val="006115FE"/>
    <w:rsid w:val="00611A3B"/>
    <w:rsid w:val="00611DCE"/>
    <w:rsid w:val="00613DE1"/>
    <w:rsid w:val="00615182"/>
    <w:rsid w:val="00615F17"/>
    <w:rsid w:val="00616501"/>
    <w:rsid w:val="00616C3F"/>
    <w:rsid w:val="00617839"/>
    <w:rsid w:val="006203F4"/>
    <w:rsid w:val="00623381"/>
    <w:rsid w:val="006237F7"/>
    <w:rsid w:val="00623A62"/>
    <w:rsid w:val="006248BE"/>
    <w:rsid w:val="00627D41"/>
    <w:rsid w:val="0063124C"/>
    <w:rsid w:val="0063325D"/>
    <w:rsid w:val="006337C9"/>
    <w:rsid w:val="00634E94"/>
    <w:rsid w:val="00634F64"/>
    <w:rsid w:val="00635D33"/>
    <w:rsid w:val="006405ED"/>
    <w:rsid w:val="00640EC4"/>
    <w:rsid w:val="0064101C"/>
    <w:rsid w:val="006416FB"/>
    <w:rsid w:val="00641D1A"/>
    <w:rsid w:val="006425D4"/>
    <w:rsid w:val="006425F1"/>
    <w:rsid w:val="006430B7"/>
    <w:rsid w:val="0064386E"/>
    <w:rsid w:val="00643E9C"/>
    <w:rsid w:val="00645B96"/>
    <w:rsid w:val="00645E6B"/>
    <w:rsid w:val="006467C5"/>
    <w:rsid w:val="006469AF"/>
    <w:rsid w:val="00646F34"/>
    <w:rsid w:val="006479DC"/>
    <w:rsid w:val="00647DA6"/>
    <w:rsid w:val="0065028B"/>
    <w:rsid w:val="006507C0"/>
    <w:rsid w:val="006513EB"/>
    <w:rsid w:val="00651518"/>
    <w:rsid w:val="00653A3C"/>
    <w:rsid w:val="00653E16"/>
    <w:rsid w:val="00653EA3"/>
    <w:rsid w:val="00654F3D"/>
    <w:rsid w:val="00655FE1"/>
    <w:rsid w:val="0065655C"/>
    <w:rsid w:val="006568E2"/>
    <w:rsid w:val="0066066A"/>
    <w:rsid w:val="00661356"/>
    <w:rsid w:val="006619F8"/>
    <w:rsid w:val="00661A7D"/>
    <w:rsid w:val="0066245A"/>
    <w:rsid w:val="00664122"/>
    <w:rsid w:val="00664C23"/>
    <w:rsid w:val="00664EDE"/>
    <w:rsid w:val="0066542A"/>
    <w:rsid w:val="00665DC8"/>
    <w:rsid w:val="00666D8F"/>
    <w:rsid w:val="00667067"/>
    <w:rsid w:val="0066714E"/>
    <w:rsid w:val="00670C8A"/>
    <w:rsid w:val="00671808"/>
    <w:rsid w:val="00671FD4"/>
    <w:rsid w:val="00673DE8"/>
    <w:rsid w:val="006749F3"/>
    <w:rsid w:val="00674FDF"/>
    <w:rsid w:val="0067603E"/>
    <w:rsid w:val="00676890"/>
    <w:rsid w:val="00682255"/>
    <w:rsid w:val="00683DAF"/>
    <w:rsid w:val="006843BB"/>
    <w:rsid w:val="00684A7F"/>
    <w:rsid w:val="00684AB5"/>
    <w:rsid w:val="00684DDA"/>
    <w:rsid w:val="00684DEC"/>
    <w:rsid w:val="00684FDD"/>
    <w:rsid w:val="00686432"/>
    <w:rsid w:val="00686CA6"/>
    <w:rsid w:val="006871A0"/>
    <w:rsid w:val="00692C0D"/>
    <w:rsid w:val="0069324B"/>
    <w:rsid w:val="00693F5B"/>
    <w:rsid w:val="00695337"/>
    <w:rsid w:val="006956F2"/>
    <w:rsid w:val="00695E6E"/>
    <w:rsid w:val="006966D5"/>
    <w:rsid w:val="00696EFB"/>
    <w:rsid w:val="00697955"/>
    <w:rsid w:val="00697BF0"/>
    <w:rsid w:val="00697D83"/>
    <w:rsid w:val="00697F2A"/>
    <w:rsid w:val="006A01AB"/>
    <w:rsid w:val="006A06D6"/>
    <w:rsid w:val="006A1D97"/>
    <w:rsid w:val="006A2369"/>
    <w:rsid w:val="006A38B2"/>
    <w:rsid w:val="006A5836"/>
    <w:rsid w:val="006A7B5D"/>
    <w:rsid w:val="006B018A"/>
    <w:rsid w:val="006B0E1E"/>
    <w:rsid w:val="006B0E20"/>
    <w:rsid w:val="006B2564"/>
    <w:rsid w:val="006B25D6"/>
    <w:rsid w:val="006B2DCE"/>
    <w:rsid w:val="006B3017"/>
    <w:rsid w:val="006B43BC"/>
    <w:rsid w:val="006B4D07"/>
    <w:rsid w:val="006B53BB"/>
    <w:rsid w:val="006B56A9"/>
    <w:rsid w:val="006B5BF9"/>
    <w:rsid w:val="006C03D7"/>
    <w:rsid w:val="006C1071"/>
    <w:rsid w:val="006C1389"/>
    <w:rsid w:val="006C1BC1"/>
    <w:rsid w:val="006C37DB"/>
    <w:rsid w:val="006C46E0"/>
    <w:rsid w:val="006C4D3E"/>
    <w:rsid w:val="006C5B3E"/>
    <w:rsid w:val="006C615F"/>
    <w:rsid w:val="006C72EB"/>
    <w:rsid w:val="006C7F46"/>
    <w:rsid w:val="006D02DF"/>
    <w:rsid w:val="006D0B36"/>
    <w:rsid w:val="006D35ED"/>
    <w:rsid w:val="006D375E"/>
    <w:rsid w:val="006D3D26"/>
    <w:rsid w:val="006D3DB2"/>
    <w:rsid w:val="006D43E1"/>
    <w:rsid w:val="006D50C1"/>
    <w:rsid w:val="006D5726"/>
    <w:rsid w:val="006D6CC0"/>
    <w:rsid w:val="006D7072"/>
    <w:rsid w:val="006D7274"/>
    <w:rsid w:val="006D7B33"/>
    <w:rsid w:val="006E0361"/>
    <w:rsid w:val="006E1195"/>
    <w:rsid w:val="006E142C"/>
    <w:rsid w:val="006E145A"/>
    <w:rsid w:val="006E15E3"/>
    <w:rsid w:val="006E22EC"/>
    <w:rsid w:val="006E2387"/>
    <w:rsid w:val="006E24AD"/>
    <w:rsid w:val="006E26A0"/>
    <w:rsid w:val="006E4ADA"/>
    <w:rsid w:val="006E510D"/>
    <w:rsid w:val="006E5173"/>
    <w:rsid w:val="006E5200"/>
    <w:rsid w:val="006E672C"/>
    <w:rsid w:val="006E773E"/>
    <w:rsid w:val="006E7AC8"/>
    <w:rsid w:val="006E7BC3"/>
    <w:rsid w:val="006E7BFD"/>
    <w:rsid w:val="006F0571"/>
    <w:rsid w:val="006F182E"/>
    <w:rsid w:val="006F3AE3"/>
    <w:rsid w:val="006F5B00"/>
    <w:rsid w:val="006F5D30"/>
    <w:rsid w:val="006F6D8D"/>
    <w:rsid w:val="006F71A9"/>
    <w:rsid w:val="006F7377"/>
    <w:rsid w:val="006F7D59"/>
    <w:rsid w:val="0070000E"/>
    <w:rsid w:val="0070014F"/>
    <w:rsid w:val="00700F57"/>
    <w:rsid w:val="00702E28"/>
    <w:rsid w:val="00703EFC"/>
    <w:rsid w:val="0070415B"/>
    <w:rsid w:val="0070418D"/>
    <w:rsid w:val="007043A6"/>
    <w:rsid w:val="0070444C"/>
    <w:rsid w:val="007051B7"/>
    <w:rsid w:val="00705217"/>
    <w:rsid w:val="007053D4"/>
    <w:rsid w:val="0070567E"/>
    <w:rsid w:val="00705A22"/>
    <w:rsid w:val="00705D3F"/>
    <w:rsid w:val="00706146"/>
    <w:rsid w:val="007066F2"/>
    <w:rsid w:val="00706976"/>
    <w:rsid w:val="00710BD6"/>
    <w:rsid w:val="00710C98"/>
    <w:rsid w:val="007122A8"/>
    <w:rsid w:val="00713508"/>
    <w:rsid w:val="00713608"/>
    <w:rsid w:val="00713659"/>
    <w:rsid w:val="0071396F"/>
    <w:rsid w:val="007140B5"/>
    <w:rsid w:val="00716027"/>
    <w:rsid w:val="007162FA"/>
    <w:rsid w:val="00716332"/>
    <w:rsid w:val="00716BA8"/>
    <w:rsid w:val="00717443"/>
    <w:rsid w:val="00717C33"/>
    <w:rsid w:val="00717EB6"/>
    <w:rsid w:val="007211C8"/>
    <w:rsid w:val="0072273E"/>
    <w:rsid w:val="00724D08"/>
    <w:rsid w:val="00725BD7"/>
    <w:rsid w:val="00726C9C"/>
    <w:rsid w:val="00727264"/>
    <w:rsid w:val="0073050D"/>
    <w:rsid w:val="0073056F"/>
    <w:rsid w:val="0073167F"/>
    <w:rsid w:val="007321B4"/>
    <w:rsid w:val="00732AF2"/>
    <w:rsid w:val="007332D5"/>
    <w:rsid w:val="00734D98"/>
    <w:rsid w:val="00735795"/>
    <w:rsid w:val="0073628B"/>
    <w:rsid w:val="00736449"/>
    <w:rsid w:val="00737BA7"/>
    <w:rsid w:val="00741BBA"/>
    <w:rsid w:val="00741C21"/>
    <w:rsid w:val="00742623"/>
    <w:rsid w:val="00743211"/>
    <w:rsid w:val="0074579E"/>
    <w:rsid w:val="00746225"/>
    <w:rsid w:val="00746768"/>
    <w:rsid w:val="00750B82"/>
    <w:rsid w:val="007511D9"/>
    <w:rsid w:val="00751CB0"/>
    <w:rsid w:val="00753CD4"/>
    <w:rsid w:val="0075478E"/>
    <w:rsid w:val="0075509A"/>
    <w:rsid w:val="00755E97"/>
    <w:rsid w:val="00756A0B"/>
    <w:rsid w:val="00756B34"/>
    <w:rsid w:val="00756D7C"/>
    <w:rsid w:val="00757359"/>
    <w:rsid w:val="00763458"/>
    <w:rsid w:val="007637C1"/>
    <w:rsid w:val="007646E7"/>
    <w:rsid w:val="00766856"/>
    <w:rsid w:val="007669F0"/>
    <w:rsid w:val="00766DEB"/>
    <w:rsid w:val="00770A47"/>
    <w:rsid w:val="00771D2A"/>
    <w:rsid w:val="007722FF"/>
    <w:rsid w:val="007731E5"/>
    <w:rsid w:val="00773A1B"/>
    <w:rsid w:val="0077430C"/>
    <w:rsid w:val="00774D6E"/>
    <w:rsid w:val="00776353"/>
    <w:rsid w:val="007763E4"/>
    <w:rsid w:val="007763E5"/>
    <w:rsid w:val="0077732B"/>
    <w:rsid w:val="00777445"/>
    <w:rsid w:val="0077791D"/>
    <w:rsid w:val="007800C1"/>
    <w:rsid w:val="007801FC"/>
    <w:rsid w:val="00780C12"/>
    <w:rsid w:val="007811A2"/>
    <w:rsid w:val="00781286"/>
    <w:rsid w:val="007815E1"/>
    <w:rsid w:val="00783B2F"/>
    <w:rsid w:val="007840F1"/>
    <w:rsid w:val="0078520D"/>
    <w:rsid w:val="007917AC"/>
    <w:rsid w:val="007919AE"/>
    <w:rsid w:val="00792DC4"/>
    <w:rsid w:val="00792E5A"/>
    <w:rsid w:val="00793F51"/>
    <w:rsid w:val="007944D6"/>
    <w:rsid w:val="0079485F"/>
    <w:rsid w:val="00794E8F"/>
    <w:rsid w:val="00794FFA"/>
    <w:rsid w:val="00796077"/>
    <w:rsid w:val="00796ED6"/>
    <w:rsid w:val="0079756F"/>
    <w:rsid w:val="007A009E"/>
    <w:rsid w:val="007A03C6"/>
    <w:rsid w:val="007A095F"/>
    <w:rsid w:val="007A21EA"/>
    <w:rsid w:val="007A25F1"/>
    <w:rsid w:val="007A33FE"/>
    <w:rsid w:val="007A3900"/>
    <w:rsid w:val="007A3A36"/>
    <w:rsid w:val="007A405C"/>
    <w:rsid w:val="007A4626"/>
    <w:rsid w:val="007A59F1"/>
    <w:rsid w:val="007A5AFF"/>
    <w:rsid w:val="007A5FD1"/>
    <w:rsid w:val="007A62ED"/>
    <w:rsid w:val="007A7222"/>
    <w:rsid w:val="007B075C"/>
    <w:rsid w:val="007B147F"/>
    <w:rsid w:val="007B35B2"/>
    <w:rsid w:val="007B4B22"/>
    <w:rsid w:val="007B5E02"/>
    <w:rsid w:val="007B654B"/>
    <w:rsid w:val="007B719B"/>
    <w:rsid w:val="007B7637"/>
    <w:rsid w:val="007B7819"/>
    <w:rsid w:val="007C0915"/>
    <w:rsid w:val="007C1C13"/>
    <w:rsid w:val="007C225E"/>
    <w:rsid w:val="007C2E24"/>
    <w:rsid w:val="007C35FD"/>
    <w:rsid w:val="007C3DE5"/>
    <w:rsid w:val="007C4F7F"/>
    <w:rsid w:val="007C541E"/>
    <w:rsid w:val="007C6CBD"/>
    <w:rsid w:val="007C6E1E"/>
    <w:rsid w:val="007C78C4"/>
    <w:rsid w:val="007C7A97"/>
    <w:rsid w:val="007D0604"/>
    <w:rsid w:val="007D152B"/>
    <w:rsid w:val="007D1C11"/>
    <w:rsid w:val="007D310E"/>
    <w:rsid w:val="007D4290"/>
    <w:rsid w:val="007D5905"/>
    <w:rsid w:val="007D5C34"/>
    <w:rsid w:val="007D5E9F"/>
    <w:rsid w:val="007D765E"/>
    <w:rsid w:val="007D7D4C"/>
    <w:rsid w:val="007E0D1C"/>
    <w:rsid w:val="007E195E"/>
    <w:rsid w:val="007E1CC3"/>
    <w:rsid w:val="007E28FE"/>
    <w:rsid w:val="007E3965"/>
    <w:rsid w:val="007E42A0"/>
    <w:rsid w:val="007E4986"/>
    <w:rsid w:val="007E49AF"/>
    <w:rsid w:val="007E58B4"/>
    <w:rsid w:val="007E5FEB"/>
    <w:rsid w:val="007E6383"/>
    <w:rsid w:val="007F0942"/>
    <w:rsid w:val="007F1B75"/>
    <w:rsid w:val="007F2AAD"/>
    <w:rsid w:val="007F39BA"/>
    <w:rsid w:val="007F4F2F"/>
    <w:rsid w:val="007F5863"/>
    <w:rsid w:val="007F63F2"/>
    <w:rsid w:val="007F6D79"/>
    <w:rsid w:val="007F6FE3"/>
    <w:rsid w:val="00800357"/>
    <w:rsid w:val="00800B28"/>
    <w:rsid w:val="008021A1"/>
    <w:rsid w:val="008027CA"/>
    <w:rsid w:val="008030F9"/>
    <w:rsid w:val="008035E6"/>
    <w:rsid w:val="00805618"/>
    <w:rsid w:val="00807432"/>
    <w:rsid w:val="00810BC5"/>
    <w:rsid w:val="00810D66"/>
    <w:rsid w:val="00813347"/>
    <w:rsid w:val="00813489"/>
    <w:rsid w:val="00814124"/>
    <w:rsid w:val="0081418F"/>
    <w:rsid w:val="008141ED"/>
    <w:rsid w:val="00814700"/>
    <w:rsid w:val="00820347"/>
    <w:rsid w:val="00820F85"/>
    <w:rsid w:val="008229D4"/>
    <w:rsid w:val="008230E8"/>
    <w:rsid w:val="008232CA"/>
    <w:rsid w:val="00823ADA"/>
    <w:rsid w:val="00823B3E"/>
    <w:rsid w:val="00824E01"/>
    <w:rsid w:val="00825103"/>
    <w:rsid w:val="00825B8E"/>
    <w:rsid w:val="00825C2F"/>
    <w:rsid w:val="00826338"/>
    <w:rsid w:val="00826906"/>
    <w:rsid w:val="00826965"/>
    <w:rsid w:val="00827260"/>
    <w:rsid w:val="00830765"/>
    <w:rsid w:val="00830AA3"/>
    <w:rsid w:val="00831416"/>
    <w:rsid w:val="00833901"/>
    <w:rsid w:val="00833D8C"/>
    <w:rsid w:val="0083425C"/>
    <w:rsid w:val="008351E1"/>
    <w:rsid w:val="008362ED"/>
    <w:rsid w:val="00836903"/>
    <w:rsid w:val="00836E39"/>
    <w:rsid w:val="00836F2A"/>
    <w:rsid w:val="00837798"/>
    <w:rsid w:val="00840E89"/>
    <w:rsid w:val="00842DFB"/>
    <w:rsid w:val="008449F7"/>
    <w:rsid w:val="00845DCD"/>
    <w:rsid w:val="0084665B"/>
    <w:rsid w:val="008474CD"/>
    <w:rsid w:val="00847F55"/>
    <w:rsid w:val="00850AA7"/>
    <w:rsid w:val="00850D44"/>
    <w:rsid w:val="00850E6D"/>
    <w:rsid w:val="00851631"/>
    <w:rsid w:val="0085234F"/>
    <w:rsid w:val="00853282"/>
    <w:rsid w:val="0085401B"/>
    <w:rsid w:val="008549FD"/>
    <w:rsid w:val="00855568"/>
    <w:rsid w:val="00855FFD"/>
    <w:rsid w:val="008560AA"/>
    <w:rsid w:val="00856101"/>
    <w:rsid w:val="00856358"/>
    <w:rsid w:val="0085725D"/>
    <w:rsid w:val="00857CC3"/>
    <w:rsid w:val="008608A3"/>
    <w:rsid w:val="008616E7"/>
    <w:rsid w:val="0086177F"/>
    <w:rsid w:val="00861ADB"/>
    <w:rsid w:val="00861D7A"/>
    <w:rsid w:val="00862470"/>
    <w:rsid w:val="00864322"/>
    <w:rsid w:val="008651E9"/>
    <w:rsid w:val="0086620F"/>
    <w:rsid w:val="00866AF3"/>
    <w:rsid w:val="00866C82"/>
    <w:rsid w:val="008672E6"/>
    <w:rsid w:val="008677E5"/>
    <w:rsid w:val="00867C57"/>
    <w:rsid w:val="00874311"/>
    <w:rsid w:val="00874A6B"/>
    <w:rsid w:val="00874EC5"/>
    <w:rsid w:val="00875741"/>
    <w:rsid w:val="00875B00"/>
    <w:rsid w:val="00875C31"/>
    <w:rsid w:val="00876E75"/>
    <w:rsid w:val="008775EA"/>
    <w:rsid w:val="008775F8"/>
    <w:rsid w:val="0087780F"/>
    <w:rsid w:val="00877CD3"/>
    <w:rsid w:val="008811E5"/>
    <w:rsid w:val="0088215D"/>
    <w:rsid w:val="008826D8"/>
    <w:rsid w:val="00882832"/>
    <w:rsid w:val="008832C1"/>
    <w:rsid w:val="00883EE7"/>
    <w:rsid w:val="00884F3F"/>
    <w:rsid w:val="00885016"/>
    <w:rsid w:val="00885243"/>
    <w:rsid w:val="00885D64"/>
    <w:rsid w:val="008867D4"/>
    <w:rsid w:val="00886823"/>
    <w:rsid w:val="00886BC0"/>
    <w:rsid w:val="00887179"/>
    <w:rsid w:val="0089075D"/>
    <w:rsid w:val="008913B9"/>
    <w:rsid w:val="008917A2"/>
    <w:rsid w:val="00892E4C"/>
    <w:rsid w:val="008937C6"/>
    <w:rsid w:val="008938BD"/>
    <w:rsid w:val="008938D5"/>
    <w:rsid w:val="0089404D"/>
    <w:rsid w:val="00894718"/>
    <w:rsid w:val="008964DA"/>
    <w:rsid w:val="008965F1"/>
    <w:rsid w:val="0089703E"/>
    <w:rsid w:val="00897ED9"/>
    <w:rsid w:val="008A05B4"/>
    <w:rsid w:val="008A16AF"/>
    <w:rsid w:val="008A1A26"/>
    <w:rsid w:val="008A1D16"/>
    <w:rsid w:val="008A400D"/>
    <w:rsid w:val="008A48EB"/>
    <w:rsid w:val="008A600D"/>
    <w:rsid w:val="008A6118"/>
    <w:rsid w:val="008A7119"/>
    <w:rsid w:val="008A7EBA"/>
    <w:rsid w:val="008B07D3"/>
    <w:rsid w:val="008B131C"/>
    <w:rsid w:val="008B1588"/>
    <w:rsid w:val="008B1E0A"/>
    <w:rsid w:val="008B1E53"/>
    <w:rsid w:val="008B22B6"/>
    <w:rsid w:val="008B3178"/>
    <w:rsid w:val="008B42C0"/>
    <w:rsid w:val="008B5CE8"/>
    <w:rsid w:val="008B5DEB"/>
    <w:rsid w:val="008B600B"/>
    <w:rsid w:val="008B6B63"/>
    <w:rsid w:val="008B7B94"/>
    <w:rsid w:val="008C1980"/>
    <w:rsid w:val="008C1A4B"/>
    <w:rsid w:val="008C1D6E"/>
    <w:rsid w:val="008C390E"/>
    <w:rsid w:val="008C3EC2"/>
    <w:rsid w:val="008C4304"/>
    <w:rsid w:val="008C4C74"/>
    <w:rsid w:val="008C4FFF"/>
    <w:rsid w:val="008C5FC5"/>
    <w:rsid w:val="008C6BCA"/>
    <w:rsid w:val="008C6D79"/>
    <w:rsid w:val="008C71C7"/>
    <w:rsid w:val="008C7941"/>
    <w:rsid w:val="008D0AE2"/>
    <w:rsid w:val="008D0C17"/>
    <w:rsid w:val="008D4D27"/>
    <w:rsid w:val="008D4F19"/>
    <w:rsid w:val="008D6C81"/>
    <w:rsid w:val="008D7021"/>
    <w:rsid w:val="008E09E2"/>
    <w:rsid w:val="008E0F89"/>
    <w:rsid w:val="008E1610"/>
    <w:rsid w:val="008E1E4F"/>
    <w:rsid w:val="008E35C2"/>
    <w:rsid w:val="008E5112"/>
    <w:rsid w:val="008E6631"/>
    <w:rsid w:val="008E74FA"/>
    <w:rsid w:val="008E7876"/>
    <w:rsid w:val="008E7C8C"/>
    <w:rsid w:val="008E7F8D"/>
    <w:rsid w:val="008E7FB7"/>
    <w:rsid w:val="008F132E"/>
    <w:rsid w:val="008F13C2"/>
    <w:rsid w:val="008F18DE"/>
    <w:rsid w:val="008F2EF0"/>
    <w:rsid w:val="008F3198"/>
    <w:rsid w:val="008F3F61"/>
    <w:rsid w:val="008F49A9"/>
    <w:rsid w:val="008F4F40"/>
    <w:rsid w:val="008F63CE"/>
    <w:rsid w:val="008F6657"/>
    <w:rsid w:val="008F667F"/>
    <w:rsid w:val="008F7B0E"/>
    <w:rsid w:val="00900716"/>
    <w:rsid w:val="00901136"/>
    <w:rsid w:val="0090272A"/>
    <w:rsid w:val="00902823"/>
    <w:rsid w:val="009031A1"/>
    <w:rsid w:val="009039AC"/>
    <w:rsid w:val="00904EBC"/>
    <w:rsid w:val="00905482"/>
    <w:rsid w:val="009065F0"/>
    <w:rsid w:val="00906693"/>
    <w:rsid w:val="0090713F"/>
    <w:rsid w:val="00910995"/>
    <w:rsid w:val="00910A4F"/>
    <w:rsid w:val="00912803"/>
    <w:rsid w:val="009137DC"/>
    <w:rsid w:val="0091402A"/>
    <w:rsid w:val="0091434B"/>
    <w:rsid w:val="00915AB5"/>
    <w:rsid w:val="00915D7D"/>
    <w:rsid w:val="00916501"/>
    <w:rsid w:val="00917C96"/>
    <w:rsid w:val="00920F9E"/>
    <w:rsid w:val="00921058"/>
    <w:rsid w:val="00921199"/>
    <w:rsid w:val="009226A6"/>
    <w:rsid w:val="00923040"/>
    <w:rsid w:val="009233A1"/>
    <w:rsid w:val="0092386C"/>
    <w:rsid w:val="0092388F"/>
    <w:rsid w:val="0092470C"/>
    <w:rsid w:val="00924F1E"/>
    <w:rsid w:val="00924F61"/>
    <w:rsid w:val="00925627"/>
    <w:rsid w:val="009256FC"/>
    <w:rsid w:val="009324AF"/>
    <w:rsid w:val="00932E54"/>
    <w:rsid w:val="00933552"/>
    <w:rsid w:val="00935227"/>
    <w:rsid w:val="00940E00"/>
    <w:rsid w:val="009428F3"/>
    <w:rsid w:val="0094410E"/>
    <w:rsid w:val="009451A4"/>
    <w:rsid w:val="00945744"/>
    <w:rsid w:val="00946812"/>
    <w:rsid w:val="00947B6C"/>
    <w:rsid w:val="00947C7C"/>
    <w:rsid w:val="00950C83"/>
    <w:rsid w:val="00950F37"/>
    <w:rsid w:val="00951AB8"/>
    <w:rsid w:val="009524D4"/>
    <w:rsid w:val="0095253D"/>
    <w:rsid w:val="009532F9"/>
    <w:rsid w:val="0095391A"/>
    <w:rsid w:val="0095569D"/>
    <w:rsid w:val="009575C9"/>
    <w:rsid w:val="00957AF1"/>
    <w:rsid w:val="0096015F"/>
    <w:rsid w:val="0096044E"/>
    <w:rsid w:val="0096076D"/>
    <w:rsid w:val="009607F8"/>
    <w:rsid w:val="009613F6"/>
    <w:rsid w:val="009621AF"/>
    <w:rsid w:val="009629AE"/>
    <w:rsid w:val="009629DB"/>
    <w:rsid w:val="00964A83"/>
    <w:rsid w:val="00964B22"/>
    <w:rsid w:val="009667A2"/>
    <w:rsid w:val="00966B28"/>
    <w:rsid w:val="00966F68"/>
    <w:rsid w:val="009676F5"/>
    <w:rsid w:val="00967EBC"/>
    <w:rsid w:val="00967F78"/>
    <w:rsid w:val="00970F1D"/>
    <w:rsid w:val="0097115D"/>
    <w:rsid w:val="009713DE"/>
    <w:rsid w:val="00971EEE"/>
    <w:rsid w:val="00972FC0"/>
    <w:rsid w:val="00974CC4"/>
    <w:rsid w:val="0097555C"/>
    <w:rsid w:val="00975D71"/>
    <w:rsid w:val="00976A55"/>
    <w:rsid w:val="00980252"/>
    <w:rsid w:val="009804B0"/>
    <w:rsid w:val="00980542"/>
    <w:rsid w:val="00980CD5"/>
    <w:rsid w:val="00981CE7"/>
    <w:rsid w:val="00982D21"/>
    <w:rsid w:val="00984915"/>
    <w:rsid w:val="00986F45"/>
    <w:rsid w:val="009872B2"/>
    <w:rsid w:val="009902EA"/>
    <w:rsid w:val="0099046C"/>
    <w:rsid w:val="00990A43"/>
    <w:rsid w:val="00990CD5"/>
    <w:rsid w:val="009919E7"/>
    <w:rsid w:val="0099219C"/>
    <w:rsid w:val="00992989"/>
    <w:rsid w:val="009929C8"/>
    <w:rsid w:val="00992AF4"/>
    <w:rsid w:val="00993241"/>
    <w:rsid w:val="009936C3"/>
    <w:rsid w:val="0099535D"/>
    <w:rsid w:val="00997281"/>
    <w:rsid w:val="009A08B6"/>
    <w:rsid w:val="009A0F29"/>
    <w:rsid w:val="009A17C8"/>
    <w:rsid w:val="009A1E68"/>
    <w:rsid w:val="009A3572"/>
    <w:rsid w:val="009A3692"/>
    <w:rsid w:val="009A499C"/>
    <w:rsid w:val="009A5127"/>
    <w:rsid w:val="009A5547"/>
    <w:rsid w:val="009A6296"/>
    <w:rsid w:val="009A688D"/>
    <w:rsid w:val="009A695F"/>
    <w:rsid w:val="009A7259"/>
    <w:rsid w:val="009A7774"/>
    <w:rsid w:val="009A7CAB"/>
    <w:rsid w:val="009B020F"/>
    <w:rsid w:val="009B0584"/>
    <w:rsid w:val="009B437D"/>
    <w:rsid w:val="009B58BE"/>
    <w:rsid w:val="009B5C2C"/>
    <w:rsid w:val="009B6260"/>
    <w:rsid w:val="009C053F"/>
    <w:rsid w:val="009C1A09"/>
    <w:rsid w:val="009C1F8A"/>
    <w:rsid w:val="009C2965"/>
    <w:rsid w:val="009C4C42"/>
    <w:rsid w:val="009C6CBA"/>
    <w:rsid w:val="009C6E7A"/>
    <w:rsid w:val="009C7265"/>
    <w:rsid w:val="009C7A13"/>
    <w:rsid w:val="009C7F03"/>
    <w:rsid w:val="009D2063"/>
    <w:rsid w:val="009D2132"/>
    <w:rsid w:val="009D255F"/>
    <w:rsid w:val="009D2FA2"/>
    <w:rsid w:val="009D3F28"/>
    <w:rsid w:val="009D5DD1"/>
    <w:rsid w:val="009D66B5"/>
    <w:rsid w:val="009D74F5"/>
    <w:rsid w:val="009D7A04"/>
    <w:rsid w:val="009E048A"/>
    <w:rsid w:val="009E31B8"/>
    <w:rsid w:val="009E418C"/>
    <w:rsid w:val="009E4AAC"/>
    <w:rsid w:val="009E526E"/>
    <w:rsid w:val="009E5282"/>
    <w:rsid w:val="009E61B6"/>
    <w:rsid w:val="009E70DC"/>
    <w:rsid w:val="009E7F5C"/>
    <w:rsid w:val="009F0115"/>
    <w:rsid w:val="009F0DD1"/>
    <w:rsid w:val="009F17C4"/>
    <w:rsid w:val="009F1836"/>
    <w:rsid w:val="009F2CA1"/>
    <w:rsid w:val="009F3D33"/>
    <w:rsid w:val="009F47E4"/>
    <w:rsid w:val="009F4883"/>
    <w:rsid w:val="009F48D9"/>
    <w:rsid w:val="009F4BDE"/>
    <w:rsid w:val="009F5173"/>
    <w:rsid w:val="009F5563"/>
    <w:rsid w:val="009F5924"/>
    <w:rsid w:val="009F610B"/>
    <w:rsid w:val="009F6484"/>
    <w:rsid w:val="00A015D1"/>
    <w:rsid w:val="00A02588"/>
    <w:rsid w:val="00A02BB4"/>
    <w:rsid w:val="00A03186"/>
    <w:rsid w:val="00A054DF"/>
    <w:rsid w:val="00A0558C"/>
    <w:rsid w:val="00A05F29"/>
    <w:rsid w:val="00A0773C"/>
    <w:rsid w:val="00A10502"/>
    <w:rsid w:val="00A114E6"/>
    <w:rsid w:val="00A13A5D"/>
    <w:rsid w:val="00A14063"/>
    <w:rsid w:val="00A15217"/>
    <w:rsid w:val="00A16A06"/>
    <w:rsid w:val="00A16A28"/>
    <w:rsid w:val="00A17AAD"/>
    <w:rsid w:val="00A17CA3"/>
    <w:rsid w:val="00A21722"/>
    <w:rsid w:val="00A22329"/>
    <w:rsid w:val="00A224F9"/>
    <w:rsid w:val="00A235D0"/>
    <w:rsid w:val="00A23781"/>
    <w:rsid w:val="00A23D17"/>
    <w:rsid w:val="00A250FE"/>
    <w:rsid w:val="00A253AC"/>
    <w:rsid w:val="00A2572B"/>
    <w:rsid w:val="00A25E62"/>
    <w:rsid w:val="00A260FA"/>
    <w:rsid w:val="00A26301"/>
    <w:rsid w:val="00A26CA1"/>
    <w:rsid w:val="00A26DAB"/>
    <w:rsid w:val="00A278AC"/>
    <w:rsid w:val="00A30096"/>
    <w:rsid w:val="00A30794"/>
    <w:rsid w:val="00A30AE2"/>
    <w:rsid w:val="00A319A8"/>
    <w:rsid w:val="00A32233"/>
    <w:rsid w:val="00A324D9"/>
    <w:rsid w:val="00A32704"/>
    <w:rsid w:val="00A32BEE"/>
    <w:rsid w:val="00A334DE"/>
    <w:rsid w:val="00A348F6"/>
    <w:rsid w:val="00A34AFC"/>
    <w:rsid w:val="00A35215"/>
    <w:rsid w:val="00A3632C"/>
    <w:rsid w:val="00A367CC"/>
    <w:rsid w:val="00A369A1"/>
    <w:rsid w:val="00A371D6"/>
    <w:rsid w:val="00A40673"/>
    <w:rsid w:val="00A408D1"/>
    <w:rsid w:val="00A41354"/>
    <w:rsid w:val="00A4281D"/>
    <w:rsid w:val="00A43002"/>
    <w:rsid w:val="00A433A3"/>
    <w:rsid w:val="00A44BC8"/>
    <w:rsid w:val="00A44DAA"/>
    <w:rsid w:val="00A4523C"/>
    <w:rsid w:val="00A4551E"/>
    <w:rsid w:val="00A45B45"/>
    <w:rsid w:val="00A45FBA"/>
    <w:rsid w:val="00A52898"/>
    <w:rsid w:val="00A532A2"/>
    <w:rsid w:val="00A5428F"/>
    <w:rsid w:val="00A542A3"/>
    <w:rsid w:val="00A54377"/>
    <w:rsid w:val="00A54E5C"/>
    <w:rsid w:val="00A55B7B"/>
    <w:rsid w:val="00A55F87"/>
    <w:rsid w:val="00A560CC"/>
    <w:rsid w:val="00A5783E"/>
    <w:rsid w:val="00A605D2"/>
    <w:rsid w:val="00A61182"/>
    <w:rsid w:val="00A6185B"/>
    <w:rsid w:val="00A61CB6"/>
    <w:rsid w:val="00A627B6"/>
    <w:rsid w:val="00A63084"/>
    <w:rsid w:val="00A64812"/>
    <w:rsid w:val="00A65618"/>
    <w:rsid w:val="00A65B6E"/>
    <w:rsid w:val="00A65F9C"/>
    <w:rsid w:val="00A6651D"/>
    <w:rsid w:val="00A67704"/>
    <w:rsid w:val="00A67F18"/>
    <w:rsid w:val="00A70297"/>
    <w:rsid w:val="00A704A9"/>
    <w:rsid w:val="00A70557"/>
    <w:rsid w:val="00A7066B"/>
    <w:rsid w:val="00A7098B"/>
    <w:rsid w:val="00A717F0"/>
    <w:rsid w:val="00A71E8F"/>
    <w:rsid w:val="00A729AF"/>
    <w:rsid w:val="00A72A3E"/>
    <w:rsid w:val="00A7398C"/>
    <w:rsid w:val="00A739B7"/>
    <w:rsid w:val="00A73A9A"/>
    <w:rsid w:val="00A73AFF"/>
    <w:rsid w:val="00A74508"/>
    <w:rsid w:val="00A76061"/>
    <w:rsid w:val="00A7661C"/>
    <w:rsid w:val="00A7699A"/>
    <w:rsid w:val="00A76A4F"/>
    <w:rsid w:val="00A76F4F"/>
    <w:rsid w:val="00A774BC"/>
    <w:rsid w:val="00A778FF"/>
    <w:rsid w:val="00A81A6E"/>
    <w:rsid w:val="00A823AE"/>
    <w:rsid w:val="00A826FD"/>
    <w:rsid w:val="00A828ED"/>
    <w:rsid w:val="00A83A08"/>
    <w:rsid w:val="00A83D31"/>
    <w:rsid w:val="00A84E18"/>
    <w:rsid w:val="00A8529D"/>
    <w:rsid w:val="00A868FD"/>
    <w:rsid w:val="00A87FD4"/>
    <w:rsid w:val="00A91244"/>
    <w:rsid w:val="00A917EB"/>
    <w:rsid w:val="00A91AF4"/>
    <w:rsid w:val="00A9349C"/>
    <w:rsid w:val="00A93D13"/>
    <w:rsid w:val="00A93F46"/>
    <w:rsid w:val="00A943DA"/>
    <w:rsid w:val="00A952F3"/>
    <w:rsid w:val="00A95807"/>
    <w:rsid w:val="00A96395"/>
    <w:rsid w:val="00A96693"/>
    <w:rsid w:val="00AA18A2"/>
    <w:rsid w:val="00AA19BE"/>
    <w:rsid w:val="00AA2245"/>
    <w:rsid w:val="00AA3730"/>
    <w:rsid w:val="00AA3A8A"/>
    <w:rsid w:val="00AA3E62"/>
    <w:rsid w:val="00AA44D2"/>
    <w:rsid w:val="00AA4A22"/>
    <w:rsid w:val="00AA5B6A"/>
    <w:rsid w:val="00AA6057"/>
    <w:rsid w:val="00AA6899"/>
    <w:rsid w:val="00AA6C14"/>
    <w:rsid w:val="00AB1FEE"/>
    <w:rsid w:val="00AB2FF5"/>
    <w:rsid w:val="00AB30EB"/>
    <w:rsid w:val="00AB3924"/>
    <w:rsid w:val="00AB3C6A"/>
    <w:rsid w:val="00AB7282"/>
    <w:rsid w:val="00AB7D44"/>
    <w:rsid w:val="00AC0044"/>
    <w:rsid w:val="00AC0945"/>
    <w:rsid w:val="00AC0B82"/>
    <w:rsid w:val="00AC17AF"/>
    <w:rsid w:val="00AC2159"/>
    <w:rsid w:val="00AC296A"/>
    <w:rsid w:val="00AC4B90"/>
    <w:rsid w:val="00AC651B"/>
    <w:rsid w:val="00AC6658"/>
    <w:rsid w:val="00AD02AE"/>
    <w:rsid w:val="00AD06F8"/>
    <w:rsid w:val="00AD1523"/>
    <w:rsid w:val="00AD1BEF"/>
    <w:rsid w:val="00AD316A"/>
    <w:rsid w:val="00AD3B15"/>
    <w:rsid w:val="00AD3D96"/>
    <w:rsid w:val="00AD402A"/>
    <w:rsid w:val="00AD460E"/>
    <w:rsid w:val="00AD47F3"/>
    <w:rsid w:val="00AD636B"/>
    <w:rsid w:val="00AD6967"/>
    <w:rsid w:val="00AD7BDF"/>
    <w:rsid w:val="00AD7EB2"/>
    <w:rsid w:val="00AD7EEA"/>
    <w:rsid w:val="00AE4CB0"/>
    <w:rsid w:val="00AE6298"/>
    <w:rsid w:val="00AE631D"/>
    <w:rsid w:val="00AE6DA6"/>
    <w:rsid w:val="00AE7134"/>
    <w:rsid w:val="00AE74CE"/>
    <w:rsid w:val="00AF0C76"/>
    <w:rsid w:val="00AF0D0C"/>
    <w:rsid w:val="00AF2948"/>
    <w:rsid w:val="00AF41A2"/>
    <w:rsid w:val="00AF4EF0"/>
    <w:rsid w:val="00AF6167"/>
    <w:rsid w:val="00AF67BC"/>
    <w:rsid w:val="00AF6CB5"/>
    <w:rsid w:val="00AF71FF"/>
    <w:rsid w:val="00AF7227"/>
    <w:rsid w:val="00B01BA2"/>
    <w:rsid w:val="00B01BD6"/>
    <w:rsid w:val="00B01CD0"/>
    <w:rsid w:val="00B02D8A"/>
    <w:rsid w:val="00B03A5D"/>
    <w:rsid w:val="00B0431D"/>
    <w:rsid w:val="00B04536"/>
    <w:rsid w:val="00B04E09"/>
    <w:rsid w:val="00B068E6"/>
    <w:rsid w:val="00B0766E"/>
    <w:rsid w:val="00B0798C"/>
    <w:rsid w:val="00B10AA6"/>
    <w:rsid w:val="00B114BA"/>
    <w:rsid w:val="00B11845"/>
    <w:rsid w:val="00B11C98"/>
    <w:rsid w:val="00B13141"/>
    <w:rsid w:val="00B1389F"/>
    <w:rsid w:val="00B147A6"/>
    <w:rsid w:val="00B15F52"/>
    <w:rsid w:val="00B161A9"/>
    <w:rsid w:val="00B166FD"/>
    <w:rsid w:val="00B16F17"/>
    <w:rsid w:val="00B17B5E"/>
    <w:rsid w:val="00B20491"/>
    <w:rsid w:val="00B220B5"/>
    <w:rsid w:val="00B2223C"/>
    <w:rsid w:val="00B226CF"/>
    <w:rsid w:val="00B241FD"/>
    <w:rsid w:val="00B242A3"/>
    <w:rsid w:val="00B24A68"/>
    <w:rsid w:val="00B273A2"/>
    <w:rsid w:val="00B27D3C"/>
    <w:rsid w:val="00B30923"/>
    <w:rsid w:val="00B338A0"/>
    <w:rsid w:val="00B33DF4"/>
    <w:rsid w:val="00B355DA"/>
    <w:rsid w:val="00B366ED"/>
    <w:rsid w:val="00B3791F"/>
    <w:rsid w:val="00B4029E"/>
    <w:rsid w:val="00B40438"/>
    <w:rsid w:val="00B40C7D"/>
    <w:rsid w:val="00B41E70"/>
    <w:rsid w:val="00B43FC8"/>
    <w:rsid w:val="00B4546D"/>
    <w:rsid w:val="00B456E8"/>
    <w:rsid w:val="00B46C39"/>
    <w:rsid w:val="00B512FC"/>
    <w:rsid w:val="00B51F2E"/>
    <w:rsid w:val="00B52321"/>
    <w:rsid w:val="00B53930"/>
    <w:rsid w:val="00B5434B"/>
    <w:rsid w:val="00B54C7D"/>
    <w:rsid w:val="00B552A7"/>
    <w:rsid w:val="00B55ABC"/>
    <w:rsid w:val="00B564E6"/>
    <w:rsid w:val="00B62EFA"/>
    <w:rsid w:val="00B63EED"/>
    <w:rsid w:val="00B659AA"/>
    <w:rsid w:val="00B6710B"/>
    <w:rsid w:val="00B67136"/>
    <w:rsid w:val="00B67968"/>
    <w:rsid w:val="00B70E95"/>
    <w:rsid w:val="00B71106"/>
    <w:rsid w:val="00B72D1A"/>
    <w:rsid w:val="00B732F4"/>
    <w:rsid w:val="00B74506"/>
    <w:rsid w:val="00B77826"/>
    <w:rsid w:val="00B77A9C"/>
    <w:rsid w:val="00B8009C"/>
    <w:rsid w:val="00B80E9D"/>
    <w:rsid w:val="00B81B35"/>
    <w:rsid w:val="00B81E15"/>
    <w:rsid w:val="00B82ED5"/>
    <w:rsid w:val="00B83088"/>
    <w:rsid w:val="00B836A7"/>
    <w:rsid w:val="00B85C47"/>
    <w:rsid w:val="00B86910"/>
    <w:rsid w:val="00B875C0"/>
    <w:rsid w:val="00B877EB"/>
    <w:rsid w:val="00B87E35"/>
    <w:rsid w:val="00B915C7"/>
    <w:rsid w:val="00B916ED"/>
    <w:rsid w:val="00B91E50"/>
    <w:rsid w:val="00B923A7"/>
    <w:rsid w:val="00B93C0D"/>
    <w:rsid w:val="00B93DFE"/>
    <w:rsid w:val="00B9446C"/>
    <w:rsid w:val="00B953FF"/>
    <w:rsid w:val="00B95AF6"/>
    <w:rsid w:val="00B95E59"/>
    <w:rsid w:val="00B96DDE"/>
    <w:rsid w:val="00B9731A"/>
    <w:rsid w:val="00B97FD0"/>
    <w:rsid w:val="00BA03E2"/>
    <w:rsid w:val="00BA0E6F"/>
    <w:rsid w:val="00BA14BA"/>
    <w:rsid w:val="00BA36FC"/>
    <w:rsid w:val="00BA3FAE"/>
    <w:rsid w:val="00BA4F13"/>
    <w:rsid w:val="00BA5D03"/>
    <w:rsid w:val="00BA5E67"/>
    <w:rsid w:val="00BA76A4"/>
    <w:rsid w:val="00BA79FF"/>
    <w:rsid w:val="00BB1883"/>
    <w:rsid w:val="00BB1BDA"/>
    <w:rsid w:val="00BB1F9A"/>
    <w:rsid w:val="00BB20F4"/>
    <w:rsid w:val="00BB2338"/>
    <w:rsid w:val="00BB39EE"/>
    <w:rsid w:val="00BB4F2B"/>
    <w:rsid w:val="00BB5469"/>
    <w:rsid w:val="00BB5C4F"/>
    <w:rsid w:val="00BB7744"/>
    <w:rsid w:val="00BB78F6"/>
    <w:rsid w:val="00BC0C4F"/>
    <w:rsid w:val="00BC0CFC"/>
    <w:rsid w:val="00BC0E8B"/>
    <w:rsid w:val="00BC1F44"/>
    <w:rsid w:val="00BC2907"/>
    <w:rsid w:val="00BC2AA2"/>
    <w:rsid w:val="00BC2ABD"/>
    <w:rsid w:val="00BC39BA"/>
    <w:rsid w:val="00BC698D"/>
    <w:rsid w:val="00BC72C6"/>
    <w:rsid w:val="00BC793E"/>
    <w:rsid w:val="00BC7B26"/>
    <w:rsid w:val="00BD0CEA"/>
    <w:rsid w:val="00BD0DBF"/>
    <w:rsid w:val="00BD22B7"/>
    <w:rsid w:val="00BD3AB6"/>
    <w:rsid w:val="00BD5176"/>
    <w:rsid w:val="00BD60FF"/>
    <w:rsid w:val="00BD75B3"/>
    <w:rsid w:val="00BE1894"/>
    <w:rsid w:val="00BE1A5B"/>
    <w:rsid w:val="00BE1CDE"/>
    <w:rsid w:val="00BE2F01"/>
    <w:rsid w:val="00BE37EC"/>
    <w:rsid w:val="00BE5DD4"/>
    <w:rsid w:val="00BE6491"/>
    <w:rsid w:val="00BE7A0F"/>
    <w:rsid w:val="00BF0523"/>
    <w:rsid w:val="00BF0BC8"/>
    <w:rsid w:val="00BF273A"/>
    <w:rsid w:val="00BF3424"/>
    <w:rsid w:val="00BF44A8"/>
    <w:rsid w:val="00BF59E7"/>
    <w:rsid w:val="00BF5EC6"/>
    <w:rsid w:val="00BF6BDE"/>
    <w:rsid w:val="00BF74B7"/>
    <w:rsid w:val="00BF7D0E"/>
    <w:rsid w:val="00BF7DEC"/>
    <w:rsid w:val="00BF7E78"/>
    <w:rsid w:val="00C00500"/>
    <w:rsid w:val="00C02B98"/>
    <w:rsid w:val="00C05101"/>
    <w:rsid w:val="00C05376"/>
    <w:rsid w:val="00C05E57"/>
    <w:rsid w:val="00C065DD"/>
    <w:rsid w:val="00C06932"/>
    <w:rsid w:val="00C06FA5"/>
    <w:rsid w:val="00C07BAD"/>
    <w:rsid w:val="00C07CCA"/>
    <w:rsid w:val="00C1036A"/>
    <w:rsid w:val="00C10663"/>
    <w:rsid w:val="00C11378"/>
    <w:rsid w:val="00C11396"/>
    <w:rsid w:val="00C11866"/>
    <w:rsid w:val="00C13E72"/>
    <w:rsid w:val="00C15A13"/>
    <w:rsid w:val="00C16370"/>
    <w:rsid w:val="00C16A03"/>
    <w:rsid w:val="00C16B6D"/>
    <w:rsid w:val="00C16C19"/>
    <w:rsid w:val="00C16D18"/>
    <w:rsid w:val="00C17059"/>
    <w:rsid w:val="00C17262"/>
    <w:rsid w:val="00C17ABB"/>
    <w:rsid w:val="00C200AA"/>
    <w:rsid w:val="00C200CA"/>
    <w:rsid w:val="00C206BD"/>
    <w:rsid w:val="00C209EA"/>
    <w:rsid w:val="00C20C09"/>
    <w:rsid w:val="00C21551"/>
    <w:rsid w:val="00C2360C"/>
    <w:rsid w:val="00C23F69"/>
    <w:rsid w:val="00C24095"/>
    <w:rsid w:val="00C24A23"/>
    <w:rsid w:val="00C24C03"/>
    <w:rsid w:val="00C2569A"/>
    <w:rsid w:val="00C25D09"/>
    <w:rsid w:val="00C30902"/>
    <w:rsid w:val="00C31116"/>
    <w:rsid w:val="00C34305"/>
    <w:rsid w:val="00C35649"/>
    <w:rsid w:val="00C35A16"/>
    <w:rsid w:val="00C35D86"/>
    <w:rsid w:val="00C402DE"/>
    <w:rsid w:val="00C40451"/>
    <w:rsid w:val="00C4088D"/>
    <w:rsid w:val="00C40936"/>
    <w:rsid w:val="00C41375"/>
    <w:rsid w:val="00C41A2B"/>
    <w:rsid w:val="00C41B5D"/>
    <w:rsid w:val="00C41B73"/>
    <w:rsid w:val="00C423D7"/>
    <w:rsid w:val="00C424D3"/>
    <w:rsid w:val="00C424DE"/>
    <w:rsid w:val="00C4362E"/>
    <w:rsid w:val="00C44248"/>
    <w:rsid w:val="00C44ACB"/>
    <w:rsid w:val="00C44D23"/>
    <w:rsid w:val="00C44EAB"/>
    <w:rsid w:val="00C459CE"/>
    <w:rsid w:val="00C46DE0"/>
    <w:rsid w:val="00C46E79"/>
    <w:rsid w:val="00C47091"/>
    <w:rsid w:val="00C51706"/>
    <w:rsid w:val="00C51C28"/>
    <w:rsid w:val="00C53C75"/>
    <w:rsid w:val="00C5454F"/>
    <w:rsid w:val="00C55C3C"/>
    <w:rsid w:val="00C55CB5"/>
    <w:rsid w:val="00C56D48"/>
    <w:rsid w:val="00C60339"/>
    <w:rsid w:val="00C60938"/>
    <w:rsid w:val="00C6094B"/>
    <w:rsid w:val="00C609CE"/>
    <w:rsid w:val="00C61D05"/>
    <w:rsid w:val="00C61F48"/>
    <w:rsid w:val="00C62CD8"/>
    <w:rsid w:val="00C64AD4"/>
    <w:rsid w:val="00C656DC"/>
    <w:rsid w:val="00C667C2"/>
    <w:rsid w:val="00C66DAC"/>
    <w:rsid w:val="00C70734"/>
    <w:rsid w:val="00C70FFC"/>
    <w:rsid w:val="00C71BD8"/>
    <w:rsid w:val="00C7217B"/>
    <w:rsid w:val="00C748F8"/>
    <w:rsid w:val="00C748FD"/>
    <w:rsid w:val="00C80349"/>
    <w:rsid w:val="00C8049A"/>
    <w:rsid w:val="00C814C7"/>
    <w:rsid w:val="00C81E5A"/>
    <w:rsid w:val="00C82054"/>
    <w:rsid w:val="00C83394"/>
    <w:rsid w:val="00C8455F"/>
    <w:rsid w:val="00C8507B"/>
    <w:rsid w:val="00C861D7"/>
    <w:rsid w:val="00C86259"/>
    <w:rsid w:val="00C866A8"/>
    <w:rsid w:val="00C86785"/>
    <w:rsid w:val="00C879D6"/>
    <w:rsid w:val="00C87B02"/>
    <w:rsid w:val="00C91B28"/>
    <w:rsid w:val="00C925D1"/>
    <w:rsid w:val="00C92606"/>
    <w:rsid w:val="00C92B75"/>
    <w:rsid w:val="00C9339A"/>
    <w:rsid w:val="00C93955"/>
    <w:rsid w:val="00C9450C"/>
    <w:rsid w:val="00C949CA"/>
    <w:rsid w:val="00C9538D"/>
    <w:rsid w:val="00C954C7"/>
    <w:rsid w:val="00C95757"/>
    <w:rsid w:val="00C95BD6"/>
    <w:rsid w:val="00C96290"/>
    <w:rsid w:val="00C96292"/>
    <w:rsid w:val="00C96BB8"/>
    <w:rsid w:val="00CA1B9E"/>
    <w:rsid w:val="00CA1DF3"/>
    <w:rsid w:val="00CA2B15"/>
    <w:rsid w:val="00CA2C33"/>
    <w:rsid w:val="00CA3624"/>
    <w:rsid w:val="00CA3EDC"/>
    <w:rsid w:val="00CA487E"/>
    <w:rsid w:val="00CA5AB1"/>
    <w:rsid w:val="00CA601A"/>
    <w:rsid w:val="00CA67BF"/>
    <w:rsid w:val="00CA6E26"/>
    <w:rsid w:val="00CB0A29"/>
    <w:rsid w:val="00CB0CEE"/>
    <w:rsid w:val="00CB3CE5"/>
    <w:rsid w:val="00CB3FEA"/>
    <w:rsid w:val="00CB46A6"/>
    <w:rsid w:val="00CB47CC"/>
    <w:rsid w:val="00CB5EA1"/>
    <w:rsid w:val="00CB6869"/>
    <w:rsid w:val="00CB70F2"/>
    <w:rsid w:val="00CB7354"/>
    <w:rsid w:val="00CC0922"/>
    <w:rsid w:val="00CC0E59"/>
    <w:rsid w:val="00CC17B5"/>
    <w:rsid w:val="00CC1901"/>
    <w:rsid w:val="00CC2450"/>
    <w:rsid w:val="00CC55CC"/>
    <w:rsid w:val="00CC5754"/>
    <w:rsid w:val="00CC5B7D"/>
    <w:rsid w:val="00CC6A38"/>
    <w:rsid w:val="00CC7814"/>
    <w:rsid w:val="00CD0380"/>
    <w:rsid w:val="00CD063B"/>
    <w:rsid w:val="00CD0F10"/>
    <w:rsid w:val="00CD15A0"/>
    <w:rsid w:val="00CD1675"/>
    <w:rsid w:val="00CD2285"/>
    <w:rsid w:val="00CD256C"/>
    <w:rsid w:val="00CD3C33"/>
    <w:rsid w:val="00CD3E89"/>
    <w:rsid w:val="00CD44D9"/>
    <w:rsid w:val="00CD556D"/>
    <w:rsid w:val="00CD5E39"/>
    <w:rsid w:val="00CD7B80"/>
    <w:rsid w:val="00CD7D63"/>
    <w:rsid w:val="00CE04FD"/>
    <w:rsid w:val="00CE1073"/>
    <w:rsid w:val="00CE13E8"/>
    <w:rsid w:val="00CE1B3B"/>
    <w:rsid w:val="00CE246A"/>
    <w:rsid w:val="00CE2617"/>
    <w:rsid w:val="00CE2C57"/>
    <w:rsid w:val="00CE3D39"/>
    <w:rsid w:val="00CE45A5"/>
    <w:rsid w:val="00CE49EA"/>
    <w:rsid w:val="00CE5997"/>
    <w:rsid w:val="00CE673C"/>
    <w:rsid w:val="00CE6752"/>
    <w:rsid w:val="00CE68F0"/>
    <w:rsid w:val="00CE70C8"/>
    <w:rsid w:val="00CE7243"/>
    <w:rsid w:val="00CE7FE8"/>
    <w:rsid w:val="00CF132A"/>
    <w:rsid w:val="00CF1547"/>
    <w:rsid w:val="00CF1599"/>
    <w:rsid w:val="00CF168B"/>
    <w:rsid w:val="00CF1EA8"/>
    <w:rsid w:val="00CF29CF"/>
    <w:rsid w:val="00CF3602"/>
    <w:rsid w:val="00CF37F3"/>
    <w:rsid w:val="00CF562A"/>
    <w:rsid w:val="00CF5D17"/>
    <w:rsid w:val="00D0188B"/>
    <w:rsid w:val="00D02BCE"/>
    <w:rsid w:val="00D02C19"/>
    <w:rsid w:val="00D039CD"/>
    <w:rsid w:val="00D03F91"/>
    <w:rsid w:val="00D05AF3"/>
    <w:rsid w:val="00D0618A"/>
    <w:rsid w:val="00D06350"/>
    <w:rsid w:val="00D0682E"/>
    <w:rsid w:val="00D07798"/>
    <w:rsid w:val="00D102D6"/>
    <w:rsid w:val="00D12C0B"/>
    <w:rsid w:val="00D13501"/>
    <w:rsid w:val="00D13BBD"/>
    <w:rsid w:val="00D13FA4"/>
    <w:rsid w:val="00D14615"/>
    <w:rsid w:val="00D1492D"/>
    <w:rsid w:val="00D161CE"/>
    <w:rsid w:val="00D167B2"/>
    <w:rsid w:val="00D16801"/>
    <w:rsid w:val="00D17753"/>
    <w:rsid w:val="00D17D50"/>
    <w:rsid w:val="00D20539"/>
    <w:rsid w:val="00D20F23"/>
    <w:rsid w:val="00D21447"/>
    <w:rsid w:val="00D21B83"/>
    <w:rsid w:val="00D22583"/>
    <w:rsid w:val="00D2361C"/>
    <w:rsid w:val="00D256BD"/>
    <w:rsid w:val="00D25FCA"/>
    <w:rsid w:val="00D261B1"/>
    <w:rsid w:val="00D26D23"/>
    <w:rsid w:val="00D27180"/>
    <w:rsid w:val="00D31267"/>
    <w:rsid w:val="00D31975"/>
    <w:rsid w:val="00D31BCF"/>
    <w:rsid w:val="00D31E7C"/>
    <w:rsid w:val="00D324E9"/>
    <w:rsid w:val="00D34B67"/>
    <w:rsid w:val="00D4012C"/>
    <w:rsid w:val="00D40203"/>
    <w:rsid w:val="00D40D7C"/>
    <w:rsid w:val="00D41833"/>
    <w:rsid w:val="00D42C77"/>
    <w:rsid w:val="00D437F1"/>
    <w:rsid w:val="00D439AE"/>
    <w:rsid w:val="00D43BB8"/>
    <w:rsid w:val="00D44B92"/>
    <w:rsid w:val="00D468DD"/>
    <w:rsid w:val="00D47493"/>
    <w:rsid w:val="00D479D1"/>
    <w:rsid w:val="00D479F0"/>
    <w:rsid w:val="00D50BB5"/>
    <w:rsid w:val="00D50C65"/>
    <w:rsid w:val="00D50DED"/>
    <w:rsid w:val="00D52743"/>
    <w:rsid w:val="00D535A8"/>
    <w:rsid w:val="00D53ADD"/>
    <w:rsid w:val="00D53C30"/>
    <w:rsid w:val="00D547DA"/>
    <w:rsid w:val="00D54F2D"/>
    <w:rsid w:val="00D551BC"/>
    <w:rsid w:val="00D5766C"/>
    <w:rsid w:val="00D576E9"/>
    <w:rsid w:val="00D577AD"/>
    <w:rsid w:val="00D5795A"/>
    <w:rsid w:val="00D60379"/>
    <w:rsid w:val="00D60812"/>
    <w:rsid w:val="00D610E6"/>
    <w:rsid w:val="00D6187C"/>
    <w:rsid w:val="00D61CD7"/>
    <w:rsid w:val="00D62110"/>
    <w:rsid w:val="00D630EF"/>
    <w:rsid w:val="00D643F6"/>
    <w:rsid w:val="00D66C33"/>
    <w:rsid w:val="00D66F0E"/>
    <w:rsid w:val="00D67D96"/>
    <w:rsid w:val="00D7119E"/>
    <w:rsid w:val="00D72256"/>
    <w:rsid w:val="00D73C27"/>
    <w:rsid w:val="00D75BB1"/>
    <w:rsid w:val="00D76560"/>
    <w:rsid w:val="00D76FC9"/>
    <w:rsid w:val="00D773BD"/>
    <w:rsid w:val="00D774E2"/>
    <w:rsid w:val="00D779FC"/>
    <w:rsid w:val="00D80247"/>
    <w:rsid w:val="00D81C64"/>
    <w:rsid w:val="00D81EBF"/>
    <w:rsid w:val="00D82D93"/>
    <w:rsid w:val="00D8514E"/>
    <w:rsid w:val="00D85A42"/>
    <w:rsid w:val="00D85F3D"/>
    <w:rsid w:val="00D8652F"/>
    <w:rsid w:val="00D8680A"/>
    <w:rsid w:val="00D86FDF"/>
    <w:rsid w:val="00D918B7"/>
    <w:rsid w:val="00D93958"/>
    <w:rsid w:val="00D94957"/>
    <w:rsid w:val="00D958BA"/>
    <w:rsid w:val="00D9596D"/>
    <w:rsid w:val="00D95C18"/>
    <w:rsid w:val="00D9706F"/>
    <w:rsid w:val="00D97177"/>
    <w:rsid w:val="00D971B8"/>
    <w:rsid w:val="00D97ECD"/>
    <w:rsid w:val="00DA06EB"/>
    <w:rsid w:val="00DA391F"/>
    <w:rsid w:val="00DA59DE"/>
    <w:rsid w:val="00DA6A61"/>
    <w:rsid w:val="00DA78BF"/>
    <w:rsid w:val="00DB23FD"/>
    <w:rsid w:val="00DB3669"/>
    <w:rsid w:val="00DB4519"/>
    <w:rsid w:val="00DB6DCE"/>
    <w:rsid w:val="00DC135E"/>
    <w:rsid w:val="00DC25AE"/>
    <w:rsid w:val="00DC26A2"/>
    <w:rsid w:val="00DC307F"/>
    <w:rsid w:val="00DC393B"/>
    <w:rsid w:val="00DC3DA7"/>
    <w:rsid w:val="00DC4BD3"/>
    <w:rsid w:val="00DC6411"/>
    <w:rsid w:val="00DC69A6"/>
    <w:rsid w:val="00DC7211"/>
    <w:rsid w:val="00DC72E0"/>
    <w:rsid w:val="00DC7ECE"/>
    <w:rsid w:val="00DD0277"/>
    <w:rsid w:val="00DD1D74"/>
    <w:rsid w:val="00DD2444"/>
    <w:rsid w:val="00DD3051"/>
    <w:rsid w:val="00DD3216"/>
    <w:rsid w:val="00DD322B"/>
    <w:rsid w:val="00DD3FD8"/>
    <w:rsid w:val="00DD5278"/>
    <w:rsid w:val="00DD5B09"/>
    <w:rsid w:val="00DD61AB"/>
    <w:rsid w:val="00DD6B4A"/>
    <w:rsid w:val="00DD7BC2"/>
    <w:rsid w:val="00DE0530"/>
    <w:rsid w:val="00DE128E"/>
    <w:rsid w:val="00DE236C"/>
    <w:rsid w:val="00DE29AA"/>
    <w:rsid w:val="00DE2E3E"/>
    <w:rsid w:val="00DE3C1D"/>
    <w:rsid w:val="00DE541B"/>
    <w:rsid w:val="00DE5439"/>
    <w:rsid w:val="00DE5EA2"/>
    <w:rsid w:val="00DE65B2"/>
    <w:rsid w:val="00DE6948"/>
    <w:rsid w:val="00DE6BAA"/>
    <w:rsid w:val="00DE7351"/>
    <w:rsid w:val="00DF00BD"/>
    <w:rsid w:val="00DF01C2"/>
    <w:rsid w:val="00DF0C4E"/>
    <w:rsid w:val="00DF1D05"/>
    <w:rsid w:val="00DF2151"/>
    <w:rsid w:val="00DF22D3"/>
    <w:rsid w:val="00DF2B56"/>
    <w:rsid w:val="00DF300B"/>
    <w:rsid w:val="00DF3023"/>
    <w:rsid w:val="00DF5EA3"/>
    <w:rsid w:val="00DF6078"/>
    <w:rsid w:val="00DF6300"/>
    <w:rsid w:val="00DF6F33"/>
    <w:rsid w:val="00E003CF"/>
    <w:rsid w:val="00E00B0B"/>
    <w:rsid w:val="00E040DC"/>
    <w:rsid w:val="00E041D9"/>
    <w:rsid w:val="00E04FAF"/>
    <w:rsid w:val="00E050CD"/>
    <w:rsid w:val="00E062DE"/>
    <w:rsid w:val="00E128DD"/>
    <w:rsid w:val="00E13F1A"/>
    <w:rsid w:val="00E178CF"/>
    <w:rsid w:val="00E207EB"/>
    <w:rsid w:val="00E214A2"/>
    <w:rsid w:val="00E214C6"/>
    <w:rsid w:val="00E21D9C"/>
    <w:rsid w:val="00E22DAA"/>
    <w:rsid w:val="00E2435E"/>
    <w:rsid w:val="00E24955"/>
    <w:rsid w:val="00E25659"/>
    <w:rsid w:val="00E26546"/>
    <w:rsid w:val="00E269D2"/>
    <w:rsid w:val="00E27B8C"/>
    <w:rsid w:val="00E304BD"/>
    <w:rsid w:val="00E30B81"/>
    <w:rsid w:val="00E314F8"/>
    <w:rsid w:val="00E316DA"/>
    <w:rsid w:val="00E3212C"/>
    <w:rsid w:val="00E34A2F"/>
    <w:rsid w:val="00E34CA2"/>
    <w:rsid w:val="00E35739"/>
    <w:rsid w:val="00E35872"/>
    <w:rsid w:val="00E40143"/>
    <w:rsid w:val="00E40910"/>
    <w:rsid w:val="00E41D96"/>
    <w:rsid w:val="00E4250F"/>
    <w:rsid w:val="00E4284B"/>
    <w:rsid w:val="00E439F2"/>
    <w:rsid w:val="00E43C09"/>
    <w:rsid w:val="00E449B9"/>
    <w:rsid w:val="00E456A0"/>
    <w:rsid w:val="00E45A1C"/>
    <w:rsid w:val="00E4771A"/>
    <w:rsid w:val="00E50020"/>
    <w:rsid w:val="00E51113"/>
    <w:rsid w:val="00E51357"/>
    <w:rsid w:val="00E51427"/>
    <w:rsid w:val="00E51827"/>
    <w:rsid w:val="00E52223"/>
    <w:rsid w:val="00E53D3B"/>
    <w:rsid w:val="00E54628"/>
    <w:rsid w:val="00E555B7"/>
    <w:rsid w:val="00E555E2"/>
    <w:rsid w:val="00E5560C"/>
    <w:rsid w:val="00E56368"/>
    <w:rsid w:val="00E60068"/>
    <w:rsid w:val="00E6011C"/>
    <w:rsid w:val="00E61834"/>
    <w:rsid w:val="00E61AD0"/>
    <w:rsid w:val="00E634D7"/>
    <w:rsid w:val="00E647E3"/>
    <w:rsid w:val="00E647F8"/>
    <w:rsid w:val="00E6549E"/>
    <w:rsid w:val="00E65628"/>
    <w:rsid w:val="00E658AF"/>
    <w:rsid w:val="00E66230"/>
    <w:rsid w:val="00E66711"/>
    <w:rsid w:val="00E67187"/>
    <w:rsid w:val="00E70A91"/>
    <w:rsid w:val="00E72607"/>
    <w:rsid w:val="00E73C29"/>
    <w:rsid w:val="00E745DD"/>
    <w:rsid w:val="00E74D87"/>
    <w:rsid w:val="00E76F7E"/>
    <w:rsid w:val="00E81687"/>
    <w:rsid w:val="00E81DAA"/>
    <w:rsid w:val="00E82655"/>
    <w:rsid w:val="00E8349A"/>
    <w:rsid w:val="00E834D5"/>
    <w:rsid w:val="00E85942"/>
    <w:rsid w:val="00E85EF8"/>
    <w:rsid w:val="00E8721F"/>
    <w:rsid w:val="00E878A2"/>
    <w:rsid w:val="00E87B2C"/>
    <w:rsid w:val="00E902CC"/>
    <w:rsid w:val="00E90587"/>
    <w:rsid w:val="00E905A1"/>
    <w:rsid w:val="00E9073B"/>
    <w:rsid w:val="00E90D7F"/>
    <w:rsid w:val="00E919C9"/>
    <w:rsid w:val="00E92125"/>
    <w:rsid w:val="00E93284"/>
    <w:rsid w:val="00E94854"/>
    <w:rsid w:val="00E95F2A"/>
    <w:rsid w:val="00E96154"/>
    <w:rsid w:val="00E96794"/>
    <w:rsid w:val="00E97DE6"/>
    <w:rsid w:val="00EA291F"/>
    <w:rsid w:val="00EA414E"/>
    <w:rsid w:val="00EA46E1"/>
    <w:rsid w:val="00EA4A1D"/>
    <w:rsid w:val="00EA4EC6"/>
    <w:rsid w:val="00EA4F37"/>
    <w:rsid w:val="00EA56F1"/>
    <w:rsid w:val="00EA594D"/>
    <w:rsid w:val="00EA59B1"/>
    <w:rsid w:val="00EA5D55"/>
    <w:rsid w:val="00EA655C"/>
    <w:rsid w:val="00EA7386"/>
    <w:rsid w:val="00EA7896"/>
    <w:rsid w:val="00EA7D2D"/>
    <w:rsid w:val="00EB0B3E"/>
    <w:rsid w:val="00EB15DA"/>
    <w:rsid w:val="00EB27E9"/>
    <w:rsid w:val="00EB2DEE"/>
    <w:rsid w:val="00EB5922"/>
    <w:rsid w:val="00EB5C51"/>
    <w:rsid w:val="00EB65FD"/>
    <w:rsid w:val="00EB6796"/>
    <w:rsid w:val="00EB6E5F"/>
    <w:rsid w:val="00EC0CBF"/>
    <w:rsid w:val="00EC14DF"/>
    <w:rsid w:val="00EC21B0"/>
    <w:rsid w:val="00EC2923"/>
    <w:rsid w:val="00EC29F7"/>
    <w:rsid w:val="00EC4744"/>
    <w:rsid w:val="00EC66ED"/>
    <w:rsid w:val="00EC6A17"/>
    <w:rsid w:val="00EC6B62"/>
    <w:rsid w:val="00EC6E73"/>
    <w:rsid w:val="00EC74E4"/>
    <w:rsid w:val="00ED05D8"/>
    <w:rsid w:val="00ED0926"/>
    <w:rsid w:val="00ED10DD"/>
    <w:rsid w:val="00ED15FC"/>
    <w:rsid w:val="00ED25C3"/>
    <w:rsid w:val="00ED3931"/>
    <w:rsid w:val="00ED4265"/>
    <w:rsid w:val="00ED48FF"/>
    <w:rsid w:val="00ED4F1D"/>
    <w:rsid w:val="00ED50BF"/>
    <w:rsid w:val="00ED65E0"/>
    <w:rsid w:val="00ED6B8E"/>
    <w:rsid w:val="00ED6D95"/>
    <w:rsid w:val="00ED6F02"/>
    <w:rsid w:val="00ED72C1"/>
    <w:rsid w:val="00EE1C1D"/>
    <w:rsid w:val="00EE3DC2"/>
    <w:rsid w:val="00EE3E01"/>
    <w:rsid w:val="00EE4DCA"/>
    <w:rsid w:val="00EE5189"/>
    <w:rsid w:val="00EE545E"/>
    <w:rsid w:val="00EE59E7"/>
    <w:rsid w:val="00EE5CB3"/>
    <w:rsid w:val="00EE6D33"/>
    <w:rsid w:val="00EE7350"/>
    <w:rsid w:val="00EE766B"/>
    <w:rsid w:val="00EE77CD"/>
    <w:rsid w:val="00EE7C36"/>
    <w:rsid w:val="00EF02C4"/>
    <w:rsid w:val="00EF193B"/>
    <w:rsid w:val="00EF1ECE"/>
    <w:rsid w:val="00EF201E"/>
    <w:rsid w:val="00EF610A"/>
    <w:rsid w:val="00EF68EE"/>
    <w:rsid w:val="00EF77AD"/>
    <w:rsid w:val="00F01400"/>
    <w:rsid w:val="00F0192F"/>
    <w:rsid w:val="00F027B2"/>
    <w:rsid w:val="00F04080"/>
    <w:rsid w:val="00F05AA4"/>
    <w:rsid w:val="00F05DE3"/>
    <w:rsid w:val="00F06512"/>
    <w:rsid w:val="00F07935"/>
    <w:rsid w:val="00F10108"/>
    <w:rsid w:val="00F14B47"/>
    <w:rsid w:val="00F154E9"/>
    <w:rsid w:val="00F165C5"/>
    <w:rsid w:val="00F175F1"/>
    <w:rsid w:val="00F17D24"/>
    <w:rsid w:val="00F23814"/>
    <w:rsid w:val="00F23AC8"/>
    <w:rsid w:val="00F2598E"/>
    <w:rsid w:val="00F26372"/>
    <w:rsid w:val="00F26462"/>
    <w:rsid w:val="00F26E93"/>
    <w:rsid w:val="00F27298"/>
    <w:rsid w:val="00F27530"/>
    <w:rsid w:val="00F3061D"/>
    <w:rsid w:val="00F32065"/>
    <w:rsid w:val="00F35186"/>
    <w:rsid w:val="00F36F25"/>
    <w:rsid w:val="00F37217"/>
    <w:rsid w:val="00F3742E"/>
    <w:rsid w:val="00F40CD7"/>
    <w:rsid w:val="00F40D52"/>
    <w:rsid w:val="00F40D6D"/>
    <w:rsid w:val="00F41BB6"/>
    <w:rsid w:val="00F420A4"/>
    <w:rsid w:val="00F42173"/>
    <w:rsid w:val="00F43948"/>
    <w:rsid w:val="00F43B2E"/>
    <w:rsid w:val="00F44458"/>
    <w:rsid w:val="00F44BDA"/>
    <w:rsid w:val="00F45F98"/>
    <w:rsid w:val="00F46B51"/>
    <w:rsid w:val="00F46E5F"/>
    <w:rsid w:val="00F47E44"/>
    <w:rsid w:val="00F506C7"/>
    <w:rsid w:val="00F50BB2"/>
    <w:rsid w:val="00F50ECD"/>
    <w:rsid w:val="00F51399"/>
    <w:rsid w:val="00F52E21"/>
    <w:rsid w:val="00F537A6"/>
    <w:rsid w:val="00F544E4"/>
    <w:rsid w:val="00F548BB"/>
    <w:rsid w:val="00F54FCD"/>
    <w:rsid w:val="00F559EF"/>
    <w:rsid w:val="00F561B7"/>
    <w:rsid w:val="00F565E1"/>
    <w:rsid w:val="00F56AE7"/>
    <w:rsid w:val="00F577FF"/>
    <w:rsid w:val="00F60A3C"/>
    <w:rsid w:val="00F60C61"/>
    <w:rsid w:val="00F6237C"/>
    <w:rsid w:val="00F62D4C"/>
    <w:rsid w:val="00F62E24"/>
    <w:rsid w:val="00F652DB"/>
    <w:rsid w:val="00F65A0C"/>
    <w:rsid w:val="00F6622B"/>
    <w:rsid w:val="00F66E4D"/>
    <w:rsid w:val="00F7114A"/>
    <w:rsid w:val="00F7116F"/>
    <w:rsid w:val="00F7120A"/>
    <w:rsid w:val="00F71ABF"/>
    <w:rsid w:val="00F71B38"/>
    <w:rsid w:val="00F722B4"/>
    <w:rsid w:val="00F72364"/>
    <w:rsid w:val="00F734AA"/>
    <w:rsid w:val="00F7391E"/>
    <w:rsid w:val="00F73C63"/>
    <w:rsid w:val="00F749CF"/>
    <w:rsid w:val="00F75541"/>
    <w:rsid w:val="00F75E56"/>
    <w:rsid w:val="00F772CE"/>
    <w:rsid w:val="00F772D4"/>
    <w:rsid w:val="00F80D22"/>
    <w:rsid w:val="00F81771"/>
    <w:rsid w:val="00F81E67"/>
    <w:rsid w:val="00F82959"/>
    <w:rsid w:val="00F8331E"/>
    <w:rsid w:val="00F839CD"/>
    <w:rsid w:val="00F83CCF"/>
    <w:rsid w:val="00F83D62"/>
    <w:rsid w:val="00F8449A"/>
    <w:rsid w:val="00F84581"/>
    <w:rsid w:val="00F85552"/>
    <w:rsid w:val="00F856F0"/>
    <w:rsid w:val="00F86BE9"/>
    <w:rsid w:val="00F8728D"/>
    <w:rsid w:val="00F87CF3"/>
    <w:rsid w:val="00F917BF"/>
    <w:rsid w:val="00F91B79"/>
    <w:rsid w:val="00F92FF8"/>
    <w:rsid w:val="00F93242"/>
    <w:rsid w:val="00F93D21"/>
    <w:rsid w:val="00F95783"/>
    <w:rsid w:val="00F96DFD"/>
    <w:rsid w:val="00F97AC4"/>
    <w:rsid w:val="00F97EC8"/>
    <w:rsid w:val="00FA32B7"/>
    <w:rsid w:val="00FA40A1"/>
    <w:rsid w:val="00FA5348"/>
    <w:rsid w:val="00FA7038"/>
    <w:rsid w:val="00FA7BC4"/>
    <w:rsid w:val="00FB0D2E"/>
    <w:rsid w:val="00FB1206"/>
    <w:rsid w:val="00FB150C"/>
    <w:rsid w:val="00FB1AF0"/>
    <w:rsid w:val="00FB2168"/>
    <w:rsid w:val="00FB2399"/>
    <w:rsid w:val="00FB281B"/>
    <w:rsid w:val="00FB3B79"/>
    <w:rsid w:val="00FB58A2"/>
    <w:rsid w:val="00FB685E"/>
    <w:rsid w:val="00FB6AD2"/>
    <w:rsid w:val="00FB75E4"/>
    <w:rsid w:val="00FB7616"/>
    <w:rsid w:val="00FB79C0"/>
    <w:rsid w:val="00FC1388"/>
    <w:rsid w:val="00FC28CD"/>
    <w:rsid w:val="00FC2E48"/>
    <w:rsid w:val="00FC30BF"/>
    <w:rsid w:val="00FC3144"/>
    <w:rsid w:val="00FC3EE0"/>
    <w:rsid w:val="00FC4003"/>
    <w:rsid w:val="00FC4006"/>
    <w:rsid w:val="00FC4F13"/>
    <w:rsid w:val="00FC57BC"/>
    <w:rsid w:val="00FC5A03"/>
    <w:rsid w:val="00FC6B73"/>
    <w:rsid w:val="00FD0DF1"/>
    <w:rsid w:val="00FD346C"/>
    <w:rsid w:val="00FD3B47"/>
    <w:rsid w:val="00FD3FF5"/>
    <w:rsid w:val="00FD50AD"/>
    <w:rsid w:val="00FD57B4"/>
    <w:rsid w:val="00FD5A2F"/>
    <w:rsid w:val="00FD65F5"/>
    <w:rsid w:val="00FE0482"/>
    <w:rsid w:val="00FE0E4B"/>
    <w:rsid w:val="00FE1325"/>
    <w:rsid w:val="00FE1986"/>
    <w:rsid w:val="00FE20A0"/>
    <w:rsid w:val="00FE25A3"/>
    <w:rsid w:val="00FE278F"/>
    <w:rsid w:val="00FE2879"/>
    <w:rsid w:val="00FE2A9A"/>
    <w:rsid w:val="00FE378D"/>
    <w:rsid w:val="00FE37FA"/>
    <w:rsid w:val="00FE68EE"/>
    <w:rsid w:val="00FF079F"/>
    <w:rsid w:val="00FF1039"/>
    <w:rsid w:val="00FF17BE"/>
    <w:rsid w:val="00FF1B7C"/>
    <w:rsid w:val="00FF1DF3"/>
    <w:rsid w:val="00FF2437"/>
    <w:rsid w:val="00FF2BC6"/>
    <w:rsid w:val="00FF37BE"/>
    <w:rsid w:val="00FF466B"/>
    <w:rsid w:val="00FF5D96"/>
    <w:rsid w:val="00FF66AB"/>
    <w:rsid w:val="00FF6E73"/>
    <w:rsid w:val="00FF79B4"/>
    <w:rsid w:val="00FF7E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799950-5A6B-4FC5-8D51-440D928F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69A"/>
    <w:rPr>
      <w:sz w:val="24"/>
      <w:szCs w:val="24"/>
    </w:rPr>
  </w:style>
  <w:style w:type="paragraph" w:styleId="Ttulo1">
    <w:name w:val="heading 1"/>
    <w:basedOn w:val="Normal"/>
    <w:next w:val="Normal"/>
    <w:link w:val="Ttulo1Char"/>
    <w:uiPriority w:val="99"/>
    <w:qFormat/>
    <w:rsid w:val="00C2569A"/>
    <w:pPr>
      <w:keepNext/>
      <w:outlineLvl w:val="0"/>
    </w:pPr>
    <w:rPr>
      <w:b/>
      <w:bCs/>
    </w:rPr>
  </w:style>
  <w:style w:type="paragraph" w:styleId="Ttulo2">
    <w:name w:val="heading 2"/>
    <w:basedOn w:val="Normal"/>
    <w:next w:val="Normal"/>
    <w:link w:val="Ttulo2Char"/>
    <w:uiPriority w:val="99"/>
    <w:qFormat/>
    <w:rsid w:val="00C2569A"/>
    <w:pPr>
      <w:keepNext/>
      <w:jc w:val="both"/>
      <w:outlineLvl w:val="1"/>
    </w:pPr>
    <w:rPr>
      <w:szCs w:val="20"/>
    </w:rPr>
  </w:style>
  <w:style w:type="paragraph" w:styleId="Ttulo3">
    <w:name w:val="heading 3"/>
    <w:basedOn w:val="Normal"/>
    <w:next w:val="Normal"/>
    <w:link w:val="Ttulo3Char"/>
    <w:uiPriority w:val="99"/>
    <w:qFormat/>
    <w:rsid w:val="00C2569A"/>
    <w:pPr>
      <w:keepNext/>
      <w:ind w:firstLine="136"/>
      <w:outlineLvl w:val="2"/>
    </w:pPr>
    <w:rPr>
      <w:rFonts w:ascii="Arial" w:hAnsi="Arial" w:cs="Arial"/>
      <w:i/>
      <w:iCs/>
      <w:sz w:val="16"/>
      <w:szCs w:val="14"/>
    </w:rPr>
  </w:style>
  <w:style w:type="paragraph" w:styleId="Ttulo4">
    <w:name w:val="heading 4"/>
    <w:basedOn w:val="Normal"/>
    <w:next w:val="Normal"/>
    <w:link w:val="Ttulo4Char"/>
    <w:uiPriority w:val="99"/>
    <w:qFormat/>
    <w:rsid w:val="00C2569A"/>
    <w:pPr>
      <w:keepNext/>
      <w:ind w:firstLine="136"/>
      <w:jc w:val="center"/>
      <w:outlineLvl w:val="3"/>
    </w:pPr>
    <w:rPr>
      <w:rFonts w:ascii="Arial" w:hAnsi="Arial" w:cs="Arial"/>
      <w:b/>
      <w:bCs/>
      <w:i/>
      <w:iCs/>
      <w:sz w:val="16"/>
      <w:szCs w:val="14"/>
      <w:lang w:val="en-US"/>
    </w:rPr>
  </w:style>
  <w:style w:type="paragraph" w:styleId="Ttulo5">
    <w:name w:val="heading 5"/>
    <w:basedOn w:val="Normal"/>
    <w:next w:val="Normal"/>
    <w:link w:val="Ttulo5Char"/>
    <w:uiPriority w:val="99"/>
    <w:qFormat/>
    <w:rsid w:val="00C2569A"/>
    <w:pPr>
      <w:keepNext/>
      <w:autoSpaceDE w:val="0"/>
      <w:autoSpaceDN w:val="0"/>
      <w:adjustRightInd w:val="0"/>
      <w:jc w:val="both"/>
      <w:outlineLvl w:val="4"/>
    </w:pPr>
    <w:rPr>
      <w:b/>
    </w:rPr>
  </w:style>
  <w:style w:type="paragraph" w:styleId="Ttulo6">
    <w:name w:val="heading 6"/>
    <w:basedOn w:val="Normal"/>
    <w:next w:val="Normal"/>
    <w:link w:val="Ttulo6Char"/>
    <w:uiPriority w:val="99"/>
    <w:qFormat/>
    <w:rsid w:val="00C2569A"/>
    <w:pPr>
      <w:keepNext/>
      <w:outlineLvl w:val="5"/>
    </w:pPr>
    <w:rPr>
      <w:rFonts w:ascii="Arial" w:hAnsi="Arial" w:cs="Arial"/>
      <w:b/>
      <w:bCs/>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214F0"/>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1214F0"/>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1214F0"/>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1214F0"/>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1214F0"/>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1214F0"/>
    <w:rPr>
      <w:rFonts w:ascii="Calibri" w:hAnsi="Calibri" w:cs="Times New Roman"/>
      <w:b/>
      <w:bCs/>
    </w:rPr>
  </w:style>
  <w:style w:type="paragraph" w:styleId="Recuodecorpodetexto3">
    <w:name w:val="Body Text Indent 3"/>
    <w:basedOn w:val="Normal"/>
    <w:link w:val="Recuodecorpodetexto3Char"/>
    <w:uiPriority w:val="99"/>
    <w:rsid w:val="00C2569A"/>
    <w:pPr>
      <w:ind w:left="3060"/>
    </w:pPr>
    <w:rPr>
      <w:b/>
      <w:bCs/>
      <w:i/>
      <w:iCs/>
    </w:rPr>
  </w:style>
  <w:style w:type="character" w:customStyle="1" w:styleId="Recuodecorpodetexto3Char">
    <w:name w:val="Recuo de corpo de texto 3 Char"/>
    <w:basedOn w:val="Fontepargpadro"/>
    <w:link w:val="Recuodecorpodetexto3"/>
    <w:uiPriority w:val="99"/>
    <w:semiHidden/>
    <w:locked/>
    <w:rsid w:val="001214F0"/>
    <w:rPr>
      <w:rFonts w:cs="Times New Roman"/>
      <w:sz w:val="16"/>
      <w:szCs w:val="16"/>
    </w:rPr>
  </w:style>
  <w:style w:type="paragraph" w:styleId="Cabealho">
    <w:name w:val="header"/>
    <w:basedOn w:val="Normal"/>
    <w:link w:val="CabealhoChar"/>
    <w:uiPriority w:val="99"/>
    <w:rsid w:val="00C2569A"/>
    <w:pPr>
      <w:widowControl w:val="0"/>
      <w:tabs>
        <w:tab w:val="center" w:pos="4419"/>
        <w:tab w:val="right" w:pos="8838"/>
      </w:tabs>
    </w:pPr>
    <w:rPr>
      <w:sz w:val="20"/>
      <w:szCs w:val="20"/>
      <w:lang w:eastAsia="en-US"/>
    </w:rPr>
  </w:style>
  <w:style w:type="character" w:customStyle="1" w:styleId="CabealhoChar">
    <w:name w:val="Cabeçalho Char"/>
    <w:basedOn w:val="Fontepargpadro"/>
    <w:link w:val="Cabealho"/>
    <w:uiPriority w:val="99"/>
    <w:semiHidden/>
    <w:locked/>
    <w:rsid w:val="001214F0"/>
    <w:rPr>
      <w:rFonts w:cs="Times New Roman"/>
      <w:sz w:val="24"/>
      <w:szCs w:val="24"/>
    </w:rPr>
  </w:style>
  <w:style w:type="paragraph" w:styleId="Recuodecorpodetexto">
    <w:name w:val="Body Text Indent"/>
    <w:basedOn w:val="Normal"/>
    <w:link w:val="RecuodecorpodetextoChar"/>
    <w:rsid w:val="00C2569A"/>
    <w:pPr>
      <w:ind w:firstLine="708"/>
      <w:jc w:val="both"/>
    </w:pPr>
  </w:style>
  <w:style w:type="character" w:customStyle="1" w:styleId="RecuodecorpodetextoChar">
    <w:name w:val="Recuo de corpo de texto Char"/>
    <w:basedOn w:val="Fontepargpadro"/>
    <w:link w:val="Recuodecorpodetexto"/>
    <w:locked/>
    <w:rsid w:val="00563922"/>
    <w:rPr>
      <w:rFonts w:cs="Times New Roman"/>
      <w:sz w:val="24"/>
      <w:szCs w:val="24"/>
    </w:rPr>
  </w:style>
  <w:style w:type="paragraph" w:styleId="Recuodecorpodetexto2">
    <w:name w:val="Body Text Indent 2"/>
    <w:basedOn w:val="Normal"/>
    <w:link w:val="Recuodecorpodetexto2Char"/>
    <w:uiPriority w:val="99"/>
    <w:rsid w:val="00C2569A"/>
    <w:pPr>
      <w:spacing w:after="120"/>
      <w:ind w:firstLine="709"/>
      <w:jc w:val="both"/>
    </w:pPr>
    <w:rPr>
      <w:szCs w:val="20"/>
    </w:rPr>
  </w:style>
  <w:style w:type="character" w:customStyle="1" w:styleId="Recuodecorpodetexto2Char">
    <w:name w:val="Recuo de corpo de texto 2 Char"/>
    <w:basedOn w:val="Fontepargpadro"/>
    <w:link w:val="Recuodecorpodetexto2"/>
    <w:uiPriority w:val="99"/>
    <w:locked/>
    <w:rsid w:val="00332895"/>
    <w:rPr>
      <w:rFonts w:cs="Times New Roman"/>
      <w:sz w:val="24"/>
    </w:rPr>
  </w:style>
  <w:style w:type="paragraph" w:customStyle="1" w:styleId="xl29">
    <w:name w:val="xl29"/>
    <w:basedOn w:val="Normal"/>
    <w:uiPriority w:val="99"/>
    <w:rsid w:val="00C2569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0">
    <w:name w:val="xl30"/>
    <w:basedOn w:val="Normal"/>
    <w:uiPriority w:val="99"/>
    <w:rsid w:val="00C2569A"/>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1">
    <w:name w:val="xl31"/>
    <w:basedOn w:val="Normal"/>
    <w:uiPriority w:val="99"/>
    <w:rsid w:val="00C2569A"/>
    <w:pPr>
      <w:pBdr>
        <w:top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2">
    <w:name w:val="xl32"/>
    <w:basedOn w:val="Normal"/>
    <w:uiPriority w:val="99"/>
    <w:rsid w:val="00C2569A"/>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3">
    <w:name w:val="xl33"/>
    <w:basedOn w:val="Normal"/>
    <w:uiPriority w:val="99"/>
    <w:rsid w:val="00C2569A"/>
    <w:pPr>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4">
    <w:name w:val="xl34"/>
    <w:basedOn w:val="Normal"/>
    <w:uiPriority w:val="99"/>
    <w:rsid w:val="00C2569A"/>
    <w:pPr>
      <w:pBdr>
        <w:bottom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5">
    <w:name w:val="xl35"/>
    <w:basedOn w:val="Normal"/>
    <w:uiPriority w:val="99"/>
    <w:rsid w:val="00C2569A"/>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6">
    <w:name w:val="xl36"/>
    <w:basedOn w:val="Normal"/>
    <w:uiPriority w:val="99"/>
    <w:rsid w:val="00C256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7">
    <w:name w:val="xl37"/>
    <w:basedOn w:val="Normal"/>
    <w:uiPriority w:val="99"/>
    <w:rsid w:val="00C256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8">
    <w:name w:val="xl38"/>
    <w:basedOn w:val="Normal"/>
    <w:uiPriority w:val="99"/>
    <w:rsid w:val="00C2569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9">
    <w:name w:val="xl39"/>
    <w:basedOn w:val="Normal"/>
    <w:uiPriority w:val="99"/>
    <w:rsid w:val="00C2569A"/>
    <w:pPr>
      <w:spacing w:before="100" w:beforeAutospacing="1" w:after="100" w:afterAutospacing="1"/>
      <w:textAlignment w:val="center"/>
    </w:pPr>
    <w:rPr>
      <w:rFonts w:ascii="Arial" w:eastAsia="Arial Unicode MS" w:hAnsi="Arial" w:cs="Arial"/>
      <w:sz w:val="14"/>
      <w:szCs w:val="14"/>
    </w:rPr>
  </w:style>
  <w:style w:type="paragraph" w:customStyle="1" w:styleId="xl40">
    <w:name w:val="xl40"/>
    <w:basedOn w:val="Normal"/>
    <w:uiPriority w:val="99"/>
    <w:rsid w:val="00C2569A"/>
    <w:pPr>
      <w:spacing w:before="100" w:beforeAutospacing="1" w:after="100" w:afterAutospacing="1"/>
      <w:textAlignment w:val="center"/>
    </w:pPr>
    <w:rPr>
      <w:rFonts w:ascii="Arial" w:eastAsia="Arial Unicode MS" w:hAnsi="Arial" w:cs="Arial"/>
      <w:sz w:val="14"/>
      <w:szCs w:val="14"/>
    </w:rPr>
  </w:style>
  <w:style w:type="paragraph" w:customStyle="1" w:styleId="xl41">
    <w:name w:val="xl41"/>
    <w:basedOn w:val="Normal"/>
    <w:uiPriority w:val="99"/>
    <w:rsid w:val="00C2569A"/>
    <w:pPr>
      <w:spacing w:before="100" w:beforeAutospacing="1" w:after="100" w:afterAutospacing="1"/>
      <w:textAlignment w:val="center"/>
    </w:pPr>
    <w:rPr>
      <w:rFonts w:ascii="Arial" w:eastAsia="Arial Unicode MS" w:hAnsi="Arial" w:cs="Arial"/>
      <w:sz w:val="14"/>
      <w:szCs w:val="14"/>
    </w:rPr>
  </w:style>
  <w:style w:type="paragraph" w:customStyle="1" w:styleId="xl42">
    <w:name w:val="xl42"/>
    <w:basedOn w:val="Normal"/>
    <w:uiPriority w:val="99"/>
    <w:rsid w:val="00C2569A"/>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sz w:val="14"/>
      <w:szCs w:val="14"/>
    </w:rPr>
  </w:style>
  <w:style w:type="paragraph" w:customStyle="1" w:styleId="xl43">
    <w:name w:val="xl43"/>
    <w:basedOn w:val="Normal"/>
    <w:uiPriority w:val="99"/>
    <w:rsid w:val="00C2569A"/>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sz w:val="14"/>
      <w:szCs w:val="14"/>
    </w:rPr>
  </w:style>
  <w:style w:type="paragraph" w:customStyle="1" w:styleId="xl44">
    <w:name w:val="xl44"/>
    <w:basedOn w:val="Normal"/>
    <w:uiPriority w:val="99"/>
    <w:rsid w:val="00C2569A"/>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14"/>
      <w:szCs w:val="14"/>
    </w:rPr>
  </w:style>
  <w:style w:type="paragraph" w:customStyle="1" w:styleId="xl27">
    <w:name w:val="xl27"/>
    <w:basedOn w:val="Normal"/>
    <w:uiPriority w:val="99"/>
    <w:rsid w:val="00C2569A"/>
    <w:pPr>
      <w:spacing w:before="100" w:beforeAutospacing="1" w:after="100" w:afterAutospacing="1"/>
      <w:textAlignment w:val="center"/>
    </w:pPr>
    <w:rPr>
      <w:rFonts w:ascii="Arial" w:eastAsia="Arial Unicode MS" w:hAnsi="Arial" w:cs="Arial"/>
      <w:sz w:val="14"/>
      <w:szCs w:val="14"/>
    </w:rPr>
  </w:style>
  <w:style w:type="paragraph" w:customStyle="1" w:styleId="xl28">
    <w:name w:val="xl28"/>
    <w:basedOn w:val="Normal"/>
    <w:uiPriority w:val="99"/>
    <w:rsid w:val="00C2569A"/>
    <w:pPr>
      <w:spacing w:before="100" w:beforeAutospacing="1" w:after="100" w:afterAutospacing="1"/>
      <w:textAlignment w:val="center"/>
    </w:pPr>
    <w:rPr>
      <w:rFonts w:ascii="Arial" w:eastAsia="Arial Unicode MS" w:hAnsi="Arial" w:cs="Arial"/>
      <w:sz w:val="14"/>
      <w:szCs w:val="14"/>
    </w:rPr>
  </w:style>
  <w:style w:type="paragraph" w:styleId="Rodap">
    <w:name w:val="footer"/>
    <w:basedOn w:val="Normal"/>
    <w:link w:val="RodapChar"/>
    <w:uiPriority w:val="99"/>
    <w:rsid w:val="00C2569A"/>
    <w:pPr>
      <w:tabs>
        <w:tab w:val="center" w:pos="4419"/>
        <w:tab w:val="right" w:pos="8838"/>
      </w:tabs>
    </w:pPr>
  </w:style>
  <w:style w:type="character" w:customStyle="1" w:styleId="RodapChar">
    <w:name w:val="Rodapé Char"/>
    <w:basedOn w:val="Fontepargpadro"/>
    <w:link w:val="Rodap"/>
    <w:uiPriority w:val="99"/>
    <w:semiHidden/>
    <w:locked/>
    <w:rsid w:val="001214F0"/>
    <w:rPr>
      <w:rFonts w:cs="Times New Roman"/>
      <w:sz w:val="24"/>
      <w:szCs w:val="24"/>
    </w:rPr>
  </w:style>
  <w:style w:type="character" w:styleId="Nmerodepgina">
    <w:name w:val="page number"/>
    <w:basedOn w:val="Fontepargpadro"/>
    <w:uiPriority w:val="99"/>
    <w:rsid w:val="00C2569A"/>
    <w:rPr>
      <w:rFonts w:cs="Times New Roman"/>
    </w:rPr>
  </w:style>
  <w:style w:type="paragraph" w:styleId="Corpodetexto">
    <w:name w:val="Body Text"/>
    <w:basedOn w:val="Normal"/>
    <w:link w:val="CorpodetextoChar"/>
    <w:uiPriority w:val="99"/>
    <w:rsid w:val="00C2569A"/>
    <w:pPr>
      <w:jc w:val="both"/>
    </w:pPr>
    <w:rPr>
      <w:szCs w:val="20"/>
    </w:rPr>
  </w:style>
  <w:style w:type="character" w:customStyle="1" w:styleId="CorpodetextoChar">
    <w:name w:val="Corpo de texto Char"/>
    <w:basedOn w:val="Fontepargpadro"/>
    <w:link w:val="Corpodetexto"/>
    <w:uiPriority w:val="99"/>
    <w:semiHidden/>
    <w:locked/>
    <w:rsid w:val="001214F0"/>
    <w:rPr>
      <w:rFonts w:cs="Times New Roman"/>
      <w:sz w:val="24"/>
      <w:szCs w:val="24"/>
    </w:rPr>
  </w:style>
  <w:style w:type="paragraph" w:styleId="Textodenotaderodap">
    <w:name w:val="footnote text"/>
    <w:basedOn w:val="Normal"/>
    <w:link w:val="TextodenotaderodapChar"/>
    <w:uiPriority w:val="99"/>
    <w:semiHidden/>
    <w:rsid w:val="00C2569A"/>
    <w:rPr>
      <w:sz w:val="20"/>
      <w:szCs w:val="20"/>
    </w:rPr>
  </w:style>
  <w:style w:type="character" w:customStyle="1" w:styleId="TextodenotaderodapChar">
    <w:name w:val="Texto de nota de rodapé Char"/>
    <w:basedOn w:val="Fontepargpadro"/>
    <w:link w:val="Textodenotaderodap"/>
    <w:uiPriority w:val="99"/>
    <w:semiHidden/>
    <w:locked/>
    <w:rsid w:val="001214F0"/>
    <w:rPr>
      <w:rFonts w:cs="Times New Roman"/>
      <w:sz w:val="20"/>
      <w:szCs w:val="20"/>
    </w:rPr>
  </w:style>
  <w:style w:type="paragraph" w:customStyle="1" w:styleId="xl24">
    <w:name w:val="xl24"/>
    <w:basedOn w:val="Normal"/>
    <w:uiPriority w:val="99"/>
    <w:rsid w:val="00C2569A"/>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color w:val="000000"/>
      <w:sz w:val="14"/>
      <w:szCs w:val="14"/>
    </w:rPr>
  </w:style>
  <w:style w:type="paragraph" w:customStyle="1" w:styleId="xl25">
    <w:name w:val="xl25"/>
    <w:basedOn w:val="Normal"/>
    <w:uiPriority w:val="99"/>
    <w:rsid w:val="00C2569A"/>
    <w:pPr>
      <w:pBdr>
        <w:top w:val="single" w:sz="4" w:space="0" w:color="auto"/>
        <w:bottom w:val="single" w:sz="4" w:space="0" w:color="auto"/>
      </w:pBdr>
      <w:spacing w:before="100" w:beforeAutospacing="1" w:after="100" w:afterAutospacing="1"/>
      <w:jc w:val="center"/>
    </w:pPr>
    <w:rPr>
      <w:rFonts w:ascii="Arial" w:eastAsia="Arial Unicode MS" w:hAnsi="Arial" w:cs="Arial"/>
      <w:b/>
      <w:bCs/>
      <w:i/>
      <w:iCs/>
      <w:color w:val="000000"/>
      <w:sz w:val="18"/>
      <w:szCs w:val="18"/>
    </w:rPr>
  </w:style>
  <w:style w:type="paragraph" w:customStyle="1" w:styleId="xl26">
    <w:name w:val="xl26"/>
    <w:basedOn w:val="Normal"/>
    <w:uiPriority w:val="99"/>
    <w:rsid w:val="00C2569A"/>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i/>
      <w:iCs/>
      <w:color w:val="000000"/>
      <w:sz w:val="18"/>
      <w:szCs w:val="18"/>
    </w:rPr>
  </w:style>
  <w:style w:type="paragraph" w:customStyle="1" w:styleId="xl45">
    <w:name w:val="xl45"/>
    <w:basedOn w:val="Normal"/>
    <w:uiPriority w:val="99"/>
    <w:rsid w:val="00C2569A"/>
    <w:pPr>
      <w:pBdr>
        <w:bottom w:val="single" w:sz="4" w:space="0" w:color="auto"/>
      </w:pBdr>
      <w:spacing w:before="100" w:beforeAutospacing="1" w:after="100" w:afterAutospacing="1"/>
    </w:pPr>
    <w:rPr>
      <w:rFonts w:ascii="Arial" w:eastAsia="Arial Unicode MS" w:hAnsi="Arial" w:cs="Arial"/>
      <w:color w:val="000000"/>
      <w:sz w:val="16"/>
      <w:szCs w:val="16"/>
    </w:rPr>
  </w:style>
  <w:style w:type="paragraph" w:customStyle="1" w:styleId="xl46">
    <w:name w:val="xl46"/>
    <w:basedOn w:val="Normal"/>
    <w:uiPriority w:val="99"/>
    <w:rsid w:val="00C2569A"/>
    <w:pPr>
      <w:pBdr>
        <w:bottom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47">
    <w:name w:val="xl47"/>
    <w:basedOn w:val="Normal"/>
    <w:uiPriority w:val="99"/>
    <w:rsid w:val="00C2569A"/>
    <w:pPr>
      <w:pBdr>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8">
    <w:name w:val="xl48"/>
    <w:basedOn w:val="Normal"/>
    <w:uiPriority w:val="99"/>
    <w:rsid w:val="00C2569A"/>
    <w:pPr>
      <w:pBdr>
        <w:bottom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49">
    <w:name w:val="xl49"/>
    <w:basedOn w:val="Normal"/>
    <w:uiPriority w:val="99"/>
    <w:rsid w:val="00C2569A"/>
    <w:pPr>
      <w:pBdr>
        <w:bottom w:val="single" w:sz="4" w:space="0" w:color="auto"/>
      </w:pBdr>
      <w:spacing w:before="100" w:beforeAutospacing="1" w:after="100" w:afterAutospacing="1"/>
      <w:jc w:val="right"/>
      <w:textAlignment w:val="center"/>
    </w:pPr>
    <w:rPr>
      <w:rFonts w:ascii="Arial" w:eastAsia="Arial Unicode MS" w:hAnsi="Arial" w:cs="Arial"/>
      <w:sz w:val="16"/>
      <w:szCs w:val="16"/>
    </w:rPr>
  </w:style>
  <w:style w:type="paragraph" w:customStyle="1" w:styleId="xl50">
    <w:name w:val="xl50"/>
    <w:basedOn w:val="Normal"/>
    <w:uiPriority w:val="99"/>
    <w:rsid w:val="00C2569A"/>
    <w:pPr>
      <w:pBdr>
        <w:top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51">
    <w:name w:val="xl51"/>
    <w:basedOn w:val="Normal"/>
    <w:uiPriority w:val="99"/>
    <w:rsid w:val="00C2569A"/>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2">
    <w:name w:val="xl52"/>
    <w:basedOn w:val="Normal"/>
    <w:uiPriority w:val="99"/>
    <w:rsid w:val="00C2569A"/>
    <w:pPr>
      <w:pBdr>
        <w:top w:val="single" w:sz="4" w:space="0" w:color="auto"/>
        <w:bottom w:val="single" w:sz="4" w:space="0" w:color="auto"/>
      </w:pBdr>
      <w:spacing w:before="100" w:beforeAutospacing="1" w:after="100" w:afterAutospacing="1"/>
      <w:jc w:val="right"/>
      <w:textAlignment w:val="center"/>
    </w:pPr>
    <w:rPr>
      <w:rFonts w:ascii="Arial" w:eastAsia="Arial Unicode MS" w:hAnsi="Arial" w:cs="Arial"/>
      <w:sz w:val="16"/>
      <w:szCs w:val="16"/>
    </w:rPr>
  </w:style>
  <w:style w:type="paragraph" w:customStyle="1" w:styleId="xl53">
    <w:name w:val="xl53"/>
    <w:basedOn w:val="Normal"/>
    <w:uiPriority w:val="99"/>
    <w:rsid w:val="00C2569A"/>
    <w:pPr>
      <w:pBdr>
        <w:top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54">
    <w:name w:val="xl54"/>
    <w:basedOn w:val="Normal"/>
    <w:uiPriority w:val="99"/>
    <w:rsid w:val="00C2569A"/>
    <w:pPr>
      <w:spacing w:before="100" w:beforeAutospacing="1" w:after="100" w:afterAutospacing="1"/>
      <w:jc w:val="center"/>
    </w:pPr>
    <w:rPr>
      <w:rFonts w:ascii="Arial" w:eastAsia="Arial Unicode MS" w:hAnsi="Arial" w:cs="Arial"/>
      <w:sz w:val="16"/>
      <w:szCs w:val="16"/>
    </w:rPr>
  </w:style>
  <w:style w:type="paragraph" w:customStyle="1" w:styleId="xl55">
    <w:name w:val="xl55"/>
    <w:basedOn w:val="Normal"/>
    <w:uiPriority w:val="99"/>
    <w:rsid w:val="00C2569A"/>
    <w:pPr>
      <w:spacing w:before="100" w:beforeAutospacing="1" w:after="100" w:afterAutospacing="1"/>
    </w:pPr>
    <w:rPr>
      <w:rFonts w:eastAsia="Arial Unicode MS"/>
    </w:rPr>
  </w:style>
  <w:style w:type="paragraph" w:styleId="Textodebalo">
    <w:name w:val="Balloon Text"/>
    <w:basedOn w:val="Normal"/>
    <w:link w:val="TextodebaloChar"/>
    <w:uiPriority w:val="99"/>
    <w:semiHidden/>
    <w:rsid w:val="00C2569A"/>
    <w:rPr>
      <w:rFonts w:ascii="Tahoma" w:hAnsi="Tahoma" w:cs="Tahoma"/>
      <w:sz w:val="16"/>
      <w:szCs w:val="16"/>
    </w:rPr>
  </w:style>
  <w:style w:type="character" w:customStyle="1" w:styleId="TextodebaloChar">
    <w:name w:val="Texto de balão Char"/>
    <w:basedOn w:val="Fontepargpadro"/>
    <w:link w:val="Textodebalo"/>
    <w:uiPriority w:val="99"/>
    <w:semiHidden/>
    <w:locked/>
    <w:rsid w:val="001214F0"/>
    <w:rPr>
      <w:rFonts w:cs="Times New Roman"/>
      <w:sz w:val="2"/>
    </w:rPr>
  </w:style>
  <w:style w:type="character" w:styleId="Hyperlink">
    <w:name w:val="Hyperlink"/>
    <w:basedOn w:val="Fontepargpadro"/>
    <w:uiPriority w:val="99"/>
    <w:rsid w:val="00C2569A"/>
    <w:rPr>
      <w:rFonts w:cs="Times New Roman"/>
      <w:color w:val="0000FF"/>
      <w:u w:val="single"/>
    </w:rPr>
  </w:style>
  <w:style w:type="character" w:styleId="HiperlinkVisitado">
    <w:name w:val="FollowedHyperlink"/>
    <w:basedOn w:val="Fontepargpadro"/>
    <w:uiPriority w:val="99"/>
    <w:rsid w:val="00C2569A"/>
    <w:rPr>
      <w:rFonts w:cs="Times New Roman"/>
      <w:color w:val="606420"/>
      <w:u w:val="single"/>
    </w:rPr>
  </w:style>
  <w:style w:type="character" w:styleId="Refdenotaderodap">
    <w:name w:val="footnote reference"/>
    <w:basedOn w:val="Fontepargpadro"/>
    <w:uiPriority w:val="99"/>
    <w:semiHidden/>
    <w:unhideWhenUsed/>
    <w:rsid w:val="003B63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261365">
      <w:bodyDiv w:val="1"/>
      <w:marLeft w:val="0"/>
      <w:marRight w:val="0"/>
      <w:marTop w:val="0"/>
      <w:marBottom w:val="0"/>
      <w:divBdr>
        <w:top w:val="none" w:sz="0" w:space="0" w:color="auto"/>
        <w:left w:val="none" w:sz="0" w:space="0" w:color="auto"/>
        <w:bottom w:val="none" w:sz="0" w:space="0" w:color="auto"/>
        <w:right w:val="none" w:sz="0" w:space="0" w:color="auto"/>
      </w:divBdr>
    </w:div>
    <w:div w:id="303974828">
      <w:bodyDiv w:val="1"/>
      <w:marLeft w:val="0"/>
      <w:marRight w:val="0"/>
      <w:marTop w:val="0"/>
      <w:marBottom w:val="0"/>
      <w:divBdr>
        <w:top w:val="none" w:sz="0" w:space="0" w:color="auto"/>
        <w:left w:val="none" w:sz="0" w:space="0" w:color="auto"/>
        <w:bottom w:val="none" w:sz="0" w:space="0" w:color="auto"/>
        <w:right w:val="none" w:sz="0" w:space="0" w:color="auto"/>
      </w:divBdr>
    </w:div>
    <w:div w:id="531378346">
      <w:bodyDiv w:val="1"/>
      <w:marLeft w:val="0"/>
      <w:marRight w:val="0"/>
      <w:marTop w:val="0"/>
      <w:marBottom w:val="0"/>
      <w:divBdr>
        <w:top w:val="none" w:sz="0" w:space="0" w:color="auto"/>
        <w:left w:val="none" w:sz="0" w:space="0" w:color="auto"/>
        <w:bottom w:val="none" w:sz="0" w:space="0" w:color="auto"/>
        <w:right w:val="none" w:sz="0" w:space="0" w:color="auto"/>
      </w:divBdr>
    </w:div>
    <w:div w:id="901676486">
      <w:marLeft w:val="0"/>
      <w:marRight w:val="0"/>
      <w:marTop w:val="0"/>
      <w:marBottom w:val="0"/>
      <w:divBdr>
        <w:top w:val="none" w:sz="0" w:space="0" w:color="auto"/>
        <w:left w:val="none" w:sz="0" w:space="0" w:color="auto"/>
        <w:bottom w:val="none" w:sz="0" w:space="0" w:color="auto"/>
        <w:right w:val="none" w:sz="0" w:space="0" w:color="auto"/>
      </w:divBdr>
    </w:div>
    <w:div w:id="901676487">
      <w:marLeft w:val="0"/>
      <w:marRight w:val="0"/>
      <w:marTop w:val="0"/>
      <w:marBottom w:val="0"/>
      <w:divBdr>
        <w:top w:val="none" w:sz="0" w:space="0" w:color="auto"/>
        <w:left w:val="none" w:sz="0" w:space="0" w:color="auto"/>
        <w:bottom w:val="none" w:sz="0" w:space="0" w:color="auto"/>
        <w:right w:val="none" w:sz="0" w:space="0" w:color="auto"/>
      </w:divBdr>
    </w:div>
    <w:div w:id="901676488">
      <w:marLeft w:val="0"/>
      <w:marRight w:val="0"/>
      <w:marTop w:val="0"/>
      <w:marBottom w:val="0"/>
      <w:divBdr>
        <w:top w:val="none" w:sz="0" w:space="0" w:color="auto"/>
        <w:left w:val="none" w:sz="0" w:space="0" w:color="auto"/>
        <w:bottom w:val="none" w:sz="0" w:space="0" w:color="auto"/>
        <w:right w:val="none" w:sz="0" w:space="0" w:color="auto"/>
      </w:divBdr>
    </w:div>
    <w:div w:id="901676489">
      <w:marLeft w:val="0"/>
      <w:marRight w:val="0"/>
      <w:marTop w:val="0"/>
      <w:marBottom w:val="0"/>
      <w:divBdr>
        <w:top w:val="none" w:sz="0" w:space="0" w:color="auto"/>
        <w:left w:val="none" w:sz="0" w:space="0" w:color="auto"/>
        <w:bottom w:val="none" w:sz="0" w:space="0" w:color="auto"/>
        <w:right w:val="none" w:sz="0" w:space="0" w:color="auto"/>
      </w:divBdr>
    </w:div>
    <w:div w:id="901676490">
      <w:marLeft w:val="0"/>
      <w:marRight w:val="0"/>
      <w:marTop w:val="0"/>
      <w:marBottom w:val="0"/>
      <w:divBdr>
        <w:top w:val="none" w:sz="0" w:space="0" w:color="auto"/>
        <w:left w:val="none" w:sz="0" w:space="0" w:color="auto"/>
        <w:bottom w:val="none" w:sz="0" w:space="0" w:color="auto"/>
        <w:right w:val="none" w:sz="0" w:space="0" w:color="auto"/>
      </w:divBdr>
    </w:div>
    <w:div w:id="901676491">
      <w:marLeft w:val="0"/>
      <w:marRight w:val="0"/>
      <w:marTop w:val="0"/>
      <w:marBottom w:val="0"/>
      <w:divBdr>
        <w:top w:val="none" w:sz="0" w:space="0" w:color="auto"/>
        <w:left w:val="none" w:sz="0" w:space="0" w:color="auto"/>
        <w:bottom w:val="none" w:sz="0" w:space="0" w:color="auto"/>
        <w:right w:val="none" w:sz="0" w:space="0" w:color="auto"/>
      </w:divBdr>
    </w:div>
    <w:div w:id="901676492">
      <w:marLeft w:val="0"/>
      <w:marRight w:val="0"/>
      <w:marTop w:val="0"/>
      <w:marBottom w:val="0"/>
      <w:divBdr>
        <w:top w:val="none" w:sz="0" w:space="0" w:color="auto"/>
        <w:left w:val="none" w:sz="0" w:space="0" w:color="auto"/>
        <w:bottom w:val="none" w:sz="0" w:space="0" w:color="auto"/>
        <w:right w:val="none" w:sz="0" w:space="0" w:color="auto"/>
      </w:divBdr>
    </w:div>
    <w:div w:id="901676493">
      <w:marLeft w:val="0"/>
      <w:marRight w:val="0"/>
      <w:marTop w:val="0"/>
      <w:marBottom w:val="0"/>
      <w:divBdr>
        <w:top w:val="none" w:sz="0" w:space="0" w:color="auto"/>
        <w:left w:val="none" w:sz="0" w:space="0" w:color="auto"/>
        <w:bottom w:val="none" w:sz="0" w:space="0" w:color="auto"/>
        <w:right w:val="none" w:sz="0" w:space="0" w:color="auto"/>
      </w:divBdr>
    </w:div>
    <w:div w:id="901676494">
      <w:marLeft w:val="0"/>
      <w:marRight w:val="0"/>
      <w:marTop w:val="0"/>
      <w:marBottom w:val="0"/>
      <w:divBdr>
        <w:top w:val="none" w:sz="0" w:space="0" w:color="auto"/>
        <w:left w:val="none" w:sz="0" w:space="0" w:color="auto"/>
        <w:bottom w:val="none" w:sz="0" w:space="0" w:color="auto"/>
        <w:right w:val="none" w:sz="0" w:space="0" w:color="auto"/>
      </w:divBdr>
    </w:div>
    <w:div w:id="901676495">
      <w:marLeft w:val="0"/>
      <w:marRight w:val="0"/>
      <w:marTop w:val="0"/>
      <w:marBottom w:val="0"/>
      <w:divBdr>
        <w:top w:val="none" w:sz="0" w:space="0" w:color="auto"/>
        <w:left w:val="none" w:sz="0" w:space="0" w:color="auto"/>
        <w:bottom w:val="none" w:sz="0" w:space="0" w:color="auto"/>
        <w:right w:val="none" w:sz="0" w:space="0" w:color="auto"/>
      </w:divBdr>
    </w:div>
    <w:div w:id="901676496">
      <w:marLeft w:val="0"/>
      <w:marRight w:val="0"/>
      <w:marTop w:val="0"/>
      <w:marBottom w:val="0"/>
      <w:divBdr>
        <w:top w:val="none" w:sz="0" w:space="0" w:color="auto"/>
        <w:left w:val="none" w:sz="0" w:space="0" w:color="auto"/>
        <w:bottom w:val="none" w:sz="0" w:space="0" w:color="auto"/>
        <w:right w:val="none" w:sz="0" w:space="0" w:color="auto"/>
      </w:divBdr>
    </w:div>
    <w:div w:id="901676497">
      <w:marLeft w:val="0"/>
      <w:marRight w:val="0"/>
      <w:marTop w:val="0"/>
      <w:marBottom w:val="0"/>
      <w:divBdr>
        <w:top w:val="none" w:sz="0" w:space="0" w:color="auto"/>
        <w:left w:val="none" w:sz="0" w:space="0" w:color="auto"/>
        <w:bottom w:val="none" w:sz="0" w:space="0" w:color="auto"/>
        <w:right w:val="none" w:sz="0" w:space="0" w:color="auto"/>
      </w:divBdr>
    </w:div>
    <w:div w:id="901676498">
      <w:marLeft w:val="0"/>
      <w:marRight w:val="0"/>
      <w:marTop w:val="0"/>
      <w:marBottom w:val="0"/>
      <w:divBdr>
        <w:top w:val="none" w:sz="0" w:space="0" w:color="auto"/>
        <w:left w:val="none" w:sz="0" w:space="0" w:color="auto"/>
        <w:bottom w:val="none" w:sz="0" w:space="0" w:color="auto"/>
        <w:right w:val="none" w:sz="0" w:space="0" w:color="auto"/>
      </w:divBdr>
    </w:div>
    <w:div w:id="901676499">
      <w:marLeft w:val="0"/>
      <w:marRight w:val="0"/>
      <w:marTop w:val="0"/>
      <w:marBottom w:val="0"/>
      <w:divBdr>
        <w:top w:val="none" w:sz="0" w:space="0" w:color="auto"/>
        <w:left w:val="none" w:sz="0" w:space="0" w:color="auto"/>
        <w:bottom w:val="none" w:sz="0" w:space="0" w:color="auto"/>
        <w:right w:val="none" w:sz="0" w:space="0" w:color="auto"/>
      </w:divBdr>
    </w:div>
    <w:div w:id="901676500">
      <w:marLeft w:val="0"/>
      <w:marRight w:val="0"/>
      <w:marTop w:val="0"/>
      <w:marBottom w:val="0"/>
      <w:divBdr>
        <w:top w:val="none" w:sz="0" w:space="0" w:color="auto"/>
        <w:left w:val="none" w:sz="0" w:space="0" w:color="auto"/>
        <w:bottom w:val="none" w:sz="0" w:space="0" w:color="auto"/>
        <w:right w:val="none" w:sz="0" w:space="0" w:color="auto"/>
      </w:divBdr>
    </w:div>
    <w:div w:id="901676501">
      <w:marLeft w:val="0"/>
      <w:marRight w:val="0"/>
      <w:marTop w:val="0"/>
      <w:marBottom w:val="0"/>
      <w:divBdr>
        <w:top w:val="none" w:sz="0" w:space="0" w:color="auto"/>
        <w:left w:val="none" w:sz="0" w:space="0" w:color="auto"/>
        <w:bottom w:val="none" w:sz="0" w:space="0" w:color="auto"/>
        <w:right w:val="none" w:sz="0" w:space="0" w:color="auto"/>
      </w:divBdr>
    </w:div>
    <w:div w:id="901676502">
      <w:marLeft w:val="0"/>
      <w:marRight w:val="0"/>
      <w:marTop w:val="0"/>
      <w:marBottom w:val="0"/>
      <w:divBdr>
        <w:top w:val="none" w:sz="0" w:space="0" w:color="auto"/>
        <w:left w:val="none" w:sz="0" w:space="0" w:color="auto"/>
        <w:bottom w:val="none" w:sz="0" w:space="0" w:color="auto"/>
        <w:right w:val="none" w:sz="0" w:space="0" w:color="auto"/>
      </w:divBdr>
    </w:div>
    <w:div w:id="901676503">
      <w:marLeft w:val="0"/>
      <w:marRight w:val="0"/>
      <w:marTop w:val="0"/>
      <w:marBottom w:val="0"/>
      <w:divBdr>
        <w:top w:val="none" w:sz="0" w:space="0" w:color="auto"/>
        <w:left w:val="none" w:sz="0" w:space="0" w:color="auto"/>
        <w:bottom w:val="none" w:sz="0" w:space="0" w:color="auto"/>
        <w:right w:val="none" w:sz="0" w:space="0" w:color="auto"/>
      </w:divBdr>
    </w:div>
    <w:div w:id="901676504">
      <w:marLeft w:val="0"/>
      <w:marRight w:val="0"/>
      <w:marTop w:val="0"/>
      <w:marBottom w:val="0"/>
      <w:divBdr>
        <w:top w:val="none" w:sz="0" w:space="0" w:color="auto"/>
        <w:left w:val="none" w:sz="0" w:space="0" w:color="auto"/>
        <w:bottom w:val="none" w:sz="0" w:space="0" w:color="auto"/>
        <w:right w:val="none" w:sz="0" w:space="0" w:color="auto"/>
      </w:divBdr>
    </w:div>
    <w:div w:id="901676505">
      <w:marLeft w:val="0"/>
      <w:marRight w:val="0"/>
      <w:marTop w:val="0"/>
      <w:marBottom w:val="0"/>
      <w:divBdr>
        <w:top w:val="none" w:sz="0" w:space="0" w:color="auto"/>
        <w:left w:val="none" w:sz="0" w:space="0" w:color="auto"/>
        <w:bottom w:val="none" w:sz="0" w:space="0" w:color="auto"/>
        <w:right w:val="none" w:sz="0" w:space="0" w:color="auto"/>
      </w:divBdr>
    </w:div>
    <w:div w:id="901676506">
      <w:marLeft w:val="0"/>
      <w:marRight w:val="0"/>
      <w:marTop w:val="0"/>
      <w:marBottom w:val="0"/>
      <w:divBdr>
        <w:top w:val="none" w:sz="0" w:space="0" w:color="auto"/>
        <w:left w:val="none" w:sz="0" w:space="0" w:color="auto"/>
        <w:bottom w:val="none" w:sz="0" w:space="0" w:color="auto"/>
        <w:right w:val="none" w:sz="0" w:space="0" w:color="auto"/>
      </w:divBdr>
    </w:div>
    <w:div w:id="901676507">
      <w:marLeft w:val="0"/>
      <w:marRight w:val="0"/>
      <w:marTop w:val="0"/>
      <w:marBottom w:val="0"/>
      <w:divBdr>
        <w:top w:val="none" w:sz="0" w:space="0" w:color="auto"/>
        <w:left w:val="none" w:sz="0" w:space="0" w:color="auto"/>
        <w:bottom w:val="none" w:sz="0" w:space="0" w:color="auto"/>
        <w:right w:val="none" w:sz="0" w:space="0" w:color="auto"/>
      </w:divBdr>
    </w:div>
    <w:div w:id="901676508">
      <w:marLeft w:val="0"/>
      <w:marRight w:val="0"/>
      <w:marTop w:val="0"/>
      <w:marBottom w:val="0"/>
      <w:divBdr>
        <w:top w:val="none" w:sz="0" w:space="0" w:color="auto"/>
        <w:left w:val="none" w:sz="0" w:space="0" w:color="auto"/>
        <w:bottom w:val="none" w:sz="0" w:space="0" w:color="auto"/>
        <w:right w:val="none" w:sz="0" w:space="0" w:color="auto"/>
      </w:divBdr>
    </w:div>
    <w:div w:id="901676509">
      <w:marLeft w:val="0"/>
      <w:marRight w:val="0"/>
      <w:marTop w:val="0"/>
      <w:marBottom w:val="0"/>
      <w:divBdr>
        <w:top w:val="none" w:sz="0" w:space="0" w:color="auto"/>
        <w:left w:val="none" w:sz="0" w:space="0" w:color="auto"/>
        <w:bottom w:val="none" w:sz="0" w:space="0" w:color="auto"/>
        <w:right w:val="none" w:sz="0" w:space="0" w:color="auto"/>
      </w:divBdr>
    </w:div>
    <w:div w:id="901676510">
      <w:marLeft w:val="0"/>
      <w:marRight w:val="0"/>
      <w:marTop w:val="0"/>
      <w:marBottom w:val="0"/>
      <w:divBdr>
        <w:top w:val="none" w:sz="0" w:space="0" w:color="auto"/>
        <w:left w:val="none" w:sz="0" w:space="0" w:color="auto"/>
        <w:bottom w:val="none" w:sz="0" w:space="0" w:color="auto"/>
        <w:right w:val="none" w:sz="0" w:space="0" w:color="auto"/>
      </w:divBdr>
    </w:div>
    <w:div w:id="901676511">
      <w:marLeft w:val="0"/>
      <w:marRight w:val="0"/>
      <w:marTop w:val="0"/>
      <w:marBottom w:val="0"/>
      <w:divBdr>
        <w:top w:val="none" w:sz="0" w:space="0" w:color="auto"/>
        <w:left w:val="none" w:sz="0" w:space="0" w:color="auto"/>
        <w:bottom w:val="none" w:sz="0" w:space="0" w:color="auto"/>
        <w:right w:val="none" w:sz="0" w:space="0" w:color="auto"/>
      </w:divBdr>
    </w:div>
    <w:div w:id="901676512">
      <w:marLeft w:val="0"/>
      <w:marRight w:val="0"/>
      <w:marTop w:val="0"/>
      <w:marBottom w:val="0"/>
      <w:divBdr>
        <w:top w:val="none" w:sz="0" w:space="0" w:color="auto"/>
        <w:left w:val="none" w:sz="0" w:space="0" w:color="auto"/>
        <w:bottom w:val="none" w:sz="0" w:space="0" w:color="auto"/>
        <w:right w:val="none" w:sz="0" w:space="0" w:color="auto"/>
      </w:divBdr>
    </w:div>
    <w:div w:id="901676513">
      <w:marLeft w:val="0"/>
      <w:marRight w:val="0"/>
      <w:marTop w:val="0"/>
      <w:marBottom w:val="0"/>
      <w:divBdr>
        <w:top w:val="none" w:sz="0" w:space="0" w:color="auto"/>
        <w:left w:val="none" w:sz="0" w:space="0" w:color="auto"/>
        <w:bottom w:val="none" w:sz="0" w:space="0" w:color="auto"/>
        <w:right w:val="none" w:sz="0" w:space="0" w:color="auto"/>
      </w:divBdr>
    </w:div>
    <w:div w:id="901676514">
      <w:marLeft w:val="0"/>
      <w:marRight w:val="0"/>
      <w:marTop w:val="0"/>
      <w:marBottom w:val="0"/>
      <w:divBdr>
        <w:top w:val="none" w:sz="0" w:space="0" w:color="auto"/>
        <w:left w:val="none" w:sz="0" w:space="0" w:color="auto"/>
        <w:bottom w:val="none" w:sz="0" w:space="0" w:color="auto"/>
        <w:right w:val="none" w:sz="0" w:space="0" w:color="auto"/>
      </w:divBdr>
    </w:div>
    <w:div w:id="901676515">
      <w:marLeft w:val="0"/>
      <w:marRight w:val="0"/>
      <w:marTop w:val="0"/>
      <w:marBottom w:val="0"/>
      <w:divBdr>
        <w:top w:val="none" w:sz="0" w:space="0" w:color="auto"/>
        <w:left w:val="none" w:sz="0" w:space="0" w:color="auto"/>
        <w:bottom w:val="none" w:sz="0" w:space="0" w:color="auto"/>
        <w:right w:val="none" w:sz="0" w:space="0" w:color="auto"/>
      </w:divBdr>
    </w:div>
    <w:div w:id="901676516">
      <w:marLeft w:val="0"/>
      <w:marRight w:val="0"/>
      <w:marTop w:val="0"/>
      <w:marBottom w:val="0"/>
      <w:divBdr>
        <w:top w:val="none" w:sz="0" w:space="0" w:color="auto"/>
        <w:left w:val="none" w:sz="0" w:space="0" w:color="auto"/>
        <w:bottom w:val="none" w:sz="0" w:space="0" w:color="auto"/>
        <w:right w:val="none" w:sz="0" w:space="0" w:color="auto"/>
      </w:divBdr>
    </w:div>
    <w:div w:id="901676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agrostat.agricultura.gov.br"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190737-7AAD-4DE9-A04C-1D7413550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Pages>
  <Words>4611</Words>
  <Characters>24905</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Resultados do mês</vt:lpstr>
    </vt:vector>
  </TitlesOfParts>
  <Company>.</Company>
  <LinksUpToDate>false</LinksUpToDate>
  <CharactersWithSpaces>29458</CharactersWithSpaces>
  <SharedDoc>false</SharedDoc>
  <HLinks>
    <vt:vector size="6" baseType="variant">
      <vt:variant>
        <vt:i4>6553635</vt:i4>
      </vt:variant>
      <vt:variant>
        <vt:i4>0</vt:i4>
      </vt:variant>
      <vt:variant>
        <vt:i4>0</vt:i4>
      </vt:variant>
      <vt:variant>
        <vt:i4>5</vt:i4>
      </vt:variant>
      <vt:variant>
        <vt:lpwstr>http://www.agrostat.agricultura.gov.br/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Resultados do mês</dc:title>
  <dc:subject/>
  <dc:creator>.</dc:creator>
  <cp:keywords/>
  <cp:lastModifiedBy>Gastao Giometti</cp:lastModifiedBy>
  <cp:revision>19</cp:revision>
  <cp:lastPrinted>2015-01-09T11:18:00Z</cp:lastPrinted>
  <dcterms:created xsi:type="dcterms:W3CDTF">2018-05-10T13:14:00Z</dcterms:created>
  <dcterms:modified xsi:type="dcterms:W3CDTF">2018-05-11T21:00:00Z</dcterms:modified>
</cp:coreProperties>
</file>