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00B3" w14:textId="77777777" w:rsidR="00C21CE0" w:rsidRPr="009A094C" w:rsidRDefault="00C21CE0" w:rsidP="00A814A2">
      <w:pPr>
        <w:rPr>
          <w:b/>
          <w:bCs/>
        </w:rPr>
      </w:pPr>
      <w:r w:rsidRPr="009A094C">
        <w:rPr>
          <w:b/>
          <w:bCs/>
        </w:rPr>
        <w:t>MINISTÉRIO DA AGRICULTURA, PECUÁRIA E ABASTECIMENTO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D53AD58"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14:paraId="3E2DECB3" w14:textId="4EEDD2B7"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14:paraId="6014065D" w14:textId="77777777" w:rsidR="00C21CE0" w:rsidRDefault="00C21CE0" w:rsidP="00BA3003">
      <w:pPr>
        <w:jc w:val="both"/>
      </w:pPr>
    </w:p>
    <w:p w14:paraId="7B4C9DFA" w14:textId="38ADECE4" w:rsidR="00692A0D" w:rsidRDefault="009A094C" w:rsidP="00EA2E8B">
      <w:pPr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FF6B53">
        <w:rPr>
          <w:b/>
          <w:bCs/>
        </w:rPr>
        <w:t>DEZEMBRO</w:t>
      </w:r>
      <w:r w:rsidRPr="00C21CE0">
        <w:rPr>
          <w:b/>
          <w:bCs/>
        </w:rPr>
        <w:t>/</w:t>
      </w:r>
      <w:r w:rsidR="00AA396D">
        <w:rPr>
          <w:b/>
          <w:bCs/>
        </w:rPr>
        <w:t>2023</w:t>
      </w:r>
    </w:p>
    <w:p w14:paraId="0136964A" w14:textId="77777777" w:rsidR="009A094C" w:rsidRPr="00C21CE0" w:rsidRDefault="009A094C" w:rsidP="00BA3003">
      <w:pPr>
        <w:jc w:val="both"/>
        <w:rPr>
          <w:b/>
          <w:bCs/>
        </w:rPr>
      </w:pPr>
    </w:p>
    <w:p w14:paraId="461D5BD2" w14:textId="2E156AEB" w:rsidR="00C21CE0" w:rsidRDefault="009D4328" w:rsidP="00BA3003">
      <w:pPr>
        <w:jc w:val="both"/>
      </w:pPr>
      <w:r w:rsidRPr="009D4328">
        <w:rPr>
          <w:noProof/>
          <w:lang w:eastAsia="pt-BR"/>
        </w:rPr>
        <w:drawing>
          <wp:inline distT="0" distB="0" distL="0" distR="0" wp14:anchorId="06B3874D" wp14:editId="4D04741D">
            <wp:extent cx="6188710" cy="2809875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06CD" w14:textId="277B85EB" w:rsid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r w:rsidR="00FF6B53">
        <w:rPr>
          <w:b/>
          <w:bCs/>
        </w:rPr>
        <w:t>Dezembro</w:t>
      </w:r>
      <w:r w:rsidRPr="00C21CE0">
        <w:rPr>
          <w:b/>
          <w:bCs/>
        </w:rPr>
        <w:t>/</w:t>
      </w:r>
      <w:r w:rsidR="00AA396D">
        <w:rPr>
          <w:b/>
          <w:bCs/>
        </w:rPr>
        <w:t>2023</w:t>
      </w:r>
      <w:r w:rsidRPr="00C21CE0">
        <w:rPr>
          <w:b/>
          <w:bCs/>
        </w:rPr>
        <w:t xml:space="preserve"> – </w:t>
      </w:r>
      <w:r w:rsidR="00FF6B53">
        <w:rPr>
          <w:b/>
          <w:bCs/>
        </w:rPr>
        <w:t>Dezembro</w:t>
      </w:r>
      <w:r w:rsidRPr="00C21CE0">
        <w:rPr>
          <w:b/>
          <w:bCs/>
        </w:rPr>
        <w:t>/</w:t>
      </w:r>
      <w:r w:rsidR="00AA396D">
        <w:rPr>
          <w:b/>
          <w:bCs/>
        </w:rPr>
        <w:t>2022</w:t>
      </w:r>
      <w:r w:rsidRPr="00C21CE0">
        <w:rPr>
          <w:b/>
          <w:bCs/>
        </w:rPr>
        <w:t>)</w:t>
      </w:r>
    </w:p>
    <w:p w14:paraId="52F6E331" w14:textId="77777777" w:rsidR="004B1B9D" w:rsidRDefault="004B1B9D" w:rsidP="004B1B9D">
      <w:pPr>
        <w:jc w:val="both"/>
      </w:pPr>
      <w:r>
        <w:t xml:space="preserve">Em dezembro de 2023, as exportações brasileiras do agronegócio alcançaram a cifra de US$ 13,51 bilhões, o que representou crescimento de 20,9% em comparação aos US$ 11,17 bilhões exportados no mesmo mês do ano anterior. Com tais valores, o setor obteve participação de 46,8% do total das exportações brasileiras realizadas no período (US$ 28,84 bilhões), 4,4 pontos percentuais acima da participação verificada em dezembro de 2022 (42,4%). </w:t>
      </w:r>
    </w:p>
    <w:p w14:paraId="6476B2D4" w14:textId="77777777" w:rsidR="004B1B9D" w:rsidRDefault="004B1B9D" w:rsidP="004B1B9D">
      <w:pPr>
        <w:jc w:val="both"/>
      </w:pPr>
      <w:r>
        <w:t xml:space="preserve">O resultado das vendas externas continua sendo fortemente influenciado por duas variáveis: aumento do volume exportado em função da safra recorde brasileira de grãos 2022/2023 e a queda internacional dos preços das commodities agrícolas. A diminuição do índice de preços apurado na cesta de exportação brasileira do agronegócio foi de 6,1%, enquanto nesse mês de dezembro o índice de </w:t>
      </w:r>
      <w:r w:rsidRPr="008E3673">
        <w:rPr>
          <w:i/>
        </w:rPr>
        <w:t>quantum</w:t>
      </w:r>
      <w:r>
        <w:t xml:space="preserve"> das vendas externas subiu 28,9% em relação a dezembro de 2022.</w:t>
      </w:r>
    </w:p>
    <w:p w14:paraId="38B75BAA" w14:textId="77777777" w:rsidR="004B1B9D" w:rsidRDefault="004B1B9D" w:rsidP="004B1B9D">
      <w:pPr>
        <w:jc w:val="both"/>
      </w:pPr>
      <w:r>
        <w:t xml:space="preserve">Já as importações totalizaram neste mês US$ 1,40 bilhão, ante a soma de US$ 1,44 bilhão registrada em </w:t>
      </w:r>
      <w:proofErr w:type="gramStart"/>
      <w:r>
        <w:t>dezembro</w:t>
      </w:r>
      <w:proofErr w:type="gramEnd"/>
      <w:r>
        <w:t xml:space="preserve"> de 2022, o que significou retração de 3,2% na comparação entre os períodos. Apesar da queda em valor, as importações do agronegócio apresentaram crescimento de participação de 6,6% para 7,2%, tendo em vista que a queda das aquisições dos demais setores da economia brasileira foi mais aguda (-11,2%)</w:t>
      </w:r>
      <w:r>
        <w:rPr>
          <w:rStyle w:val="Refdenotaderodap"/>
        </w:rPr>
        <w:footnoteReference w:id="1"/>
      </w:r>
      <w:r>
        <w:t>.</w:t>
      </w:r>
    </w:p>
    <w:p w14:paraId="6C6F1A86" w14:textId="3DFE87ED" w:rsidR="00F15DD5" w:rsidRPr="00535CFB" w:rsidRDefault="00F15DD5" w:rsidP="00F15DD5">
      <w:pPr>
        <w:jc w:val="both"/>
        <w:rPr>
          <w:b/>
          <w:bCs/>
        </w:rPr>
      </w:pPr>
      <w:proofErr w:type="spellStart"/>
      <w:r w:rsidRPr="00535CFB">
        <w:rPr>
          <w:b/>
          <w:bCs/>
        </w:rPr>
        <w:lastRenderedPageBreak/>
        <w:t>I.a</w:t>
      </w:r>
      <w:proofErr w:type="spellEnd"/>
      <w:r w:rsidRPr="00535CFB">
        <w:rPr>
          <w:b/>
          <w:bCs/>
        </w:rPr>
        <w:t xml:space="preserve"> – Setores do Agronegócio</w:t>
      </w:r>
    </w:p>
    <w:p w14:paraId="2C49A9FD" w14:textId="77777777" w:rsidR="004B1B9D" w:rsidRDefault="004B1B9D" w:rsidP="004B1B9D">
      <w:pPr>
        <w:jc w:val="both"/>
      </w:pPr>
      <w:r>
        <w:t xml:space="preserve">Em dezembro de 2023, os principais setores exportadores do agronegócio brasileiro foram: complexo soja, com vendas de US$ 3,10 bilhões, com 22,9% de participação; complexo sucroalcooleiro, com exportações de US$ 2,21 bilhões e </w:t>
      </w:r>
      <w:proofErr w:type="spellStart"/>
      <w:r w:rsidRPr="004F23B1">
        <w:rPr>
          <w:i/>
        </w:rPr>
        <w:t>market</w:t>
      </w:r>
      <w:proofErr w:type="spellEnd"/>
      <w:r w:rsidRPr="004F23B1">
        <w:rPr>
          <w:i/>
        </w:rPr>
        <w:t xml:space="preserve"> </w:t>
      </w:r>
      <w:proofErr w:type="spellStart"/>
      <w:r w:rsidRPr="004F23B1">
        <w:rPr>
          <w:i/>
        </w:rPr>
        <w:t>share</w:t>
      </w:r>
      <w:proofErr w:type="spellEnd"/>
      <w:r>
        <w:t xml:space="preserve"> de 16,4%; carnes, com US$ 2,11 bilhões e participação de 15,6%; cereais, farinhas e preparações, com vendas de US$ 1,54 bilhão e 11,4% de participação; e produtos florestais, com montante negociado de US$ 1,23 bilhão e </w:t>
      </w:r>
      <w:proofErr w:type="spellStart"/>
      <w:r w:rsidRPr="004F23B1">
        <w:rPr>
          <w:i/>
        </w:rPr>
        <w:t>share</w:t>
      </w:r>
      <w:proofErr w:type="spellEnd"/>
      <w:r>
        <w:rPr>
          <w:i/>
        </w:rPr>
        <w:t xml:space="preserve"> </w:t>
      </w:r>
      <w:r>
        <w:t>de 9,1%.</w:t>
      </w:r>
    </w:p>
    <w:p w14:paraId="210B1858" w14:textId="77777777" w:rsidR="004B1B9D" w:rsidRDefault="004B1B9D" w:rsidP="004B1B9D">
      <w:pPr>
        <w:jc w:val="both"/>
      </w:pPr>
      <w:r>
        <w:t>O setor com maior valor exportado nesse mês foi o complexo soja, com a cifra de US$ 3,10 bilhões e crescimento de 77,5% na quantidade comercializada, além de queda de 17,2% no preço médio dos produtos do setor, o que gerou expansão de 47,0% em valor. O principal produto negociado foi a soja em grãos, com US$ 1,99 bilhão e 3,83 milhões de toneladas embarcadas (+97,8%), com queda do preço médio de exportação de 16,0% (US$ 520,0 por tonelada), o que possibilitou incremento de 66,2% na receita. O principal comprador da soja brasileira no mês de dezembro foi a China, com o montante de US$ 1,72 bilhão e participação de 86,5%, seguida pela Turquia, com US$ 69,07 milhões (3,5% do total) e pela Tailândia, com US$ 64,33 milhões (3,2%).</w:t>
      </w:r>
    </w:p>
    <w:p w14:paraId="41B19BBF" w14:textId="77777777" w:rsidR="004B1B9D" w:rsidRDefault="004B1B9D" w:rsidP="004B1B9D">
      <w:pPr>
        <w:jc w:val="both"/>
      </w:pPr>
      <w:r>
        <w:t xml:space="preserve">O segundo produto do setor foi o farelo de soja, com vendas externas de US$ 1,0 bilhão. A elevação de 79,4% no valor comercializado foi consequência do crescimento de 75,1% no volume embarcado (2,0 milhões de toneladas) e da alta de 2,4% na cotação média do produto (US$ 502 por tonelada). Os principais destinos do farelo no mês foram: União Europeia (US$ 409,33 milhões, +32,9%), Irã (US$ 167,02 milhões, não houve exportações em 2022) e Indonésia (US$ 143,44 milhões, +50,2%). Já as vendas externas de óleo de soja caíram 70,1% em relação a dezembro de 2022, com a cifra de US$ 104,54 milhões, com redução de 62,8% na quantidade negociada (97,18 mil toneladas) e queda de 19,8% no preço. </w:t>
      </w:r>
    </w:p>
    <w:p w14:paraId="55B0B591" w14:textId="77777777" w:rsidR="004B1B9D" w:rsidRDefault="004B1B9D" w:rsidP="004B1B9D">
      <w:pPr>
        <w:jc w:val="both"/>
      </w:pPr>
      <w:r>
        <w:t xml:space="preserve">O segundo principal setor em valor de exportação foi o complexo sucroalcooleiro, com US$ 2,21 bilhões e participação de 16,4% do total exportado pelo agronegócio brasileiro em dezembro de 2023. A expansão de 88,5% no valor exportado ocorreu em função da elevação de 67,0% no volume comercializado e da alta de 12,9% no preço médio dos produtos do setor. O produto que se destacou nas vendas do período foi o açúcar, com a soma de US$ 2,04 bilhões (+113,7%). Foram embarcadas 3,85 milhões de toneladas da mercadoria (+74,9%) ao preço médio de US$ 529 por tonelada (+22,2%). Os principais mercados de destino do açúcar de cana em bruto brasileiro foram: China, com US$ 330,65 milhões, crescimento de 108,6% ante dezembro de 2022 e 19,1% de participação; Índia (US$ 262,90 milhões, +738,3% e 15,2% de participação); Malásia (US$ 141,62 milhões e 8,2% de </w:t>
      </w:r>
      <w:proofErr w:type="spellStart"/>
      <w:r>
        <w:rPr>
          <w:i/>
        </w:rPr>
        <w:t>m</w:t>
      </w:r>
      <w:r w:rsidRPr="004B3824">
        <w:rPr>
          <w:i/>
        </w:rPr>
        <w:t>arket</w:t>
      </w:r>
      <w:proofErr w:type="spellEnd"/>
      <w:r w:rsidRPr="004B3824">
        <w:rPr>
          <w:i/>
        </w:rPr>
        <w:t xml:space="preserve"> </w:t>
      </w:r>
      <w:proofErr w:type="spellStart"/>
      <w:r w:rsidRPr="004B3824">
        <w:rPr>
          <w:i/>
        </w:rPr>
        <w:t>share</w:t>
      </w:r>
      <w:proofErr w:type="spellEnd"/>
      <w:r>
        <w:t>); Marrocos (US$ 102,19 milhões, +162,4% e 5,9%); Egito (US$ 101,61 milhões, -0,6% e 5,9%); Estados Unidos (US$ 98,69 milhões, +319,6% e 5,7%); e Canadá (US$ 90,66 milhões, +123,1% e 5,2%). As exportações de álcool totalizaram US$ 175,79 milhões, com queda de 20,4% em valor, resultado de redução em quantidade (-1,8%) e preço (-19,0%).</w:t>
      </w:r>
    </w:p>
    <w:p w14:paraId="77326AF1" w14:textId="77777777" w:rsidR="004B1B9D" w:rsidRDefault="004B1B9D" w:rsidP="004B1B9D">
      <w:pPr>
        <w:jc w:val="both"/>
      </w:pPr>
      <w:r>
        <w:t xml:space="preserve">O terceiro principal setor do agronegócio em valor de vendas foi o de carnes, com a cifra de US$ 2,11 bilhões e participação de 15,6%. O incremento de 22,6% na quantidade comercializada foi o grande responsável pela elevação da receita (+11,6%), tendo em vista que a cotação média dos produtos do setor recuou em 9,0% no período. A principal mercadoria negociada foi a carne bovina, com exportações de US$ 1,03 bilhão e crescimento de 24,2% em relação aos US$ 831,68 milhões exportados em dezembro de 2022. Verificou-se expansão de 35,4% no </w:t>
      </w:r>
      <w:r w:rsidRPr="00F72754">
        <w:rPr>
          <w:i/>
        </w:rPr>
        <w:t>quantum</w:t>
      </w:r>
      <w:r>
        <w:t xml:space="preserve"> comercializado, com 234,58 mil toneladas, além de queda de 8,3% no preço do produto brasileiro enviado ao mercado internacional (US$ 4.404 por tonelada). Os mercados que mais expandiram as suas aquisições da carne bovina </w:t>
      </w:r>
      <w:r w:rsidRPr="00B322A7">
        <w:rPr>
          <w:i/>
        </w:rPr>
        <w:t>in natura</w:t>
      </w:r>
      <w:r>
        <w:t xml:space="preserve"> do Brasil no período foram: Emirados Árabes Unidos (+US$ 47,39 milhões), Estados Unidos (+US$ 46,25 milhões), China (+US$ 32,83 milhões) e Egito (+US$ 15,01 milhões). Em seguida destacaram-se as exportações de carne de frango, com o total de US$ 804,31 milhões, com crescimento de 5,5% ante os US$ 762,41 milhões registrados em dezembro do ano anterior. Houve elevação de 22,6% no volume vendido (455,03 mil toneladas) e retração de 14,0% no preço médio. Os </w:t>
      </w:r>
      <w:r>
        <w:lastRenderedPageBreak/>
        <w:t xml:space="preserve">principais destinos da carne de frango </w:t>
      </w:r>
      <w:r w:rsidRPr="00B322A7">
        <w:rPr>
          <w:i/>
        </w:rPr>
        <w:t>in natura</w:t>
      </w:r>
      <w:r>
        <w:t xml:space="preserve"> brasileira no período foram: China, com US$ 109,95 milhões (-11,6%); Japão, com US$ 107,47 milhões (+30,1%); Emirados Árabes Unidos, com US$ 84,02 milhões (+16,4%); e Arábia Saudita, com US$ 78,50 milhões (+25,6%). Já as vendas externas de carne suína somaram US$ 229,24 milhões no mês (-8,7%), com 108,21 mil toneladas (+7,1%) e preço médio de US$ 2.118 por tonelada (-14,7%).</w:t>
      </w:r>
    </w:p>
    <w:p w14:paraId="643D95A3" w14:textId="77777777" w:rsidR="004B1B9D" w:rsidRDefault="004B1B9D" w:rsidP="004B1B9D">
      <w:pPr>
        <w:jc w:val="both"/>
      </w:pPr>
      <w:r>
        <w:t xml:space="preserve">Na quarta colocação entre os setores do agronegócio que mais exportaram em dezembro de 2023, destacou-se o segmento de cereais, farinhas e preparações, com o montante de US$ 1,54 bilhão e participação de 11,4%. A diminuição do valor exportado na comparação entre períodos (-27,5%) foi resultante da retração da quantidade vendida (-6,8%) e da queda das cotações dos produtos do setor (-22,2%). O principal item comercializado foi o milho, cujas exportações representaram 89,1% do total, com US$ 1,37 bilhão. A vendas do cereal caíram 23,4% em relação ao mesmo mês de 2022, sobretudo pela queda de 21,1% no preço. Com 6,06 milhões de toneladas embarcadas em dezembro de 2023, houve redução de 2,9% em </w:t>
      </w:r>
      <w:r w:rsidRPr="00E2619C">
        <w:rPr>
          <w:i/>
        </w:rPr>
        <w:t>quantum</w:t>
      </w:r>
      <w:r>
        <w:t>. Os principais compradores do milho brasileiro no período foram: China (US$ 447,53 milhões, +45,2%), Vietnã (US$ 181,56 milhões, +72,1%), Irã (US$ 114,70 milhões, -50,1%), Argélia (US$ 94,35 milhões, +0,6%) e Japão (US$ 85,65 milhões, -39,0%).</w:t>
      </w:r>
    </w:p>
    <w:p w14:paraId="29A2723F" w14:textId="77777777" w:rsidR="004B1B9D" w:rsidRDefault="004B1B9D" w:rsidP="004B1B9D">
      <w:pPr>
        <w:jc w:val="both"/>
      </w:pPr>
      <w:r>
        <w:t xml:space="preserve">Por fim, na quinta colocação do mês de dezembro, destacaram-se os produtos florestais, com a cifra de US$ 1,23 bilhão (+4,3%) e participação de 9,1% no total exportado pelo agronegócio brasileiro no período. O principal produto comercializado pelo setor foi a celulose, com US$ 709,74 milhões (+5,3%) e 1,75 milhão de toneladas embarcadas (+14,9%), com preço médio de 405 por tonelada (-8,3%). O principal destino do produto no mês foi a China, com US$ 397,03 milhões e 55,9% de </w:t>
      </w:r>
      <w:proofErr w:type="spellStart"/>
      <w:r>
        <w:rPr>
          <w:i/>
        </w:rPr>
        <w:t>m</w:t>
      </w:r>
      <w:r w:rsidRPr="006D0F55">
        <w:rPr>
          <w:i/>
        </w:rPr>
        <w:t>arket</w:t>
      </w:r>
      <w:proofErr w:type="spellEnd"/>
      <w:r w:rsidRPr="006D0F55">
        <w:rPr>
          <w:i/>
        </w:rPr>
        <w:t xml:space="preserve"> </w:t>
      </w:r>
      <w:proofErr w:type="spellStart"/>
      <w:r w:rsidRPr="006D0F55">
        <w:rPr>
          <w:i/>
        </w:rPr>
        <w:t>share</w:t>
      </w:r>
      <w:proofErr w:type="spellEnd"/>
      <w:r>
        <w:rPr>
          <w:i/>
        </w:rPr>
        <w:t xml:space="preserve">, </w:t>
      </w:r>
      <w:r w:rsidRPr="006D0F55">
        <w:t>seguida pela</w:t>
      </w:r>
      <w:r>
        <w:t xml:space="preserve"> União Europeia (US$ 117,83 milhões, 16,6%) e Estados Unidos (US$ 64,83 milhões e 9,1%). As exportações de madeira também se destacaram com o montante de US$ 321,53 milhões e incremento de 1,9%, em virtude da alta de 4,0% no preço médio, uma vez que o volume negociado no período caiu 2,0%. As vendas externas de papel somaram US$ 198,15 milhões em dezembro (+4,3%), com elevação de 23,8% em quantidade, o que mais que compensou a queda de 15,8% na cotação.</w:t>
      </w:r>
    </w:p>
    <w:p w14:paraId="5805A12B" w14:textId="77777777" w:rsidR="004B1B9D" w:rsidRDefault="004B1B9D" w:rsidP="004B1B9D">
      <w:pPr>
        <w:jc w:val="both"/>
      </w:pPr>
      <w:r>
        <w:t>No que se refere às importações brasileiras de produtos do agronegócio no mês, totalizaram US$ 1,40 bilhão, o que significou diminuição de 3,2% em comparação ao US$ 1,44 bilhão importado em dezembro de 2022. Os dez principais produtos importado no período foram: trigo (US$100,58 milhões, -41,0%), malte (US$ 95,91 milhões, +52,1%), azeite de oliva (US$ 68,86 milhões, +32,4%), papel (US$ 68,70 milhões, -13,3%), leite em pó (US$ 68,65 milhões, +29,6%), salmões frescos ou refrigerados (US$ 66,54 milhões, -2,8%), vestuário e outros produtos têxteis de algodão (US$ 47,82 milhões, +10,9%), vinho (US$ 41,70 milhões, +22,2%), arroz (US$ 37,60 milhões, 34,4%) e batatas preparadas ou conservadas (US$ 35,0 milhões, +6,5%).</w:t>
      </w:r>
    </w:p>
    <w:p w14:paraId="1F855BEC" w14:textId="77777777" w:rsidR="00162FF9" w:rsidRDefault="00162FF9" w:rsidP="00162FF9">
      <w:pPr>
        <w:jc w:val="both"/>
      </w:pPr>
    </w:p>
    <w:p w14:paraId="6FC3713F" w14:textId="719C573D" w:rsidR="00080C6A" w:rsidRPr="00A00D39" w:rsidRDefault="009D4328" w:rsidP="00826BB9">
      <w:pPr>
        <w:jc w:val="both"/>
      </w:pPr>
      <w:r w:rsidRPr="009D4328">
        <w:rPr>
          <w:noProof/>
          <w:lang w:eastAsia="pt-BR"/>
        </w:rPr>
        <w:lastRenderedPageBreak/>
        <w:drawing>
          <wp:inline distT="0" distB="0" distL="0" distR="0" wp14:anchorId="15CBADD5" wp14:editId="2C11687C">
            <wp:extent cx="6188710" cy="3987800"/>
            <wp:effectExtent l="0" t="0" r="254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5503" w14:textId="77777777" w:rsidR="00065736" w:rsidRDefault="00065736" w:rsidP="00826BB9">
      <w:pPr>
        <w:jc w:val="both"/>
        <w:rPr>
          <w:b/>
          <w:bCs/>
        </w:rPr>
      </w:pPr>
    </w:p>
    <w:p w14:paraId="40A34FE9" w14:textId="7A21DECD" w:rsidR="00826BB9" w:rsidRPr="00A46C74" w:rsidRDefault="00826BB9" w:rsidP="00826BB9">
      <w:pPr>
        <w:jc w:val="both"/>
      </w:pPr>
      <w:proofErr w:type="spellStart"/>
      <w:r w:rsidRPr="00C21CE0">
        <w:rPr>
          <w:b/>
          <w:bCs/>
        </w:rPr>
        <w:t>I.b</w:t>
      </w:r>
      <w:proofErr w:type="spellEnd"/>
      <w:r w:rsidRPr="00C21CE0">
        <w:rPr>
          <w:b/>
          <w:bCs/>
        </w:rPr>
        <w:t xml:space="preserve"> – Blocos Econômicos e Regiões Geográficas</w:t>
      </w:r>
    </w:p>
    <w:p w14:paraId="6AF81D3D" w14:textId="77777777" w:rsidR="004B1B9D" w:rsidRPr="00E75193" w:rsidRDefault="004B1B9D" w:rsidP="004B1B9D">
      <w:pPr>
        <w:jc w:val="both"/>
      </w:pPr>
      <w:r w:rsidRPr="00E75193">
        <w:t xml:space="preserve">No que se refere às exportações do agronegócio por blocos econômicos e regiões geográficas, a Ásia </w:t>
      </w:r>
      <w:r>
        <w:t>foi o</w:t>
      </w:r>
      <w:r w:rsidRPr="00E75193">
        <w:t xml:space="preserve"> principal destino brasileiro</w:t>
      </w:r>
      <w:r>
        <w:t xml:space="preserve"> em dezembro</w:t>
      </w:r>
      <w:r w:rsidRPr="00E75193">
        <w:t xml:space="preserve">, com a soma de US$ </w:t>
      </w:r>
      <w:r>
        <w:t>7,03</w:t>
      </w:r>
      <w:r w:rsidRPr="00E75193">
        <w:t xml:space="preserve"> bilhões e incremento de </w:t>
      </w:r>
      <w:r>
        <w:t>45,8</w:t>
      </w:r>
      <w:r w:rsidRPr="00E75193">
        <w:t xml:space="preserve">% em comparação aos valores registrados </w:t>
      </w:r>
      <w:r>
        <w:t>em dezembro</w:t>
      </w:r>
      <w:r w:rsidRPr="00E75193">
        <w:t xml:space="preserve"> de 2022 (US$ </w:t>
      </w:r>
      <w:r>
        <w:t>4,83</w:t>
      </w:r>
      <w:r w:rsidRPr="00E75193">
        <w:t xml:space="preserve"> bilhões). Em função da expansão verificada, a participação do continente asiático nas exportações do agronegócio brasileiro cresceu de </w:t>
      </w:r>
      <w:r>
        <w:t>43,2</w:t>
      </w:r>
      <w:r w:rsidRPr="00E75193">
        <w:t xml:space="preserve">% para 52,1% </w:t>
      </w:r>
      <w:r>
        <w:t>no período</w:t>
      </w:r>
      <w:r w:rsidRPr="00E75193">
        <w:t xml:space="preserve">. Os principais produtos exportados para o mercado asiático no período foram: soja em grãos (US$ </w:t>
      </w:r>
      <w:r>
        <w:t>1,85 bilhão</w:t>
      </w:r>
      <w:r w:rsidRPr="00E75193">
        <w:t>, +</w:t>
      </w:r>
      <w:r>
        <w:t>101,6%);</w:t>
      </w:r>
      <w:r w:rsidRPr="00E75193">
        <w:t xml:space="preserve"> milho (US$ </w:t>
      </w:r>
      <w:r>
        <w:t>926,25 m</w:t>
      </w:r>
      <w:r w:rsidRPr="00E75193">
        <w:t>ilhões, +</w:t>
      </w:r>
      <w:r>
        <w:t>19,2%);</w:t>
      </w:r>
      <w:r w:rsidRPr="00E75193">
        <w:t xml:space="preserve"> </w:t>
      </w:r>
      <w:r>
        <w:t>açúcar de cana em bruto</w:t>
      </w:r>
      <w:r w:rsidRPr="00E75193">
        <w:t xml:space="preserve"> (US$ </w:t>
      </w:r>
      <w:r>
        <w:t>880,61 milhões, +359,8%);</w:t>
      </w:r>
      <w:r w:rsidRPr="00E75193">
        <w:t xml:space="preserve"> </w:t>
      </w:r>
      <w:r>
        <w:t>algodão não cardado nem penteado</w:t>
      </w:r>
      <w:r w:rsidRPr="00E75193">
        <w:t xml:space="preserve"> (US$ </w:t>
      </w:r>
      <w:r>
        <w:t>649,75 milhões</w:t>
      </w:r>
      <w:r w:rsidRPr="00E75193">
        <w:t>, +</w:t>
      </w:r>
      <w:r>
        <w:t>116,5%);</w:t>
      </w:r>
      <w:r w:rsidRPr="00A44CBB">
        <w:t xml:space="preserve"> </w:t>
      </w:r>
      <w:r>
        <w:t xml:space="preserve">carne bovina </w:t>
      </w:r>
      <w:r w:rsidRPr="00B322A7">
        <w:rPr>
          <w:i/>
        </w:rPr>
        <w:t>in natura</w:t>
      </w:r>
      <w:r w:rsidRPr="00E75193">
        <w:t xml:space="preserve"> (US$ </w:t>
      </w:r>
      <w:r>
        <w:t>577,21 milhões</w:t>
      </w:r>
      <w:r w:rsidRPr="00E75193">
        <w:t xml:space="preserve">, </w:t>
      </w:r>
      <w:r>
        <w:t>+8,6</w:t>
      </w:r>
      <w:r w:rsidRPr="00E75193">
        <w:t>%)</w:t>
      </w:r>
      <w:r>
        <w:t xml:space="preserve">; </w:t>
      </w:r>
      <w:r w:rsidRPr="00E75193">
        <w:t xml:space="preserve">celulose (US$ </w:t>
      </w:r>
      <w:r>
        <w:t>436,12 milhões, +11,9</w:t>
      </w:r>
      <w:r w:rsidRPr="00E75193">
        <w:t>%)</w:t>
      </w:r>
      <w:r>
        <w:t xml:space="preserve">; </w:t>
      </w:r>
      <w:r w:rsidRPr="00E75193">
        <w:t xml:space="preserve">farelo de soja (US$ </w:t>
      </w:r>
      <w:r>
        <w:t>347,08 milhões</w:t>
      </w:r>
      <w:r w:rsidRPr="00E75193">
        <w:t>, +</w:t>
      </w:r>
      <w:r>
        <w:t>51,9</w:t>
      </w:r>
      <w:r w:rsidRPr="00E75193">
        <w:t>%)</w:t>
      </w:r>
      <w:r>
        <w:t>;</w:t>
      </w:r>
      <w:r w:rsidRPr="00E75193">
        <w:t xml:space="preserve"> </w:t>
      </w:r>
      <w:r>
        <w:t xml:space="preserve">carne de frango </w:t>
      </w:r>
      <w:r>
        <w:rPr>
          <w:i/>
        </w:rPr>
        <w:t>in natura</w:t>
      </w:r>
      <w:r w:rsidRPr="00E75193">
        <w:t xml:space="preserve"> (US$ </w:t>
      </w:r>
      <w:r>
        <w:t>309,90 milhões</w:t>
      </w:r>
      <w:r w:rsidRPr="00E75193">
        <w:t>, +</w:t>
      </w:r>
      <w:r>
        <w:t>2,6%); fumo não manufaturado (US$ 197,76 milhões, +48,1%)</w:t>
      </w:r>
      <w:r w:rsidRPr="00E75193">
        <w:t xml:space="preserve"> e </w:t>
      </w:r>
      <w:r>
        <w:t>café verde</w:t>
      </w:r>
      <w:r w:rsidRPr="00E75193">
        <w:t xml:space="preserve"> (US$</w:t>
      </w:r>
      <w:r>
        <w:t xml:space="preserve"> 156,74 milhões</w:t>
      </w:r>
      <w:r w:rsidRPr="00E75193">
        <w:t>, +</w:t>
      </w:r>
      <w:r>
        <w:t>93,7</w:t>
      </w:r>
      <w:r w:rsidRPr="00E75193">
        <w:t>%).</w:t>
      </w:r>
    </w:p>
    <w:p w14:paraId="4B86A69E" w14:textId="77777777" w:rsidR="004B1B9D" w:rsidRPr="00606408" w:rsidRDefault="004B1B9D" w:rsidP="004B1B9D">
      <w:pPr>
        <w:jc w:val="both"/>
      </w:pPr>
      <w:r w:rsidRPr="00E75193">
        <w:t xml:space="preserve">O segundo principal parceiro da agropecuária nacional foi a União Europeia, com vendas externas de US$ </w:t>
      </w:r>
      <w:r>
        <w:t>1,67 bilhão</w:t>
      </w:r>
      <w:r w:rsidRPr="00E75193">
        <w:t xml:space="preserve"> e redução de </w:t>
      </w:r>
      <w:r>
        <w:t>10,3</w:t>
      </w:r>
      <w:r w:rsidRPr="00E75193">
        <w:t xml:space="preserve">% em relação a </w:t>
      </w:r>
      <w:r>
        <w:t>dezembro</w:t>
      </w:r>
      <w:r w:rsidRPr="00E75193">
        <w:t xml:space="preserve"> de 2022 (US$ </w:t>
      </w:r>
      <w:r>
        <w:t>1,87 bilhão</w:t>
      </w:r>
      <w:r w:rsidRPr="00E75193">
        <w:t xml:space="preserve">). Com o declínio dos valores adquiridos em produtos agropecuários no período, a participação do bloco europeu nas exportações brasileiras decresceu, de </w:t>
      </w:r>
      <w:r>
        <w:t>16,7</w:t>
      </w:r>
      <w:r w:rsidRPr="00E75193">
        <w:t xml:space="preserve">% para </w:t>
      </w:r>
      <w:r>
        <w:t>12,4</w:t>
      </w:r>
      <w:r w:rsidRPr="00E75193">
        <w:t xml:space="preserve">%. Os principais produtos responsáveis por tal retração nas vendas para o mercado europeu foram: </w:t>
      </w:r>
      <w:r>
        <w:t>milho</w:t>
      </w:r>
      <w:r w:rsidRPr="00E75193">
        <w:t xml:space="preserve"> (-US$ </w:t>
      </w:r>
      <w:r>
        <w:t>292,83 milhões</w:t>
      </w:r>
      <w:r w:rsidRPr="00E75193">
        <w:t xml:space="preserve">), </w:t>
      </w:r>
      <w:r>
        <w:t>álcool etílico</w:t>
      </w:r>
      <w:r w:rsidRPr="00E75193">
        <w:t xml:space="preserve"> (-US$ </w:t>
      </w:r>
      <w:r>
        <w:t>44,12</w:t>
      </w:r>
      <w:r w:rsidRPr="00E75193">
        <w:t xml:space="preserve"> milhões) </w:t>
      </w:r>
      <w:r>
        <w:t>e soja em grãos</w:t>
      </w:r>
      <w:r w:rsidRPr="00E75193">
        <w:t xml:space="preserve"> (-US$ </w:t>
      </w:r>
      <w:r>
        <w:t>26,97</w:t>
      </w:r>
      <w:r w:rsidRPr="00E75193">
        <w:t xml:space="preserve"> milhões). Pelo lado positivo, os destaques ficaram por conta das vendas de farelo de soja (+US$ </w:t>
      </w:r>
      <w:r>
        <w:t>101,36</w:t>
      </w:r>
      <w:r w:rsidRPr="00E75193">
        <w:t xml:space="preserve"> milhões), </w:t>
      </w:r>
      <w:r>
        <w:t>café verde</w:t>
      </w:r>
      <w:r w:rsidRPr="00E75193">
        <w:t xml:space="preserve"> (+US$ </w:t>
      </w:r>
      <w:r>
        <w:t>39,71</w:t>
      </w:r>
      <w:r w:rsidRPr="00E75193">
        <w:t xml:space="preserve"> milhões) e </w:t>
      </w:r>
      <w:r>
        <w:t>suco de laranja</w:t>
      </w:r>
      <w:r w:rsidRPr="00E75193">
        <w:t xml:space="preserve"> (+US$ </w:t>
      </w:r>
      <w:r>
        <w:t>38,79</w:t>
      </w:r>
      <w:r w:rsidRPr="00E75193">
        <w:t xml:space="preserve"> milhões).</w:t>
      </w:r>
    </w:p>
    <w:p w14:paraId="07B2E62D" w14:textId="77777777" w:rsidR="004B1B9D" w:rsidRPr="00E75193" w:rsidRDefault="004B1B9D" w:rsidP="004B1B9D">
      <w:pPr>
        <w:jc w:val="both"/>
      </w:pPr>
      <w:r w:rsidRPr="00E75193">
        <w:t xml:space="preserve">Os outros destaques no </w:t>
      </w:r>
      <w:r>
        <w:t>mês</w:t>
      </w:r>
      <w:r w:rsidRPr="00E75193">
        <w:t xml:space="preserve">, conforme observado na Tabela </w:t>
      </w:r>
      <w:r>
        <w:t>2</w:t>
      </w:r>
      <w:r w:rsidRPr="00E75193">
        <w:t xml:space="preserve">, foram os </w:t>
      </w:r>
      <w:r>
        <w:t xml:space="preserve">demais </w:t>
      </w:r>
      <w:r w:rsidRPr="00E75193">
        <w:t xml:space="preserve">países </w:t>
      </w:r>
      <w:r>
        <w:t>da Europa ocidental</w:t>
      </w:r>
      <w:r w:rsidRPr="00E75193">
        <w:t xml:space="preserve">, com aumento de </w:t>
      </w:r>
      <w:r>
        <w:t>75,4</w:t>
      </w:r>
      <w:r w:rsidRPr="00E75193">
        <w:t xml:space="preserve">% nas vendas agropecuárias brasileiras (US$ </w:t>
      </w:r>
      <w:r>
        <w:t>192,81 milhões</w:t>
      </w:r>
      <w:r w:rsidRPr="00E75193">
        <w:t xml:space="preserve">); </w:t>
      </w:r>
      <w:r>
        <w:t>os demais da América</w:t>
      </w:r>
      <w:r w:rsidRPr="00E75193">
        <w:t xml:space="preserve">, com exportações de US$ </w:t>
      </w:r>
      <w:r>
        <w:t>6,72 milhões</w:t>
      </w:r>
      <w:r w:rsidRPr="00E75193">
        <w:t xml:space="preserve"> e incremento de </w:t>
      </w:r>
      <w:r>
        <w:t>37,0</w:t>
      </w:r>
      <w:r w:rsidRPr="00E75193">
        <w:t xml:space="preserve">%; e </w:t>
      </w:r>
      <w:r>
        <w:t>Oriente Médio</w:t>
      </w:r>
      <w:r w:rsidRPr="00E75193">
        <w:t xml:space="preserve">, com expansão de </w:t>
      </w:r>
      <w:r>
        <w:t>20,8</w:t>
      </w:r>
      <w:r w:rsidRPr="00E75193">
        <w:t xml:space="preserve">% (US$ </w:t>
      </w:r>
      <w:r>
        <w:t>1,18 bilhão</w:t>
      </w:r>
      <w:r w:rsidRPr="00E75193">
        <w:t xml:space="preserve">). </w:t>
      </w:r>
    </w:p>
    <w:p w14:paraId="669D13B2" w14:textId="77777777" w:rsidR="00162FF9" w:rsidRPr="00433A20" w:rsidRDefault="00162FF9" w:rsidP="00162FF9">
      <w:pPr>
        <w:jc w:val="both"/>
      </w:pPr>
    </w:p>
    <w:p w14:paraId="6B9FBA63" w14:textId="1D738D67" w:rsidR="0032120C" w:rsidRPr="00D323AA" w:rsidRDefault="009D4328" w:rsidP="00826BB9">
      <w:pPr>
        <w:jc w:val="both"/>
      </w:pPr>
      <w:r w:rsidRPr="009D4328">
        <w:rPr>
          <w:noProof/>
          <w:lang w:eastAsia="pt-BR"/>
        </w:rPr>
        <w:drawing>
          <wp:inline distT="0" distB="0" distL="0" distR="0" wp14:anchorId="750457D8" wp14:editId="6B0F09BA">
            <wp:extent cx="6188710" cy="2475230"/>
            <wp:effectExtent l="0" t="0" r="2540" b="127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7064" w14:textId="77777777" w:rsidR="00ED1236" w:rsidRDefault="00ED1236" w:rsidP="0066725D">
      <w:pPr>
        <w:jc w:val="both"/>
        <w:rPr>
          <w:b/>
          <w:bCs/>
        </w:rPr>
      </w:pPr>
    </w:p>
    <w:p w14:paraId="3683B577" w14:textId="5F6068A5" w:rsidR="0066725D" w:rsidRDefault="0066725D" w:rsidP="0066725D">
      <w:pPr>
        <w:jc w:val="both"/>
      </w:pPr>
      <w:proofErr w:type="spellStart"/>
      <w:r w:rsidRPr="009A094C">
        <w:rPr>
          <w:b/>
          <w:bCs/>
        </w:rPr>
        <w:t>I.</w:t>
      </w:r>
      <w:r>
        <w:rPr>
          <w:b/>
          <w:bCs/>
        </w:rPr>
        <w:t>c</w:t>
      </w:r>
      <w:proofErr w:type="spellEnd"/>
      <w:r w:rsidRPr="009A094C">
        <w:rPr>
          <w:b/>
          <w:bCs/>
        </w:rPr>
        <w:t xml:space="preserve"> – </w:t>
      </w:r>
      <w:r>
        <w:rPr>
          <w:b/>
          <w:bCs/>
        </w:rPr>
        <w:t>Países</w:t>
      </w:r>
    </w:p>
    <w:p w14:paraId="1787A53A" w14:textId="77777777" w:rsidR="004B1B9D" w:rsidRPr="00E75193" w:rsidRDefault="004B1B9D" w:rsidP="004B1B9D">
      <w:pPr>
        <w:jc w:val="both"/>
      </w:pPr>
      <w:r w:rsidRPr="00E75193">
        <w:t xml:space="preserve">No que tange às exportações do agronegócio brasileiro por países de destino </w:t>
      </w:r>
      <w:r>
        <w:t>em dezembro de 2023</w:t>
      </w:r>
      <w:r w:rsidRPr="00E75193">
        <w:t xml:space="preserve">, a China permanece como destaque, adquirindo </w:t>
      </w:r>
      <w:r>
        <w:t>32,3</w:t>
      </w:r>
      <w:r w:rsidRPr="00E75193">
        <w:t xml:space="preserve">% de tudo que foi exportado pelo setor. Com vendas externas de US$ </w:t>
      </w:r>
      <w:r>
        <w:t>4,36</w:t>
      </w:r>
      <w:r w:rsidRPr="00E75193">
        <w:t xml:space="preserve"> bilhões e incremento de </w:t>
      </w:r>
      <w:r>
        <w:t>61,1</w:t>
      </w:r>
      <w:r w:rsidRPr="00E75193">
        <w:t xml:space="preserve">% sobre os valores </w:t>
      </w:r>
      <w:r>
        <w:t>de dezembro do ano anterior</w:t>
      </w:r>
      <w:r w:rsidRPr="00E75193">
        <w:t xml:space="preserve">, a participação chinesa cresceu </w:t>
      </w:r>
      <w:r>
        <w:t>8</w:t>
      </w:r>
      <w:r w:rsidRPr="00E75193">
        <w:t xml:space="preserve">,0 pontos percentuais. Os principais produtos comercializados com o mercado chinês foram: soja em grãos (US$ </w:t>
      </w:r>
      <w:r>
        <w:t>1,72 bilhão</w:t>
      </w:r>
      <w:r w:rsidRPr="00E75193">
        <w:t>, +</w:t>
      </w:r>
      <w:r>
        <w:t>118,8</w:t>
      </w:r>
      <w:r w:rsidRPr="00E75193">
        <w:t>%</w:t>
      </w:r>
      <w:r>
        <w:t xml:space="preserve"> e 39,5% de participação</w:t>
      </w:r>
      <w:r w:rsidRPr="00E75193">
        <w:t xml:space="preserve">), carne bovina </w:t>
      </w:r>
      <w:r w:rsidRPr="00B322A7">
        <w:rPr>
          <w:i/>
        </w:rPr>
        <w:t>in natura</w:t>
      </w:r>
      <w:r w:rsidRPr="00E75193">
        <w:t xml:space="preserve"> (US$ </w:t>
      </w:r>
      <w:r>
        <w:t>522,92</w:t>
      </w:r>
      <w:r w:rsidRPr="00E75193">
        <w:t xml:space="preserve"> </w:t>
      </w:r>
      <w:r>
        <w:t>m</w:t>
      </w:r>
      <w:r w:rsidRPr="00E75193">
        <w:t xml:space="preserve">ilhões, </w:t>
      </w:r>
      <w:r>
        <w:t>+6,7</w:t>
      </w:r>
      <w:r w:rsidRPr="00E75193">
        <w:t>%</w:t>
      </w:r>
      <w:r>
        <w:t xml:space="preserve"> e 12,0% de participação</w:t>
      </w:r>
      <w:r w:rsidRPr="00E75193">
        <w:t xml:space="preserve">), </w:t>
      </w:r>
      <w:r>
        <w:t>milho</w:t>
      </w:r>
      <w:r w:rsidRPr="00E75193">
        <w:t xml:space="preserve"> (US$ </w:t>
      </w:r>
      <w:r>
        <w:t>447,53 milhões</w:t>
      </w:r>
      <w:r w:rsidRPr="00E75193">
        <w:t>, +18,9%</w:t>
      </w:r>
      <w:r>
        <w:t xml:space="preserve"> e 10,3%</w:t>
      </w:r>
      <w:r w:rsidRPr="00E75193">
        <w:t xml:space="preserve">), </w:t>
      </w:r>
      <w:r>
        <w:t>algodão não cardado nem penteado</w:t>
      </w:r>
      <w:r w:rsidRPr="00E75193">
        <w:t xml:space="preserve"> (US$ </w:t>
      </w:r>
      <w:r>
        <w:t>430,02 milhões, +259,2% e 9,9%</w:t>
      </w:r>
      <w:r w:rsidRPr="00E75193">
        <w:t xml:space="preserve">), </w:t>
      </w:r>
      <w:r>
        <w:t>celulose (US$ 397,03 milhões</w:t>
      </w:r>
      <w:r w:rsidRPr="00E75193">
        <w:t>, +</w:t>
      </w:r>
      <w:r>
        <w:t>18,3</w:t>
      </w:r>
      <w:r w:rsidRPr="00E75193">
        <w:t>%</w:t>
      </w:r>
      <w:r>
        <w:t xml:space="preserve"> e 9,1%</w:t>
      </w:r>
      <w:r w:rsidRPr="00E75193">
        <w:t xml:space="preserve">) e </w:t>
      </w:r>
      <w:r>
        <w:t>açúcar de cana em bruto</w:t>
      </w:r>
      <w:r w:rsidRPr="00E75193">
        <w:t xml:space="preserve"> (US$ </w:t>
      </w:r>
      <w:r>
        <w:t>330,65 milhões</w:t>
      </w:r>
      <w:r w:rsidRPr="00E75193">
        <w:t>, +</w:t>
      </w:r>
      <w:r>
        <w:t>108,6</w:t>
      </w:r>
      <w:r w:rsidRPr="00E75193">
        <w:t>%</w:t>
      </w:r>
      <w:r>
        <w:t xml:space="preserve"> e 7,6% de </w:t>
      </w:r>
      <w:proofErr w:type="spellStart"/>
      <w:r w:rsidRPr="00086150">
        <w:rPr>
          <w:i/>
        </w:rPr>
        <w:t>share</w:t>
      </w:r>
      <w:proofErr w:type="spellEnd"/>
      <w:r w:rsidRPr="00E75193">
        <w:t>).</w:t>
      </w:r>
    </w:p>
    <w:p w14:paraId="49DA5E50" w14:textId="77777777" w:rsidR="004B1B9D" w:rsidRPr="00606408" w:rsidRDefault="004B1B9D" w:rsidP="004B1B9D">
      <w:pPr>
        <w:jc w:val="both"/>
      </w:pPr>
      <w:r w:rsidRPr="00E75193">
        <w:t>O segundo principal destino dos produt</w:t>
      </w:r>
      <w:r>
        <w:t>os do agronegócio brasileiro no</w:t>
      </w:r>
      <w:r w:rsidRPr="00E75193">
        <w:t xml:space="preserve"> último </w:t>
      </w:r>
      <w:r>
        <w:t>mês</w:t>
      </w:r>
      <w:r w:rsidRPr="00E75193">
        <w:t xml:space="preserve"> foram os Estados Unidos, com a soma de US$ </w:t>
      </w:r>
      <w:r>
        <w:t>936,77</w:t>
      </w:r>
      <w:r w:rsidRPr="00E75193">
        <w:t xml:space="preserve"> e </w:t>
      </w:r>
      <w:r>
        <w:t>elevação</w:t>
      </w:r>
      <w:r w:rsidRPr="00E75193">
        <w:t xml:space="preserve"> de </w:t>
      </w:r>
      <w:r>
        <w:t>17,0</w:t>
      </w:r>
      <w:r w:rsidRPr="00E75193">
        <w:t xml:space="preserve">%, o que </w:t>
      </w:r>
      <w:r>
        <w:t xml:space="preserve">ainda </w:t>
      </w:r>
      <w:r w:rsidRPr="00E75193">
        <w:t xml:space="preserve">acarretou perda de participação de </w:t>
      </w:r>
      <w:r>
        <w:t>7,2</w:t>
      </w:r>
      <w:r w:rsidRPr="00E75193">
        <w:t>% para 6,</w:t>
      </w:r>
      <w:r>
        <w:t>9</w:t>
      </w:r>
      <w:r w:rsidRPr="00E75193">
        <w:t xml:space="preserve">%. As principais mercadorias exportadas para o mercado norte-americano no período foram: </w:t>
      </w:r>
      <w:r>
        <w:t>suco de laranja</w:t>
      </w:r>
      <w:r w:rsidRPr="00E75193">
        <w:t xml:space="preserve"> (US$ </w:t>
      </w:r>
      <w:r>
        <w:t>110,77 milhões</w:t>
      </w:r>
      <w:r w:rsidRPr="00E75193">
        <w:t xml:space="preserve">, </w:t>
      </w:r>
      <w:r>
        <w:t>+114,1</w:t>
      </w:r>
      <w:r w:rsidRPr="00E75193">
        <w:t xml:space="preserve">%), </w:t>
      </w:r>
      <w:r>
        <w:t>café verde</w:t>
      </w:r>
      <w:r w:rsidRPr="00E75193">
        <w:t xml:space="preserve"> (US$ </w:t>
      </w:r>
      <w:r>
        <w:t>104,43 milhões</w:t>
      </w:r>
      <w:r w:rsidRPr="00E75193">
        <w:t xml:space="preserve">, </w:t>
      </w:r>
      <w:r>
        <w:t>-25</w:t>
      </w:r>
      <w:r w:rsidRPr="00E75193">
        <w:t xml:space="preserve">,6%), </w:t>
      </w:r>
      <w:r>
        <w:t>açúcar de cana em bruto</w:t>
      </w:r>
      <w:r w:rsidRPr="00E75193">
        <w:t xml:space="preserve"> (US$ </w:t>
      </w:r>
      <w:r>
        <w:t>98,69</w:t>
      </w:r>
      <w:r w:rsidRPr="00E75193">
        <w:t xml:space="preserve"> milhões, +</w:t>
      </w:r>
      <w:r>
        <w:t>319,6</w:t>
      </w:r>
      <w:r w:rsidRPr="00E75193">
        <w:t xml:space="preserve">%), </w:t>
      </w:r>
      <w:r>
        <w:t xml:space="preserve">carne bovina </w:t>
      </w:r>
      <w:r w:rsidRPr="00B322A7">
        <w:rPr>
          <w:i/>
        </w:rPr>
        <w:t>in natura</w:t>
      </w:r>
      <w:r w:rsidRPr="00E75193">
        <w:t xml:space="preserve"> (US$ </w:t>
      </w:r>
      <w:r>
        <w:t>94,78</w:t>
      </w:r>
      <w:r w:rsidRPr="00E75193">
        <w:t xml:space="preserve"> milhões, </w:t>
      </w:r>
      <w:r>
        <w:t>+95</w:t>
      </w:r>
      <w:r w:rsidRPr="00E75193">
        <w:t>,3</w:t>
      </w:r>
      <w:r>
        <w:t>%)</w:t>
      </w:r>
      <w:r w:rsidRPr="00E75193">
        <w:t xml:space="preserve"> e </w:t>
      </w:r>
      <w:r>
        <w:t>celulose</w:t>
      </w:r>
      <w:r w:rsidRPr="00E75193">
        <w:t xml:space="preserve"> (US$ </w:t>
      </w:r>
      <w:r>
        <w:t>64,83</w:t>
      </w:r>
      <w:r w:rsidRPr="00E75193">
        <w:t xml:space="preserve"> milhões, -</w:t>
      </w:r>
      <w:r>
        <w:t>23,7</w:t>
      </w:r>
      <w:r w:rsidRPr="00E75193">
        <w:t>%).</w:t>
      </w:r>
    </w:p>
    <w:p w14:paraId="5960FE66" w14:textId="77777777" w:rsidR="004B1B9D" w:rsidRPr="00606408" w:rsidRDefault="004B1B9D" w:rsidP="004B1B9D">
      <w:pPr>
        <w:jc w:val="both"/>
      </w:pPr>
      <w:r>
        <w:t>O Vietnã ficou</w:t>
      </w:r>
      <w:r w:rsidRPr="00E75193">
        <w:t xml:space="preserve"> na terceira posição em valor exportado, com US$ </w:t>
      </w:r>
      <w:r>
        <w:t>400,77 milhões</w:t>
      </w:r>
      <w:r w:rsidRPr="00E75193">
        <w:t xml:space="preserve"> e </w:t>
      </w:r>
      <w:r>
        <w:t>incremento</w:t>
      </w:r>
      <w:r w:rsidRPr="00E75193">
        <w:t xml:space="preserve"> de </w:t>
      </w:r>
      <w:r>
        <w:t>64,3</w:t>
      </w:r>
      <w:r w:rsidRPr="00E75193">
        <w:t xml:space="preserve">%, o que ocasionou </w:t>
      </w:r>
      <w:r>
        <w:t>ganho</w:t>
      </w:r>
      <w:r w:rsidRPr="00E75193">
        <w:t xml:space="preserve"> de </w:t>
      </w:r>
      <w:proofErr w:type="spellStart"/>
      <w:r w:rsidRPr="001A2D21">
        <w:rPr>
          <w:i/>
        </w:rPr>
        <w:t>market</w:t>
      </w:r>
      <w:proofErr w:type="spellEnd"/>
      <w:r w:rsidRPr="001A2D21">
        <w:rPr>
          <w:i/>
        </w:rPr>
        <w:t xml:space="preserve"> </w:t>
      </w:r>
      <w:proofErr w:type="spellStart"/>
      <w:r w:rsidRPr="001A2D21">
        <w:rPr>
          <w:i/>
        </w:rPr>
        <w:t>share</w:t>
      </w:r>
      <w:proofErr w:type="spellEnd"/>
      <w:r w:rsidRPr="00606408">
        <w:t xml:space="preserve"> </w:t>
      </w:r>
      <w:r w:rsidRPr="00E75193">
        <w:t xml:space="preserve">de </w:t>
      </w:r>
      <w:r>
        <w:t>2,2</w:t>
      </w:r>
      <w:r w:rsidRPr="00E75193">
        <w:t xml:space="preserve">% para </w:t>
      </w:r>
      <w:r>
        <w:t>3,0</w:t>
      </w:r>
      <w:r w:rsidRPr="00E75193">
        <w:t>%.</w:t>
      </w:r>
      <w:r w:rsidRPr="00BE2B44">
        <w:t xml:space="preserve"> </w:t>
      </w:r>
      <w:r>
        <w:t>O crescimento absoluto de US$ 157 milhões foi alcançado principalmente em virtude do aumento das exportações de milho (+US$ 76,06 milhões), farelo de soja (+US$ 46,74 milhões) e algodão não cardado nem penteado (+US$ 28,88 milhões).</w:t>
      </w:r>
    </w:p>
    <w:p w14:paraId="790C7900" w14:textId="77777777" w:rsidR="004B1B9D" w:rsidRPr="002375BC" w:rsidRDefault="004B1B9D" w:rsidP="004B1B9D">
      <w:r w:rsidRPr="002375BC">
        <w:t xml:space="preserve">Outros destaques quanto ao dinamismo das exportações </w:t>
      </w:r>
      <w:r>
        <w:t>no mês</w:t>
      </w:r>
      <w:r w:rsidRPr="002375BC">
        <w:t xml:space="preserve"> foram: </w:t>
      </w:r>
      <w:r>
        <w:t>Malásia</w:t>
      </w:r>
      <w:r w:rsidRPr="002375BC">
        <w:t xml:space="preserve">, com vendas de US$ </w:t>
      </w:r>
      <w:r>
        <w:t>226,06 milhões</w:t>
      </w:r>
      <w:r w:rsidRPr="002375BC">
        <w:t xml:space="preserve"> e crescimento absoluto de US$ </w:t>
      </w:r>
      <w:r>
        <w:t>172,28 milhões</w:t>
      </w:r>
      <w:r w:rsidRPr="002375BC">
        <w:t xml:space="preserve"> em comparação </w:t>
      </w:r>
      <w:r>
        <w:t>a dezembro de 2022</w:t>
      </w:r>
      <w:r w:rsidRPr="002375BC">
        <w:t xml:space="preserve"> (+</w:t>
      </w:r>
      <w:r>
        <w:t>320,4</w:t>
      </w:r>
      <w:r w:rsidRPr="002375BC">
        <w:t xml:space="preserve">%), </w:t>
      </w:r>
      <w:r>
        <w:t>destacadamente</w:t>
      </w:r>
      <w:r w:rsidRPr="002375BC">
        <w:t xml:space="preserve"> em </w:t>
      </w:r>
      <w:r>
        <w:t>virtude</w:t>
      </w:r>
      <w:r w:rsidRPr="002375BC">
        <w:t xml:space="preserve"> da expansão das exportações de </w:t>
      </w:r>
      <w:r>
        <w:t>açúcar de cana em bruto</w:t>
      </w:r>
      <w:r w:rsidRPr="002375BC">
        <w:t xml:space="preserve">, que passaram de US$ </w:t>
      </w:r>
      <w:r>
        <w:t>33 mil</w:t>
      </w:r>
      <w:r w:rsidRPr="002375BC">
        <w:t xml:space="preserve"> </w:t>
      </w:r>
      <w:r>
        <w:t>em dezembro</w:t>
      </w:r>
      <w:r w:rsidRPr="002375BC">
        <w:t xml:space="preserve"> de 2022 para US$ </w:t>
      </w:r>
      <w:r>
        <w:t>141,62 milhões</w:t>
      </w:r>
      <w:r w:rsidRPr="002375BC">
        <w:t xml:space="preserve"> </w:t>
      </w:r>
      <w:r>
        <w:t>em dezembro de 2023</w:t>
      </w:r>
      <w:r w:rsidRPr="002375BC">
        <w:t>.</w:t>
      </w:r>
      <w:r>
        <w:t xml:space="preserve"> Bangladesh</w:t>
      </w:r>
      <w:r w:rsidRPr="002375BC">
        <w:t xml:space="preserve">, com o montante de US$ </w:t>
      </w:r>
      <w:r>
        <w:t>198,35 milhões</w:t>
      </w:r>
      <w:r w:rsidRPr="002375BC">
        <w:t xml:space="preserve"> e crescimento de </w:t>
      </w:r>
      <w:r>
        <w:t>145,7</w:t>
      </w:r>
      <w:r w:rsidRPr="002375BC">
        <w:t xml:space="preserve">% (+US$ </w:t>
      </w:r>
      <w:r>
        <w:t>117,61 milhões</w:t>
      </w:r>
      <w:r w:rsidRPr="002375BC">
        <w:t xml:space="preserve">), com destaque para a elevação das vendas </w:t>
      </w:r>
      <w:r>
        <w:t>de açúcar em bruto</w:t>
      </w:r>
      <w:r w:rsidRPr="002375BC">
        <w:t xml:space="preserve"> (+US$ </w:t>
      </w:r>
      <w:r>
        <w:t>85,47</w:t>
      </w:r>
      <w:r w:rsidRPr="002375BC">
        <w:t xml:space="preserve"> milhões) e de soja em grãos (+US$ </w:t>
      </w:r>
      <w:r>
        <w:t>29,17</w:t>
      </w:r>
      <w:r w:rsidRPr="002375BC">
        <w:t xml:space="preserve"> milhões).</w:t>
      </w:r>
      <w:r>
        <w:t xml:space="preserve"> Turquia</w:t>
      </w:r>
      <w:r w:rsidRPr="002375BC">
        <w:t xml:space="preserve">, com US$ </w:t>
      </w:r>
      <w:r>
        <w:t>191,40 milhões (+75,0%);</w:t>
      </w:r>
      <w:r w:rsidRPr="002375BC">
        <w:t xml:space="preserve"> </w:t>
      </w:r>
      <w:r>
        <w:t>Chile, com US$ 199,15 milhões (+65,2); Emirados Árabes Unidos, com US$ 269,74 milhões (+45,2%); e Indonésia, com US$ 289,91 milhões (+39,9%).</w:t>
      </w:r>
    </w:p>
    <w:p w14:paraId="2B85F434" w14:textId="1C59B61C" w:rsidR="001D49FB" w:rsidRPr="00433A20" w:rsidRDefault="001D49FB" w:rsidP="001D49FB">
      <w:pPr>
        <w:jc w:val="both"/>
      </w:pPr>
    </w:p>
    <w:p w14:paraId="20EF4954" w14:textId="7815DD13" w:rsidR="00080C6A" w:rsidRDefault="009D4328" w:rsidP="00C51F2D">
      <w:pPr>
        <w:jc w:val="both"/>
      </w:pPr>
      <w:r w:rsidRPr="009D4328">
        <w:rPr>
          <w:noProof/>
          <w:lang w:eastAsia="pt-BR"/>
        </w:rPr>
        <w:lastRenderedPageBreak/>
        <w:drawing>
          <wp:inline distT="0" distB="0" distL="0" distR="0" wp14:anchorId="79CF0867" wp14:editId="4ECDDE11">
            <wp:extent cx="6188710" cy="4089400"/>
            <wp:effectExtent l="0" t="0" r="254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D5D05" w14:textId="77777777" w:rsidR="005A3F2F" w:rsidRPr="00A00D39" w:rsidRDefault="005A3F2F" w:rsidP="00C51F2D">
      <w:pPr>
        <w:jc w:val="both"/>
      </w:pPr>
    </w:p>
    <w:p w14:paraId="1D9321BC" w14:textId="7725A8F4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 xml:space="preserve">II – </w:t>
      </w:r>
      <w:r w:rsidRPr="003D61A7">
        <w:rPr>
          <w:b/>
          <w:bCs/>
        </w:rPr>
        <w:t>Resultados d</w:t>
      </w:r>
      <w:r>
        <w:rPr>
          <w:b/>
          <w:bCs/>
        </w:rPr>
        <w:t>o Acumulado do Ano (</w:t>
      </w:r>
      <w:r w:rsidRPr="00C51F2D">
        <w:rPr>
          <w:b/>
          <w:bCs/>
        </w:rPr>
        <w:t>comparativo Janeiro-</w:t>
      </w:r>
      <w:r w:rsidR="00FF6B53">
        <w:rPr>
          <w:b/>
          <w:bCs/>
        </w:rPr>
        <w:t>Dezembro</w:t>
      </w:r>
      <w:r>
        <w:rPr>
          <w:b/>
          <w:bCs/>
        </w:rPr>
        <w:t>/</w:t>
      </w:r>
      <w:r w:rsidR="00AA396D">
        <w:rPr>
          <w:b/>
          <w:bCs/>
        </w:rPr>
        <w:t>2023</w:t>
      </w:r>
      <w:r>
        <w:rPr>
          <w:b/>
          <w:bCs/>
        </w:rPr>
        <w:t xml:space="preserve"> </w:t>
      </w:r>
      <w:r w:rsidRPr="00C21CE0">
        <w:rPr>
          <w:b/>
          <w:bCs/>
        </w:rPr>
        <w:t>–</w:t>
      </w:r>
      <w:r w:rsidR="00A755C7">
        <w:rPr>
          <w:b/>
          <w:bCs/>
        </w:rPr>
        <w:t xml:space="preserve"> </w:t>
      </w:r>
      <w:proofErr w:type="gramStart"/>
      <w:r w:rsidRPr="00C51F2D">
        <w:rPr>
          <w:b/>
          <w:bCs/>
        </w:rPr>
        <w:t>Janeiro</w:t>
      </w:r>
      <w:proofErr w:type="gramEnd"/>
      <w:r w:rsidRPr="00C51F2D">
        <w:rPr>
          <w:b/>
          <w:bCs/>
        </w:rPr>
        <w:t>-</w:t>
      </w:r>
      <w:r w:rsidR="00FF6B53">
        <w:rPr>
          <w:b/>
          <w:bCs/>
        </w:rPr>
        <w:t>Dezembro</w:t>
      </w:r>
      <w:r>
        <w:rPr>
          <w:b/>
          <w:bCs/>
        </w:rPr>
        <w:t>/</w:t>
      </w:r>
      <w:r w:rsidR="00AA396D">
        <w:rPr>
          <w:b/>
          <w:bCs/>
        </w:rPr>
        <w:t>2022</w:t>
      </w:r>
      <w:r w:rsidRPr="003D61A7">
        <w:rPr>
          <w:b/>
          <w:bCs/>
        </w:rPr>
        <w:t>)</w:t>
      </w:r>
    </w:p>
    <w:p w14:paraId="1A31A764" w14:textId="77777777" w:rsidR="002E6D6C" w:rsidRDefault="002E6D6C" w:rsidP="002E6D6C">
      <w:pPr>
        <w:jc w:val="both"/>
      </w:pPr>
      <w:r>
        <w:t>As exportações brasileiras do agronegócio bateram recorde em 2023, atingindo US$ 166,55 bilhões. A cifra foi   4,8% superior em comparação com os US$ 158,87 bilhões exportados em 2022. Em valores absolutos o aumento foi de US$ 7,68 bilhões.</w:t>
      </w:r>
    </w:p>
    <w:p w14:paraId="7DEF782C" w14:textId="77777777" w:rsidR="002E6D6C" w:rsidRDefault="002E6D6C" w:rsidP="002E6D6C">
      <w:pPr>
        <w:jc w:val="both"/>
      </w:pPr>
      <w:r>
        <w:t>Para se explicar o recorde nas exportações do agronegócio de 2023 é importante uma análise da quantidade embarcada, bem como do índice de preços dos produtos comercializados. Ao se estudar esses dois indicadores conclui-se que as exportações brasileiras do agronegócio de 2023 subiram fundamentalmente em função do incremento da quantidade embarcada.</w:t>
      </w:r>
    </w:p>
    <w:p w14:paraId="66E22FCF" w14:textId="77777777" w:rsidR="002E6D6C" w:rsidRDefault="002E6D6C" w:rsidP="002E6D6C">
      <w:pPr>
        <w:jc w:val="both"/>
      </w:pPr>
      <w:r>
        <w:t>O Brasil exportou diretamente 193,02 milhões de toneladas na forma de grãos</w:t>
      </w:r>
      <w:r>
        <w:rPr>
          <w:rStyle w:val="Refdenotaderodap"/>
        </w:rPr>
        <w:footnoteReference w:id="2"/>
      </w:r>
      <w:r>
        <w:t xml:space="preserve">. Uma quantidade 24,3% superior na comparação com os 155,30 milhões de toneladas de grãos exportados em 2022. Esta quantidade de grãos exportados em 2023 equivale a </w:t>
      </w:r>
      <w:r w:rsidRPr="0065398E">
        <w:t>60,3%</w:t>
      </w:r>
      <w:r>
        <w:t xml:space="preserve"> da safra recorde de grãos 2022/23, estimada pela Conab em </w:t>
      </w:r>
      <w:r w:rsidRPr="0065398E">
        <w:t>319,86 milhões de toneladas</w:t>
      </w:r>
      <w:r w:rsidRPr="0065398E">
        <w:rPr>
          <w:rStyle w:val="Refdenotaderodap"/>
        </w:rPr>
        <w:footnoteReference w:id="3"/>
      </w:r>
      <w:r w:rsidRPr="0065398E">
        <w:t>.</w:t>
      </w:r>
      <w:r>
        <w:t xml:space="preserve"> Já a quantidade exportada em 2022, foi equivalente </w:t>
      </w:r>
      <w:r w:rsidRPr="006A5123">
        <w:t>a 57,0% da</w:t>
      </w:r>
      <w:r>
        <w:t xml:space="preserve"> safra de grãos 2021/2022, que foi de </w:t>
      </w:r>
      <w:r w:rsidRPr="006A5123">
        <w:t>272,64 milhões de toneladas.</w:t>
      </w:r>
      <w:r>
        <w:t xml:space="preserve"> Em termos de valor, essa </w:t>
      </w:r>
      <w:r w:rsidRPr="00EE61DB">
        <w:t xml:space="preserve">quantidade </w:t>
      </w:r>
      <w:r>
        <w:t>de 37,72</w:t>
      </w:r>
      <w:r w:rsidRPr="00EE61DB">
        <w:t xml:space="preserve"> milhões </w:t>
      </w:r>
      <w:r w:rsidRPr="00EE61DB">
        <w:lastRenderedPageBreak/>
        <w:t xml:space="preserve">de toneladas </w:t>
      </w:r>
      <w:r>
        <w:t xml:space="preserve">exportadas a mais gerou para o Brasil vendas externas US$ 8,71 bilhões superiores a 2022, apesar da queda internacional do preço dos grãos. </w:t>
      </w:r>
    </w:p>
    <w:p w14:paraId="0E5113E9" w14:textId="77777777" w:rsidR="002E6D6C" w:rsidRPr="007E0ACB" w:rsidRDefault="002E6D6C" w:rsidP="002E6D6C">
      <w:pPr>
        <w:jc w:val="both"/>
      </w:pPr>
      <w:r>
        <w:t xml:space="preserve">Além da elevação na quantidade exportada de grãos em </w:t>
      </w:r>
      <w:r w:rsidRPr="00025E45">
        <w:t xml:space="preserve">quase 40 milhões de toneladas, também houve expansão no volume exportado de outros produtos que registraram mais de </w:t>
      </w:r>
      <w:r>
        <w:t xml:space="preserve">US$ 1 bilhão em vendas externas: carnes (+5,4%), açúcar (+15,1%), sucos (+6,0%), frutas (+5,9%), couros e seus produtos (+19,7%). Com efeito, o índice de </w:t>
      </w:r>
      <w:r>
        <w:rPr>
          <w:i/>
        </w:rPr>
        <w:t>quantum</w:t>
      </w:r>
      <w:r>
        <w:t xml:space="preserve"> das exportações do agronegócio brasileiro subiu 11,7% em 2023 em relação ao ano anterior.</w:t>
      </w:r>
    </w:p>
    <w:p w14:paraId="577580D9" w14:textId="60E67020" w:rsidR="002E6D6C" w:rsidRPr="00C654B3" w:rsidRDefault="002E6D6C" w:rsidP="002E6D6C">
      <w:pPr>
        <w:jc w:val="both"/>
      </w:pPr>
      <w:r>
        <w:t>O volume recorde exportado foi contrabalançado, por sua vez, pelos preços médios de exportação menores. O índice de preço dos alimentos do Banco Mundial</w:t>
      </w:r>
      <w:r>
        <w:rPr>
          <w:rStyle w:val="Refdenotaderodap"/>
        </w:rPr>
        <w:footnoteReference w:id="4"/>
      </w:r>
      <w:r>
        <w:t xml:space="preserve"> caiu 7,4% nos últimos doze meses, passando de 129,47 pontos em dezembro de 2022 para 120,01 pontos em dezembro de 2023.</w:t>
      </w:r>
      <w:r>
        <w:rPr>
          <w:rStyle w:val="Refdenotaderodap"/>
        </w:rPr>
        <w:footnoteReference w:id="5"/>
      </w:r>
      <w:r>
        <w:t xml:space="preserve"> Durante 2023, o índice de preços dos alimentos da FAO caiu 19,7 pontos, ficando 13,7% menor em relação às médias dos valores de 2022</w:t>
      </w:r>
      <w:r>
        <w:rPr>
          <w:rStyle w:val="Refdenotaderodap"/>
        </w:rPr>
        <w:footnoteReference w:id="6"/>
      </w:r>
      <w:r>
        <w:t xml:space="preserve">. A análise do índice de preço dos produtos </w:t>
      </w:r>
      <w:r w:rsidR="008E1284">
        <w:t>exportados</w:t>
      </w:r>
      <w:r>
        <w:t xml:space="preserve"> pelo agronegócio brasileiro demonstrou uma queda de 6,1% em 2023 na comparação com 2022. Assim, é importante </w:t>
      </w:r>
      <w:r w:rsidR="008E1284">
        <w:t>destacar</w:t>
      </w:r>
      <w:r>
        <w:t xml:space="preserve"> que o aumento do volume exportado </w:t>
      </w:r>
      <w:r w:rsidRPr="00C654B3">
        <w:t>foi o principal fator que explica o recorde das exportações em 2023.</w:t>
      </w:r>
    </w:p>
    <w:p w14:paraId="51DCEF4E" w14:textId="77777777" w:rsidR="002E6D6C" w:rsidRPr="002879E9" w:rsidRDefault="002E6D6C" w:rsidP="002E6D6C">
      <w:pPr>
        <w:jc w:val="both"/>
        <w:rPr>
          <w:color w:val="000000" w:themeColor="text1"/>
        </w:rPr>
      </w:pPr>
      <w:r w:rsidRPr="00C654B3">
        <w:rPr>
          <w:color w:val="000000" w:themeColor="text1"/>
        </w:rPr>
        <w:t xml:space="preserve">O agronegócio </w:t>
      </w:r>
      <w:r>
        <w:rPr>
          <w:color w:val="000000" w:themeColor="text1"/>
        </w:rPr>
        <w:t>foi responsável por</w:t>
      </w:r>
      <w:r w:rsidRPr="00C654B3">
        <w:rPr>
          <w:color w:val="000000" w:themeColor="text1"/>
        </w:rPr>
        <w:t xml:space="preserve"> 49,0</w:t>
      </w:r>
      <w:r>
        <w:rPr>
          <w:color w:val="000000" w:themeColor="text1"/>
        </w:rPr>
        <w:t xml:space="preserve">% </w:t>
      </w:r>
      <w:r w:rsidRPr="00C654B3">
        <w:rPr>
          <w:color w:val="000000" w:themeColor="text1"/>
        </w:rPr>
        <w:t xml:space="preserve">da pauta exportadora </w:t>
      </w:r>
      <w:r>
        <w:rPr>
          <w:color w:val="000000" w:themeColor="text1"/>
        </w:rPr>
        <w:t xml:space="preserve">total </w:t>
      </w:r>
      <w:r w:rsidRPr="00C654B3">
        <w:rPr>
          <w:color w:val="000000" w:themeColor="text1"/>
        </w:rPr>
        <w:t xml:space="preserve">brasileira em 2023. No ano anterior a participação do agro </w:t>
      </w:r>
      <w:r>
        <w:rPr>
          <w:color w:val="000000" w:themeColor="text1"/>
        </w:rPr>
        <w:t>havida sido</w:t>
      </w:r>
      <w:r w:rsidRPr="00C654B3">
        <w:rPr>
          <w:color w:val="000000" w:themeColor="text1"/>
        </w:rPr>
        <w:t xml:space="preserve"> de 47,5%. Os demais produtos exportados pelo </w:t>
      </w:r>
      <w:r>
        <w:rPr>
          <w:color w:val="000000" w:themeColor="text1"/>
        </w:rPr>
        <w:t>Brasil</w:t>
      </w:r>
      <w:r w:rsidRPr="00C654B3">
        <w:rPr>
          <w:color w:val="000000" w:themeColor="text1"/>
        </w:rPr>
        <w:t xml:space="preserve"> </w:t>
      </w:r>
      <w:r>
        <w:rPr>
          <w:color w:val="000000" w:themeColor="text1"/>
        </w:rPr>
        <w:t>alcançaram</w:t>
      </w:r>
      <w:r w:rsidRPr="00C654B3">
        <w:rPr>
          <w:color w:val="000000" w:themeColor="text1"/>
        </w:rPr>
        <w:t xml:space="preserve"> US$ 173,12 bilhões (-1,2%).</w:t>
      </w:r>
    </w:p>
    <w:p w14:paraId="23D56173" w14:textId="77777777" w:rsidR="002E6D6C" w:rsidRDefault="002E6D6C" w:rsidP="002E6D6C">
      <w:pPr>
        <w:jc w:val="both"/>
      </w:pPr>
      <w:r>
        <w:t>Quanto às importações, o agronegócio brasileiro importou US$ 16,61 bilhões, ou seja, 3,7% a menos do que havia sido registrado em 2022. Há, ainda, diversos insumos importados que são utilizados na produção agropecuária, como por exemplo: fertilizantes (US$ 14,67 bilhões) e defensivos agrícolas (US$ 5,55 bilhões)</w:t>
      </w:r>
      <w:r>
        <w:rPr>
          <w:rStyle w:val="Refdenotaderodap"/>
        </w:rPr>
        <w:footnoteReference w:id="7"/>
      </w:r>
      <w:r>
        <w:t xml:space="preserve">.  </w:t>
      </w:r>
    </w:p>
    <w:p w14:paraId="388EDDFB" w14:textId="77777777" w:rsidR="002160B4" w:rsidRPr="00493CD6" w:rsidRDefault="002160B4" w:rsidP="005673BE">
      <w:pPr>
        <w:jc w:val="both"/>
      </w:pPr>
    </w:p>
    <w:p w14:paraId="17FB2732" w14:textId="6550159A" w:rsidR="00C51F2D" w:rsidRPr="00535CFB" w:rsidRDefault="00C51F2D" w:rsidP="00C51F2D">
      <w:pPr>
        <w:jc w:val="both"/>
        <w:rPr>
          <w:b/>
          <w:bCs/>
        </w:rPr>
      </w:pPr>
      <w:proofErr w:type="spellStart"/>
      <w:r w:rsidRPr="00535CFB">
        <w:rPr>
          <w:b/>
          <w:bCs/>
        </w:rPr>
        <w:t>II.a</w:t>
      </w:r>
      <w:proofErr w:type="spellEnd"/>
      <w:r w:rsidRPr="00535CFB">
        <w:rPr>
          <w:b/>
          <w:bCs/>
        </w:rPr>
        <w:t xml:space="preserve"> – Setores do Agronegócio</w:t>
      </w:r>
    </w:p>
    <w:p w14:paraId="520A0F64" w14:textId="77777777" w:rsidR="002E6D6C" w:rsidRPr="00403F5F" w:rsidRDefault="002E6D6C" w:rsidP="002E6D6C">
      <w:pPr>
        <w:jc w:val="both"/>
      </w:pPr>
      <w:r w:rsidRPr="00403F5F">
        <w:t>Entre os setores do agronegócio, os que mais contribuíram para o incremento nas vendas do agronegócio foram: complexo soja (+US$ 6,49 bilhões); complexo sucroalcooleiro (+US$ 4,60 bilhões) e cereais, farinhas e preparações (+US$ 1,18 bilhão) e sucos (+US$ 447,41 milhões).</w:t>
      </w:r>
    </w:p>
    <w:p w14:paraId="66FD5C59" w14:textId="1A764974" w:rsidR="002E6D6C" w:rsidRDefault="002E6D6C" w:rsidP="002E6D6C">
      <w:pPr>
        <w:jc w:val="both"/>
      </w:pPr>
      <w:r w:rsidRPr="008F6632">
        <w:t>Em relação ao valor exportado os cinco principais setores foram: complexo soja (40,4% do total exportado); carnes (14,1%); complexo sucroalcooleiro (10,4%); cereais, farinhas e preparações (9,3%) e produtos florestais (</w:t>
      </w:r>
      <w:r w:rsidR="00951777">
        <w:t>8,6</w:t>
      </w:r>
      <w:r w:rsidRPr="008F6632">
        <w:t xml:space="preserve">%). Em conjunto, esses setores destacados representaram 82,9% das vendas do setor em 2023. Em 2022 os cinco principais setores exportadores (complexo soja, carnes, produtos florestais, café e complexo sucroalcooleiro) foram responsáveis por 81,9% das vendas do agro, </w:t>
      </w:r>
      <w:r>
        <w:t>indicando</w:t>
      </w:r>
      <w:r w:rsidRPr="008F6632">
        <w:t xml:space="preserve"> um aumento da concentração da pauta do setor em 2023.</w:t>
      </w:r>
      <w:r>
        <w:t xml:space="preserve"> </w:t>
      </w:r>
    </w:p>
    <w:p w14:paraId="20CCA730" w14:textId="21B905BC" w:rsidR="002E6D6C" w:rsidRDefault="002E6D6C" w:rsidP="002E6D6C">
      <w:pPr>
        <w:jc w:val="both"/>
      </w:pPr>
      <w:r>
        <w:t xml:space="preserve">O complexo soja, principal setor exportador do agronegócio brasileiro, registrou US$ 67,31 bilhões em vendas, o que representa um crescimento de 10,7% em valor na comparação com o ano anterior. A soja em grãos foi </w:t>
      </w:r>
      <w:r>
        <w:lastRenderedPageBreak/>
        <w:t xml:space="preserve">responsável por 79,1% desse montante, alcançando o valor recorde de US$ 53,23 bilhões (+14,4%). A quantidade embarcada também foi recorde: 101,86 milhões de toneladas (+29,4%). O crescimento do </w:t>
      </w:r>
      <w:r>
        <w:rPr>
          <w:i/>
        </w:rPr>
        <w:t>quantum</w:t>
      </w:r>
      <w:r>
        <w:t xml:space="preserve"> compensou a queda de 11,6% no preço médio do produto, que passou de US$ 591 para US$ 523 por tonelada. A China foi o principal destino das vendas do grão, tendo adquirido 73,1% do valor exportado pelo Brasil em soja em grãos. As vendas ao mercado chinês alcançaram o recorde histórico de US$ 38,93 bilhões, o que representou um crescimento de 22,5% em relação ao que havia sido exportado no ano anterior (US$ 31,78 bilhões). A quantidade de soja em grãos exportada para a China também foi a maior já registrada na série histórica: quase 75 milhões de toneladas, o que equivale a quase metade da produção de soja na safra brasileira de 2022/2023, que foi de 154,61 milhões de toneladas</w:t>
      </w:r>
      <w:r>
        <w:rPr>
          <w:rStyle w:val="Refdenotaderodap"/>
        </w:rPr>
        <w:footnoteReference w:id="8"/>
      </w:r>
      <w:r>
        <w:t>. A União Europeia e a Argentina ocuparam a segunda e terceira posição no rol de mercados de destino da oleaginosa, com US$ 2,87 bilhões e 2,03 bilhões, respectivamente. No caso do bloco europeu houve queda de 31,0% na comparação com 2022, enquanto as vendas para a Argentina aumentaram 1.017,4%. As questões climáticas na Argentina prejudicaram a produção de soja em grão no país, levando ao aumento da demanda pela importação da oleaginosa brasileira</w:t>
      </w:r>
      <w:r>
        <w:rPr>
          <w:rStyle w:val="Refdenotaderodap"/>
        </w:rPr>
        <w:footnoteReference w:id="9"/>
      </w:r>
      <w:r>
        <w:t>.</w:t>
      </w:r>
    </w:p>
    <w:p w14:paraId="6636A2A5" w14:textId="4D907C7C" w:rsidR="002E6D6C" w:rsidRDefault="002E6D6C" w:rsidP="002E6D6C">
      <w:pPr>
        <w:jc w:val="both"/>
      </w:pPr>
      <w:r w:rsidRPr="007E02F5">
        <w:t xml:space="preserve">As exportações de farelo de soja somaram US$ 11,56 bilhões e 22,60 milhões de toneladas, ambos recordes históricos. Ao contrário do grão houve leve aumento no preço médio de venda do produto (+0,7%). A União Europeia foi o principal mercado de destino do farelo de soja brasileiro, com aquisições de US$ 5,29 bilhões (+14,0%), ou o equivalente a 10,28 milhões de toneladas. Três países do sudeste asiático </w:t>
      </w:r>
      <w:r>
        <w:t xml:space="preserve">também </w:t>
      </w:r>
      <w:r w:rsidRPr="007E02F5">
        <w:t>se destacaram as aquisições de farelo de soja brasileiro: Indonésia (US$ 1,93 bilhão; +23,8%); Tailândia (US$ 1,56 bilhão; +17,4%) e Vietnã (US$ 728,21 milhões; -9,8%). A Indonésia e o Vietnã eram grandes importadores de farelo de soja argentino. Devido à quebra da safra argentina de soja em grão e consequente redução da produção argentina de farelo de soja, o Brasil aumentou sua participação nesses mercados, possibilitando as exportações recordes do produto</w:t>
      </w:r>
      <w:r w:rsidRPr="007E02F5">
        <w:rPr>
          <w:rStyle w:val="Refdenotaderodap"/>
        </w:rPr>
        <w:footnoteReference w:id="10"/>
      </w:r>
      <w:r w:rsidRPr="007E02F5">
        <w:t>.</w:t>
      </w:r>
    </w:p>
    <w:p w14:paraId="590A7559" w14:textId="68B1D146" w:rsidR="002E6D6C" w:rsidRDefault="002E6D6C" w:rsidP="002E6D6C">
      <w:pPr>
        <w:jc w:val="both"/>
      </w:pPr>
      <w:r>
        <w:t>As exportações de óleo de soja, por sua vez, alcançaram US$ 2,52 bilhões, o que representou queda de 36,0% na comparação com 2022. A queda em valor foi resultado tanto da redução na quantidade embarcada (-10,0%), quanto no preço do produto (-28,8%). O principal fator para esse resultado negativo foi a redução nas vendas de óleo de soja em bruto para o mercado indiano, uma vez que o país adquiriu US$ 1,28 bilhão em 2023, ou seja, 45,6% a menos do que havia comprado em 2022 (US$ 2,36 bilhões). Em termos absolutos foi uma queda de US$ 1,07 bilhão somente para a Índia. O país registrou aumento na produção interna de óleo de soja, passando de 1,53 milhão de tonelada na safra 2021/22 para 1,85 milhão de tonelada na safra 2022/23</w:t>
      </w:r>
      <w:r w:rsidR="001959F7">
        <w:t>.</w:t>
      </w:r>
      <w:r w:rsidR="00A249B6">
        <w:t xml:space="preserve"> Ao mesmo tempo</w:t>
      </w:r>
      <w:r w:rsidR="001959F7">
        <w:t>,</w:t>
      </w:r>
      <w:r w:rsidR="00A249B6">
        <w:t xml:space="preserve"> as importações indianas do produto caíram de 4,23 milhões de toneladas para 3,97 milhõe</w:t>
      </w:r>
      <w:r w:rsidR="001959F7">
        <w:t>s de toneladas no mesmo período</w:t>
      </w:r>
      <w:r w:rsidR="001959F7" w:rsidRPr="001959F7">
        <w:rPr>
          <w:rStyle w:val="Refdenotaderodap"/>
        </w:rPr>
        <w:t xml:space="preserve"> </w:t>
      </w:r>
      <w:r w:rsidR="001959F7">
        <w:rPr>
          <w:rStyle w:val="Refdenotaderodap"/>
        </w:rPr>
        <w:footnoteReference w:id="11"/>
      </w:r>
      <w:r w:rsidR="001959F7">
        <w:t>.</w:t>
      </w:r>
    </w:p>
    <w:p w14:paraId="6E0043E5" w14:textId="68FD7993" w:rsidR="00FA4FC5" w:rsidRDefault="002E6D6C" w:rsidP="002E6D6C">
      <w:pPr>
        <w:jc w:val="both"/>
      </w:pPr>
      <w:r w:rsidRPr="000E0D28">
        <w:t xml:space="preserve">Em seguida destaca-se o setor de carnes, que registrou queda de 8,4%, em função da redução nas vendas de carne bovina (-18,7%), que </w:t>
      </w:r>
      <w:r w:rsidRPr="00F80539">
        <w:t>representou 44,8% do valor exportado. A carne de frango foi responsável por 40,9%, enquanto a participação da carne suína foi de 11,8</w:t>
      </w:r>
      <w:r w:rsidRPr="00617430">
        <w:t xml:space="preserve">%. </w:t>
      </w:r>
      <w:r w:rsidR="00FA4FC5">
        <w:t>A</w:t>
      </w:r>
      <w:r w:rsidR="00FA4FC5" w:rsidRPr="00086E6D">
        <w:t xml:space="preserve">s exportações de carne bovina </w:t>
      </w:r>
      <w:r w:rsidR="00FA4FC5" w:rsidRPr="00086E6D">
        <w:rPr>
          <w:i/>
        </w:rPr>
        <w:t>in natura</w:t>
      </w:r>
      <w:r w:rsidR="00FA4FC5" w:rsidRPr="00086E6D">
        <w:t xml:space="preserve"> sofreram redução de US$ 2,31 bilhões (ou -19,6%), em função, principalmente, da retração para o mercado chinês. </w:t>
      </w:r>
      <w:r w:rsidR="00FA4FC5">
        <w:t>Mesmo</w:t>
      </w:r>
      <w:r w:rsidR="00FA4FC5" w:rsidRPr="00086E6D">
        <w:t xml:space="preserve"> que a China tenha se mantido como principal destino da proteína (60,4% de participação em </w:t>
      </w:r>
      <w:r w:rsidR="00FA4FC5" w:rsidRPr="00086E6D">
        <w:lastRenderedPageBreak/>
        <w:t xml:space="preserve">valor), a queda expressiva ainda reflete a </w:t>
      </w:r>
      <w:r w:rsidR="00FA4FC5" w:rsidRPr="009641D6">
        <w:t>suspensão no início de 2023</w:t>
      </w:r>
      <w:r w:rsidR="00FA4FC5" w:rsidRPr="009641D6">
        <w:rPr>
          <w:rStyle w:val="Refdenotaderodap"/>
        </w:rPr>
        <w:footnoteReference w:id="12"/>
      </w:r>
      <w:r w:rsidR="00FA4FC5" w:rsidRPr="009641D6">
        <w:t>, além da queda nos preços médio de vendas para esse mercado (-25,3%). De modo geral houve queda de preço para os mercados como um todo (-19,6%), que não foi compensada pela quantidade recorde embarcada (2,29 milhões de toneladas).</w:t>
      </w:r>
      <w:r w:rsidR="00F94D6B">
        <w:t xml:space="preserve"> Cabe ressaltar ainda</w:t>
      </w:r>
      <w:r w:rsidR="00F94D6B" w:rsidRPr="00F94D6B">
        <w:t xml:space="preserve"> que a China reduziu </w:t>
      </w:r>
      <w:r w:rsidR="00DD3B74">
        <w:t>suas</w:t>
      </w:r>
      <w:r w:rsidR="00F94D6B" w:rsidRPr="00F94D6B">
        <w:t xml:space="preserve"> aquisições </w:t>
      </w:r>
      <w:r w:rsidR="00F94D6B">
        <w:t>mundiais de carne bovina em 20,0% no período entre janeiro e novembro de 2023, em relação ao mesmo período em 2022</w:t>
      </w:r>
      <w:r w:rsidR="00F94D6B">
        <w:rPr>
          <w:rStyle w:val="Refdenotaderodap"/>
        </w:rPr>
        <w:footnoteReference w:id="13"/>
      </w:r>
      <w:r w:rsidR="00F94D6B">
        <w:t xml:space="preserve">. </w:t>
      </w:r>
    </w:p>
    <w:p w14:paraId="0144B645" w14:textId="2D3AB314" w:rsidR="002E6D6C" w:rsidRPr="009641D6" w:rsidRDefault="00FA4FC5" w:rsidP="002E6D6C">
      <w:pPr>
        <w:jc w:val="both"/>
      </w:pPr>
      <w:r w:rsidRPr="00FA4FC5">
        <w:t xml:space="preserve">Por outro lado, </w:t>
      </w:r>
      <w:r>
        <w:t>a</w:t>
      </w:r>
      <w:r w:rsidR="002E6D6C" w:rsidRPr="00617430">
        <w:t xml:space="preserve">s exportações de carne de frango </w:t>
      </w:r>
      <w:r w:rsidR="002E6D6C" w:rsidRPr="00617430">
        <w:rPr>
          <w:i/>
        </w:rPr>
        <w:t>in natura</w:t>
      </w:r>
      <w:r w:rsidR="002E6D6C" w:rsidRPr="00617430">
        <w:t xml:space="preserve"> </w:t>
      </w:r>
      <w:r w:rsidR="002E6D6C" w:rsidRPr="00C47D6A">
        <w:t xml:space="preserve">registraram recordes em valor (US$ 9,62 bilhões; +1,1%) e quantidade (5,01 milhões de toneladas; +7,7%). A China foi o destino de 17,4% do produto, somando US$ 1,61 bilhão, sendo também o país que mais contribuiu para o crescimento das vendas externas brasileiras de carne de frango (+US$ 265,23 milhões). </w:t>
      </w:r>
      <w:r w:rsidR="002E6D6C">
        <w:t>Além da China</w:t>
      </w:r>
      <w:r>
        <w:t>,</w:t>
      </w:r>
      <w:r w:rsidR="002E6D6C">
        <w:t xml:space="preserve"> os principais destinos do produto foram: Japão (US$ 947,07 bilhões, e +0,3% em relação a 2022); Emirados Árabes Unidos (US$ 882,38 milhões e -6,9%); Arábia Saudita (US$ 843,09 milhões e -0,1%) e União Europeia (US$ 461,23 milhões e -10,2%). </w:t>
      </w:r>
      <w:r w:rsidR="002E6D6C" w:rsidRPr="00C47D6A">
        <w:t xml:space="preserve">Outro país que registrou crescimento elevado nas aquisições de carne de frango </w:t>
      </w:r>
      <w:r w:rsidR="002E6D6C" w:rsidRPr="00C47D6A">
        <w:rPr>
          <w:i/>
        </w:rPr>
        <w:t xml:space="preserve">in natura </w:t>
      </w:r>
      <w:r w:rsidR="002E6D6C" w:rsidRPr="00C47D6A">
        <w:t>em termos absolutos</w:t>
      </w:r>
      <w:r w:rsidR="002E6D6C">
        <w:rPr>
          <w:i/>
        </w:rPr>
        <w:t xml:space="preserve"> </w:t>
      </w:r>
      <w:r w:rsidR="002E6D6C" w:rsidRPr="00C47D6A">
        <w:t xml:space="preserve">foi o Iraque, com US$ 172,79 milhões acima do que havia sido registrado </w:t>
      </w:r>
      <w:r w:rsidR="002E6D6C" w:rsidRPr="00086E6D">
        <w:t xml:space="preserve">em 2022. </w:t>
      </w:r>
    </w:p>
    <w:p w14:paraId="44112DDD" w14:textId="1E144D78" w:rsidR="002E6D6C" w:rsidRDefault="002E6D6C" w:rsidP="002E6D6C">
      <w:pPr>
        <w:jc w:val="both"/>
      </w:pPr>
      <w:r w:rsidRPr="009641D6">
        <w:t xml:space="preserve">A carne suína </w:t>
      </w:r>
      <w:r w:rsidRPr="009641D6">
        <w:rPr>
          <w:i/>
        </w:rPr>
        <w:t>in natura</w:t>
      </w:r>
      <w:r w:rsidRPr="009641D6">
        <w:t xml:space="preserve">, assim como a de frango, registrou as maiores cifras da série histórica em valor e quantidade: US$ 2,63 bilhões (+9,3%) e 1,09 milhão de toneladas (+7,3%). A China também foi o principal destino, </w:t>
      </w:r>
      <w:r w:rsidR="00FA4FC5">
        <w:t xml:space="preserve">tendo adquirido </w:t>
      </w:r>
      <w:r w:rsidRPr="009641D6">
        <w:t xml:space="preserve">um terço do total, ou US$ 875,95 milhões (-16,9%). Outros principais destinos foram: </w:t>
      </w:r>
      <w:r w:rsidRPr="00C439AF">
        <w:t>Filipinas (</w:t>
      </w:r>
      <w:r>
        <w:t>US$ 274,12 milhões e +57,4% em relação a 2022</w:t>
      </w:r>
      <w:r w:rsidRPr="00C439AF">
        <w:t>); Hon</w:t>
      </w:r>
      <w:r w:rsidRPr="00D6676D">
        <w:t xml:space="preserve">g Kong (US$ 258,76 milhões e +39,5%); Chile (US$ 196,25 milhões e +43,8%) e </w:t>
      </w:r>
      <w:r w:rsidR="00664C84">
        <w:t>S</w:t>
      </w:r>
      <w:r w:rsidRPr="00D6676D">
        <w:t>ingapura (US$ 161,42 milhões e +22,2%). Diversos</w:t>
      </w:r>
      <w:r w:rsidR="00FA4FC5">
        <w:t xml:space="preserve"> países asiáticos tem sofrido nos últimos anos </w:t>
      </w:r>
      <w:r w:rsidRPr="00D6676D">
        <w:t xml:space="preserve">com surtos frequentes de Peste Suína Africana (PSA) nos principais produtores, o que favorece </w:t>
      </w:r>
      <w:r w:rsidR="00FA4FC5">
        <w:t xml:space="preserve">a elevação dos preços e </w:t>
      </w:r>
      <w:r w:rsidRPr="00D6676D">
        <w:t>a exportação dessa proteína pelo Brasil</w:t>
      </w:r>
      <w:r>
        <w:rPr>
          <w:rStyle w:val="Refdenotaderodap"/>
        </w:rPr>
        <w:footnoteReference w:id="14"/>
      </w:r>
      <w:r w:rsidRPr="00D6676D">
        <w:t>.</w:t>
      </w:r>
    </w:p>
    <w:p w14:paraId="4AB17E69" w14:textId="156A807E" w:rsidR="006A6C55" w:rsidRDefault="006A6C55" w:rsidP="00A04FCA">
      <w:pPr>
        <w:jc w:val="both"/>
      </w:pPr>
      <w:r>
        <w:t xml:space="preserve">O complexo sucroalcooleiro ocupou a terceira posição entre os setores exportadores, somando, US$ 17,38 bilhões, isto é, 36,0% acima do que havia sido registrado em 2022. O setor foi o único entre os principais exportadores que obteve crescimento no preço médio (+19,0%).  As vendas de açúcar foram responsáveis por 90,6% das vendas do complexo em valor, com US$ 15,75 bilhões. </w:t>
      </w:r>
      <w:r w:rsidRPr="00A04FCA">
        <w:t xml:space="preserve">As exportações de açúcar de cana em bruto foram recordes em valor: US$ </w:t>
      </w:r>
      <w:r w:rsidR="00AD2A49" w:rsidRPr="00A04FCA">
        <w:t>13,30</w:t>
      </w:r>
      <w:r w:rsidRPr="00A04FCA">
        <w:t xml:space="preserve"> bilhões, </w:t>
      </w:r>
      <w:r w:rsidR="00AD2A49" w:rsidRPr="00A04FCA">
        <w:t>ou seja,</w:t>
      </w:r>
      <w:r w:rsidRPr="00A04FCA">
        <w:t xml:space="preserve"> </w:t>
      </w:r>
      <w:r w:rsidR="00AD2A49" w:rsidRPr="00A04FCA">
        <w:t>39,6</w:t>
      </w:r>
      <w:r w:rsidRPr="00A04FCA">
        <w:t xml:space="preserve">% </w:t>
      </w:r>
      <w:r w:rsidR="00AD2A49" w:rsidRPr="00A04FCA">
        <w:t xml:space="preserve">superiores </w:t>
      </w:r>
      <w:r w:rsidRPr="00A04FCA">
        <w:t xml:space="preserve">a 2022. </w:t>
      </w:r>
      <w:r w:rsidR="00AD2A49" w:rsidRPr="00A04FCA">
        <w:t>A quantidade embarcada também foi a maior já registrada na série histórica: 27,04 milhões de toneladas.</w:t>
      </w:r>
      <w:r w:rsidR="00AC436B" w:rsidRPr="00A04FCA">
        <w:t xml:space="preserve"> O mercado chinês foi o principal destino</w:t>
      </w:r>
      <w:r w:rsidRPr="00A04FCA">
        <w:t>, com US$ 1,</w:t>
      </w:r>
      <w:r w:rsidR="00AC436B" w:rsidRPr="00A04FCA">
        <w:t>85</w:t>
      </w:r>
      <w:r w:rsidRPr="00A04FCA">
        <w:t xml:space="preserve"> bilhão, ou </w:t>
      </w:r>
      <w:r w:rsidR="00AC436B" w:rsidRPr="00A04FCA">
        <w:t>13,9% do total e crescimento de 9,1%</w:t>
      </w:r>
      <w:r w:rsidR="004F662F" w:rsidRPr="00A04FCA">
        <w:t xml:space="preserve"> em valor</w:t>
      </w:r>
      <w:r w:rsidRPr="00A04FCA">
        <w:t xml:space="preserve">. </w:t>
      </w:r>
      <w:r w:rsidR="00A04FCA" w:rsidRPr="00A04FCA">
        <w:t>Contudo, a</w:t>
      </w:r>
      <w:r w:rsidRPr="00A04FCA">
        <w:t xml:space="preserve"> Índia foi o destino que mais contribuiu para a expansão, com aumento de US$ </w:t>
      </w:r>
      <w:r w:rsidR="00A04FCA" w:rsidRPr="00A04FCA">
        <w:t>1,00 bilhão</w:t>
      </w:r>
      <w:r w:rsidRPr="00A04FCA">
        <w:t xml:space="preserve"> em termos absolutos, tendo sido o segundo principal destino do produto (US$ </w:t>
      </w:r>
      <w:r w:rsidR="00A04FCA" w:rsidRPr="00A04FCA">
        <w:t>1,22 bilhão</w:t>
      </w:r>
      <w:r w:rsidRPr="00A04FCA">
        <w:t xml:space="preserve">, ou </w:t>
      </w:r>
      <w:r w:rsidR="00A04FCA" w:rsidRPr="00A04FCA">
        <w:t>9,2</w:t>
      </w:r>
      <w:r w:rsidRPr="00A04FCA">
        <w:t>% do total</w:t>
      </w:r>
      <w:r w:rsidR="00A04FCA" w:rsidRPr="00A04FCA">
        <w:t xml:space="preserve"> e 459,1% de crescimento relativo</w:t>
      </w:r>
      <w:r w:rsidRPr="00A04FCA">
        <w:t>).</w:t>
      </w:r>
      <w:r>
        <w:t xml:space="preserve"> </w:t>
      </w:r>
      <w:r w:rsidR="00A04FCA">
        <w:t xml:space="preserve">De acordo com o Centro de Estudos Avançados em Economia Aplicada – ESALQ/USP, “o aumento das exportações de açúcar já era previsto, impulsionado pelos preços favoráveis, face à menor oferta mundial. Na temporada global 2022/23, encerrada em setembro/23, a Índia, que é o segundo maior produtor da commodity, registrou queda de 13,23% na </w:t>
      </w:r>
      <w:r w:rsidR="00A04FCA" w:rsidRPr="00A04FCA">
        <w:t>produção; para a União Europeia, a redução foi de 11,26%, segundo o USDA”</w:t>
      </w:r>
      <w:r w:rsidR="00A04FCA" w:rsidRPr="00A04FCA">
        <w:rPr>
          <w:rStyle w:val="Refdenotaderodap"/>
        </w:rPr>
        <w:footnoteReference w:id="15"/>
      </w:r>
      <w:r w:rsidR="00A04FCA" w:rsidRPr="00A04FCA">
        <w:t>. O CEPEA havia indicado, em publicação anterior, que o tempo seco ameaçava a produtividade nas lavouras de açúcar da Índia e Tailândia.</w:t>
      </w:r>
    </w:p>
    <w:p w14:paraId="1AC9D892" w14:textId="52F77EF7" w:rsidR="006A6C55" w:rsidRDefault="006A6C55" w:rsidP="006A6C55">
      <w:pPr>
        <w:jc w:val="both"/>
      </w:pPr>
      <w:r w:rsidRPr="00DE2875">
        <w:t xml:space="preserve">As exportações de álcool etílico somaram US$ 1,61 bilhão (-7,7%) e 2,02 milhões de toneladas (+3,7%). </w:t>
      </w:r>
      <w:r w:rsidR="00DE2875" w:rsidRPr="00DE2875">
        <w:t xml:space="preserve">A queda em valor reflete a redução nas vendas para os três principais mercados de destino do produto brasileiro. </w:t>
      </w:r>
      <w:r w:rsidRPr="00DE2875">
        <w:t xml:space="preserve">O principal destino foi a Coreia do Sul, com US$ </w:t>
      </w:r>
      <w:r w:rsidR="00DE2875" w:rsidRPr="00DE2875">
        <w:t>526,69</w:t>
      </w:r>
      <w:r w:rsidRPr="00DE2875">
        <w:t xml:space="preserve"> milhões</w:t>
      </w:r>
      <w:r w:rsidR="00DE2875" w:rsidRPr="00DE2875">
        <w:t xml:space="preserve"> (-0,2% em relação a 2022), seguido</w:t>
      </w:r>
      <w:r w:rsidRPr="00DE2875">
        <w:t xml:space="preserve"> pela União </w:t>
      </w:r>
      <w:r w:rsidRPr="00DE2875">
        <w:lastRenderedPageBreak/>
        <w:t xml:space="preserve">Europeia (US$ </w:t>
      </w:r>
      <w:r w:rsidR="00DE2875" w:rsidRPr="00DE2875">
        <w:t>385,58</w:t>
      </w:r>
      <w:r w:rsidRPr="00DE2875">
        <w:t xml:space="preserve"> milhões</w:t>
      </w:r>
      <w:r w:rsidR="00DE2875" w:rsidRPr="00DE2875">
        <w:t xml:space="preserve"> e -30,2% em relação a 2022</w:t>
      </w:r>
      <w:r w:rsidRPr="00DE2875">
        <w:t xml:space="preserve">) e Estados Unidos (US$ </w:t>
      </w:r>
      <w:r w:rsidR="00DE2875" w:rsidRPr="00DE2875">
        <w:t>243,71</w:t>
      </w:r>
      <w:r w:rsidRPr="00DE2875">
        <w:t xml:space="preserve"> milhões</w:t>
      </w:r>
      <w:r w:rsidR="00DE2875" w:rsidRPr="00DE2875">
        <w:t xml:space="preserve"> e -21,0% em relação a 2022</w:t>
      </w:r>
      <w:r w:rsidRPr="00DE2875">
        <w:t>).</w:t>
      </w:r>
    </w:p>
    <w:p w14:paraId="6CA2A8EC" w14:textId="18EE9522" w:rsidR="002E6D6C" w:rsidRPr="00171D82" w:rsidRDefault="002E6D6C" w:rsidP="002E6D6C">
      <w:pPr>
        <w:jc w:val="both"/>
      </w:pPr>
      <w:r>
        <w:t xml:space="preserve">O setor de cereais, farinhas e preparações ocupou a terceira posição no </w:t>
      </w:r>
      <w:r>
        <w:rPr>
          <w:i/>
        </w:rPr>
        <w:t xml:space="preserve">ranking </w:t>
      </w:r>
      <w:r>
        <w:t xml:space="preserve">de setores em 2023. </w:t>
      </w:r>
      <w:r w:rsidR="006049D2">
        <w:t xml:space="preserve">Foram exportados US$ 15,56 bilhões, dos quais o milho representou 86,6%. </w:t>
      </w:r>
      <w:r>
        <w:t>A</w:t>
      </w:r>
      <w:r w:rsidR="006049D2">
        <w:t xml:space="preserve">s vendas externas de milho </w:t>
      </w:r>
      <w:r>
        <w:t>alcança</w:t>
      </w:r>
      <w:r w:rsidR="006049D2">
        <w:t>ram</w:t>
      </w:r>
      <w:r>
        <w:t xml:space="preserve"> a cifra recorde de US$ 13,48 bilhões, </w:t>
      </w:r>
      <w:r w:rsidR="006049D2">
        <w:t>assim</w:t>
      </w:r>
      <w:r>
        <w:t xml:space="preserve"> como </w:t>
      </w:r>
      <w:r w:rsidR="006049D2">
        <w:t xml:space="preserve">foi registrada </w:t>
      </w:r>
      <w:r>
        <w:t xml:space="preserve">a maior quantidade já embarcada pelo Brasil: 55,86 milhões de toneladas. </w:t>
      </w:r>
      <w:r w:rsidRPr="00672659">
        <w:t xml:space="preserve">A quantidade exportada do </w:t>
      </w:r>
      <w:r>
        <w:t>cereal</w:t>
      </w:r>
      <w:r w:rsidRPr="00672659">
        <w:t xml:space="preserve"> brasileiro </w:t>
      </w:r>
      <w:r>
        <w:t xml:space="preserve">em </w:t>
      </w:r>
      <w:r w:rsidRPr="00672659">
        <w:t xml:space="preserve">2023 </w:t>
      </w:r>
      <w:r>
        <w:t>suplantou</w:t>
      </w:r>
      <w:r w:rsidRPr="00672659">
        <w:t xml:space="preserve"> </w:t>
      </w:r>
      <w:r>
        <w:t xml:space="preserve">o </w:t>
      </w:r>
      <w:r>
        <w:rPr>
          <w:i/>
        </w:rPr>
        <w:t>quantum</w:t>
      </w:r>
      <w:r>
        <w:t xml:space="preserve"> previsto </w:t>
      </w:r>
      <w:r w:rsidRPr="00672659">
        <w:t>pelo Departamento de Agricultura dos Estad</w:t>
      </w:r>
      <w:r>
        <w:t>os Unidos (USDA) a ser exportado</w:t>
      </w:r>
      <w:r w:rsidRPr="00672659">
        <w:t xml:space="preserve"> pelos Estados Unid</w:t>
      </w:r>
      <w:r>
        <w:t xml:space="preserve">os na safra 2022/23, </w:t>
      </w:r>
      <w:r w:rsidRPr="00672659">
        <w:t>de 42,20 milhões de toneladas</w:t>
      </w:r>
      <w:r>
        <w:rPr>
          <w:rStyle w:val="Refdenotaderodap"/>
        </w:rPr>
        <w:footnoteReference w:id="16"/>
      </w:r>
      <w:r w:rsidRPr="00672659">
        <w:t xml:space="preserve">. O excedente produtivo possibilitado pela safra recorde brasileira de </w:t>
      </w:r>
      <w:r>
        <w:t>154,61</w:t>
      </w:r>
      <w:r w:rsidRPr="00672659">
        <w:t xml:space="preserve"> milhões de toneladas</w:t>
      </w:r>
      <w:r>
        <w:rPr>
          <w:rStyle w:val="Refdenotaderodap"/>
        </w:rPr>
        <w:footnoteReference w:id="17"/>
      </w:r>
      <w:r w:rsidRPr="00672659">
        <w:t>, bem como a abertura do mercado chinês ao Brasil</w:t>
      </w:r>
      <w:r>
        <w:rPr>
          <w:rStyle w:val="Refdenotaderodap"/>
        </w:rPr>
        <w:footnoteReference w:id="18"/>
      </w:r>
      <w:r w:rsidRPr="00672659">
        <w:t xml:space="preserve"> e a seca que prejudicou a produção dos Estados Unidos tornaram possível esse desempenho do milho, de modo que o </w:t>
      </w:r>
      <w:r>
        <w:t>Brasil voltou</w:t>
      </w:r>
      <w:r w:rsidRPr="00672659">
        <w:t xml:space="preserve"> a ser o maior exportador mundial do cereal em </w:t>
      </w:r>
      <w:r w:rsidRPr="0089560F">
        <w:t xml:space="preserve">2023. </w:t>
      </w:r>
      <w:r w:rsidR="0089560F" w:rsidRPr="0089560F">
        <w:t xml:space="preserve">A China foi o destino de </w:t>
      </w:r>
      <w:r w:rsidR="0089560F">
        <w:t>27,2</w:t>
      </w:r>
      <w:r w:rsidR="0089560F" w:rsidRPr="0089560F">
        <w:t xml:space="preserve">% do milho brasileiro exportado em 2023, somando US$ </w:t>
      </w:r>
      <w:r w:rsidR="0089560F">
        <w:t>3,66</w:t>
      </w:r>
      <w:r w:rsidR="0089560F" w:rsidRPr="0089560F">
        <w:t xml:space="preserve"> bilhões (</w:t>
      </w:r>
      <w:r w:rsidR="0089560F">
        <w:t>16,16</w:t>
      </w:r>
      <w:r w:rsidR="0089560F" w:rsidRPr="0089560F">
        <w:t xml:space="preserve"> milhões de toneladas). </w:t>
      </w:r>
      <w:r w:rsidR="0089560F">
        <w:t xml:space="preserve">Na comparação com o ano anterior o crescimento das exportações ao mercado chinês foi de 1.033,1%. </w:t>
      </w:r>
      <w:r w:rsidR="0089560F" w:rsidRPr="0089560F">
        <w:t>Outros destinos que se destacaram foram: Japão (US$ 1,</w:t>
      </w:r>
      <w:r w:rsidR="0089560F">
        <w:t>4</w:t>
      </w:r>
      <w:r w:rsidR="0089560F" w:rsidRPr="0089560F">
        <w:t xml:space="preserve">7 bilhão, ou </w:t>
      </w:r>
      <w:r w:rsidR="0089560F">
        <w:t>10,9</w:t>
      </w:r>
      <w:r w:rsidR="0089560F" w:rsidRPr="0089560F">
        <w:t>% do total e +</w:t>
      </w:r>
      <w:r w:rsidR="0089560F">
        <w:t>8,2</w:t>
      </w:r>
      <w:r w:rsidR="0089560F" w:rsidRPr="0089560F">
        <w:t xml:space="preserve">% em relação a 2022); Vietnã (US$ </w:t>
      </w:r>
      <w:r w:rsidR="0089560F">
        <w:t>1,14 bilhão</w:t>
      </w:r>
      <w:r w:rsidR="0089560F" w:rsidRPr="0089560F">
        <w:t xml:space="preserve">, ou </w:t>
      </w:r>
      <w:r w:rsidR="0089560F">
        <w:t>8,5</w:t>
      </w:r>
      <w:r w:rsidR="0089560F" w:rsidRPr="0089560F">
        <w:t>% do total e +</w:t>
      </w:r>
      <w:r w:rsidR="0089560F">
        <w:t>137,7</w:t>
      </w:r>
      <w:r w:rsidR="0089560F" w:rsidRPr="0089560F">
        <w:t xml:space="preserve">% em relação a 2022); Coreia do Sul (US$ </w:t>
      </w:r>
      <w:r w:rsidR="0089560F">
        <w:t>865,81 milhões, ou 6,4</w:t>
      </w:r>
      <w:r w:rsidR="0089560F" w:rsidRPr="0089560F">
        <w:t>% do total e +</w:t>
      </w:r>
      <w:r w:rsidR="0089560F">
        <w:t>35,7</w:t>
      </w:r>
      <w:r w:rsidR="0089560F" w:rsidRPr="0089560F">
        <w:t>% em relação a 2022)</w:t>
      </w:r>
      <w:r w:rsidR="0089560F">
        <w:t xml:space="preserve">; </w:t>
      </w:r>
      <w:r w:rsidR="0089560F" w:rsidRPr="0089560F">
        <w:t xml:space="preserve">Irã (US$ </w:t>
      </w:r>
      <w:r w:rsidR="0089560F">
        <w:t>824,47</w:t>
      </w:r>
      <w:r w:rsidR="0089560F" w:rsidRPr="0089560F">
        <w:t xml:space="preserve"> milhões, ou </w:t>
      </w:r>
      <w:r w:rsidR="0089560F">
        <w:t>6,1</w:t>
      </w:r>
      <w:r w:rsidR="0089560F" w:rsidRPr="0089560F">
        <w:t>% do total e -</w:t>
      </w:r>
      <w:r w:rsidR="0089560F">
        <w:t>58,9</w:t>
      </w:r>
      <w:r w:rsidR="0089560F" w:rsidRPr="0089560F">
        <w:t>% em relação a 2022)</w:t>
      </w:r>
      <w:r w:rsidR="0089560F">
        <w:t xml:space="preserve"> e </w:t>
      </w:r>
      <w:r w:rsidR="0089560F" w:rsidRPr="0089560F">
        <w:t xml:space="preserve">União Europeia (US$ </w:t>
      </w:r>
      <w:r w:rsidR="0089560F">
        <w:t>735,86</w:t>
      </w:r>
      <w:r w:rsidR="0089560F" w:rsidRPr="0089560F">
        <w:t xml:space="preserve"> milhões, ou </w:t>
      </w:r>
      <w:r w:rsidR="0089560F">
        <w:t>5,5</w:t>
      </w:r>
      <w:r w:rsidR="0089560F" w:rsidRPr="0089560F">
        <w:t>% do total e -</w:t>
      </w:r>
      <w:r w:rsidR="0089560F">
        <w:t>67,5% em relação a 2022)</w:t>
      </w:r>
      <w:r w:rsidR="0089560F" w:rsidRPr="0089560F">
        <w:t>.</w:t>
      </w:r>
    </w:p>
    <w:p w14:paraId="7C0A4672" w14:textId="7C1D9B64" w:rsidR="00DE3A23" w:rsidRPr="006E649A" w:rsidRDefault="00DE3A23" w:rsidP="00DE3A23">
      <w:pPr>
        <w:jc w:val="both"/>
      </w:pPr>
      <w:r>
        <w:t xml:space="preserve">Por fim, as exportações dos produtos florestais somaram US$ 14,28 bilhões, ou seja, 13,4% inferior aos US$ 16,48 bilhões exportados em 2022. A celulose representou 55,6% das vendas externas do setor, somando US$ 7,94 bilhões (-5,3%). O </w:t>
      </w:r>
      <w:r w:rsidRPr="006E649A">
        <w:rPr>
          <w:i/>
        </w:rPr>
        <w:t>quantum</w:t>
      </w:r>
      <w:r>
        <w:t xml:space="preserve"> exportado do produto sofreu redução de 3,5%, alcançando 19,10 milhões de </w:t>
      </w:r>
      <w:r w:rsidRPr="006E649A">
        <w:t xml:space="preserve">toneladas. Houve ainda registro de redução no preço médio (US$ 423 para US$ 416 por tonelada, ou -1,9%). A queda nas exportações brasileiras para a União Europeia (-US$ </w:t>
      </w:r>
      <w:r w:rsidR="006E649A" w:rsidRPr="006E649A">
        <w:t>623,13</w:t>
      </w:r>
      <w:r w:rsidRPr="006E649A">
        <w:t xml:space="preserve"> milhões) e Japão (-US$ </w:t>
      </w:r>
      <w:r w:rsidR="006E649A" w:rsidRPr="006E649A">
        <w:t>175,40</w:t>
      </w:r>
      <w:r w:rsidRPr="006E649A">
        <w:t xml:space="preserve"> milhões)</w:t>
      </w:r>
      <w:r w:rsidR="006E649A" w:rsidRPr="006E649A">
        <w:t xml:space="preserve"> foram o principal fator para o desempenho negativo da celulose no mercado externo. Ao mesmo tempo, o crescimento nas vendas para a China </w:t>
      </w:r>
      <w:r w:rsidRPr="006E649A">
        <w:t xml:space="preserve">(+US$ </w:t>
      </w:r>
      <w:r w:rsidR="006E649A" w:rsidRPr="006E649A">
        <w:t>480,13</w:t>
      </w:r>
      <w:r w:rsidRPr="006E649A">
        <w:t xml:space="preserve"> milhões), principal destino do produto</w:t>
      </w:r>
      <w:r w:rsidR="006E649A" w:rsidRPr="006E649A">
        <w:t xml:space="preserve"> (48,0% do total) e para os</w:t>
      </w:r>
      <w:r w:rsidRPr="006E649A">
        <w:t xml:space="preserve"> demais mercados de destino</w:t>
      </w:r>
      <w:r w:rsidR="006E649A" w:rsidRPr="006E649A">
        <w:t xml:space="preserve"> não compensou as perdas para </w:t>
      </w:r>
      <w:r w:rsidR="00664C84">
        <w:t>aqueles</w:t>
      </w:r>
      <w:r w:rsidR="006E649A" w:rsidRPr="006E649A">
        <w:t xml:space="preserve"> destinos em destaque</w:t>
      </w:r>
      <w:r w:rsidRPr="006E649A">
        <w:t xml:space="preserve">. </w:t>
      </w:r>
    </w:p>
    <w:p w14:paraId="313D8245" w14:textId="4B781D59" w:rsidR="00DE3A23" w:rsidRDefault="00DE3A23" w:rsidP="00DE3A23">
      <w:pPr>
        <w:jc w:val="both"/>
      </w:pPr>
      <w:r>
        <w:t xml:space="preserve">As exportações de madeiras e suas obras representaram 27,7% das vendas externas do complexo, com US$ 3,96 bilhões. Na comparação com 2022 (US$ 5,39 bilhões) houve queda de 26,6%, tanto em função da redução da quantidade em 20,1% (9,80 para 7,83 milhões de toneladas), como do preço médio de venda em 8,2% (US$ 550 para US$ 505 </w:t>
      </w:r>
      <w:r w:rsidR="0028047B">
        <w:t>por tonelada). O Estados Unidos, apesar de ainda serem o principal destino do produto</w:t>
      </w:r>
      <w:r w:rsidR="005E664B">
        <w:t xml:space="preserve"> (41,9% do total)</w:t>
      </w:r>
      <w:r w:rsidR="0005221D">
        <w:t>, foram também os maiores responsáveis pela queda nas vendas externas brasileiras, uma vez que suas aquisições caíram de US$ 2,62 bilhões em 2022 para US$ 1,66 bilhão em 2023 (-36,9%).</w:t>
      </w:r>
    </w:p>
    <w:p w14:paraId="373759A6" w14:textId="1FBB587A" w:rsidR="002E6D6C" w:rsidRDefault="00DE3A23" w:rsidP="00DE3A23">
      <w:pPr>
        <w:jc w:val="both"/>
      </w:pPr>
      <w:r>
        <w:t>Assim como a celulose e a madeira, as vendas externas de papel registraram queda (-12,3%), somando US$ 2,37 bilhões em 2023. Porém no caso do papel houve pequeno aumento no preço médio (+0,2%), que não compensou a queda na quantidade (-12,4%), causando a retração em valor observada.</w:t>
      </w:r>
    </w:p>
    <w:p w14:paraId="61770F24" w14:textId="68E248D1" w:rsidR="002E6D6C" w:rsidRDefault="007B2632" w:rsidP="002E6D6C">
      <w:pPr>
        <w:jc w:val="both"/>
      </w:pPr>
      <w:r>
        <w:t xml:space="preserve">Apesar de não figurarem entre os cinco setores acima destacados, alguns produtos do agronegócio cabem serem ressaltados, em função do desempenho positivo no mercado externo em 2023. O suco de laranja, por exemplo </w:t>
      </w:r>
      <w:r w:rsidR="00295E99">
        <w:t>alcançou</w:t>
      </w:r>
      <w:r>
        <w:t xml:space="preserve"> recorde em valor e quantidade exportados, com US$ 2,44 bilhões e 2,65 milhões de toneladas. </w:t>
      </w:r>
      <w:r w:rsidR="00A265CE" w:rsidRPr="00A265CE">
        <w:t>União Europeia e Estados Unidos foram os principais destinos do produto, re</w:t>
      </w:r>
      <w:r w:rsidR="00A265CE">
        <w:t>presentando, conjuntamente, 93,2</w:t>
      </w:r>
      <w:r w:rsidR="00A265CE" w:rsidRPr="00A265CE">
        <w:t>% da quantidade exportada pelo Brasil.</w:t>
      </w:r>
      <w:r w:rsidR="00A265CE">
        <w:t xml:space="preserve"> </w:t>
      </w:r>
      <w:r>
        <w:t xml:space="preserve">Outros produtos que registraram recordes foram: </w:t>
      </w:r>
      <w:r>
        <w:lastRenderedPageBreak/>
        <w:t>amendoim em grãos (</w:t>
      </w:r>
      <w:r w:rsidR="00143410">
        <w:t xml:space="preserve">recorde em valor e quantidade: </w:t>
      </w:r>
      <w:r>
        <w:t>US$ 443,71 milhões e 297,72 mil toneladas); óleo essencial de laranja (</w:t>
      </w:r>
      <w:r w:rsidR="00143410">
        <w:t xml:space="preserve">recorde em valor: </w:t>
      </w:r>
      <w:r>
        <w:t>US$ 356,58 milhões) e mangas frescas ou secas (</w:t>
      </w:r>
      <w:r w:rsidR="00143410">
        <w:t xml:space="preserve">recorde em valor: </w:t>
      </w:r>
      <w:r>
        <w:t>US$ 312,01 milhões).</w:t>
      </w:r>
    </w:p>
    <w:p w14:paraId="5177672C" w14:textId="5367B65F" w:rsidR="00C83268" w:rsidRPr="00433A20" w:rsidRDefault="00997604" w:rsidP="001D49FB">
      <w:pPr>
        <w:jc w:val="both"/>
      </w:pPr>
      <w:r w:rsidRPr="00997604">
        <w:t xml:space="preserve">As importações de produtos do agronegócio somaram US$ 16,61 bilhões e sofreram redução de 3,7% em 2023 em relação ao ano anterior. </w:t>
      </w:r>
      <w:r w:rsidR="001109BC">
        <w:t xml:space="preserve">A queda se deu em função da redução nas compras brasileiras de trigo estrangeiro (-US$ 757,35 milhões). </w:t>
      </w:r>
      <w:r w:rsidRPr="00997604">
        <w:t xml:space="preserve">Os principais produtos importados pelo Brasil foram: </w:t>
      </w:r>
      <w:bookmarkStart w:id="0" w:name="_GoBack"/>
      <w:r w:rsidRPr="00997604">
        <w:t xml:space="preserve">trigo (US$ 1,29 bilhão e -37,0%); papel (US$ 889,85 milhões e -1,9%); </w:t>
      </w:r>
      <w:r w:rsidR="001109BC" w:rsidRPr="00997604">
        <w:t>malte (US$ 867,56 milhões e +17,4%);</w:t>
      </w:r>
      <w:r w:rsidR="001109BC" w:rsidRPr="001109BC">
        <w:t xml:space="preserve"> </w:t>
      </w:r>
      <w:r w:rsidR="001109BC" w:rsidRPr="00997604">
        <w:t>salmões frescos ou refrigerados (US$ 775,62 milhões e +3,9%);</w:t>
      </w:r>
      <w:r w:rsidR="001109BC" w:rsidRPr="001109BC">
        <w:t xml:space="preserve"> </w:t>
      </w:r>
      <w:r w:rsidR="001109BC" w:rsidRPr="00997604">
        <w:t>leite em pó (US$ 738,56 milhões e +67,7%);</w:t>
      </w:r>
      <w:r w:rsidR="001109BC" w:rsidRPr="001109BC">
        <w:t xml:space="preserve"> </w:t>
      </w:r>
      <w:r w:rsidR="001109BC" w:rsidRPr="00997604">
        <w:t xml:space="preserve">vestuário e outros produtos têxteis de algodão (US$ </w:t>
      </w:r>
      <w:r w:rsidR="001109BC">
        <w:t>627,32</w:t>
      </w:r>
      <w:r w:rsidR="001109BC" w:rsidRPr="00997604">
        <w:t xml:space="preserve"> milhões e +</w:t>
      </w:r>
      <w:r w:rsidR="001109BC">
        <w:t>19,1</w:t>
      </w:r>
      <w:r w:rsidR="001109BC" w:rsidRPr="00997604">
        <w:t>%);</w:t>
      </w:r>
      <w:r w:rsidR="001109BC" w:rsidRPr="001109BC">
        <w:t xml:space="preserve"> </w:t>
      </w:r>
      <w:r w:rsidR="001109BC" w:rsidRPr="00997604">
        <w:t>azeite de oliva (US$ 590,34 milhões e +9,2%);</w:t>
      </w:r>
      <w:r w:rsidR="001109BC" w:rsidRPr="001109BC">
        <w:t xml:space="preserve"> </w:t>
      </w:r>
      <w:r w:rsidR="001109BC" w:rsidRPr="00997604">
        <w:t>arroz (US$ 525,77 milhões e +51,1%);</w:t>
      </w:r>
      <w:r w:rsidR="001109BC" w:rsidRPr="001109BC">
        <w:t xml:space="preserve"> </w:t>
      </w:r>
      <w:r w:rsidR="001109BC" w:rsidRPr="00997604">
        <w:t>óleo de dendê ou de palma (US$ 480,94 milhões e -39,8%)</w:t>
      </w:r>
      <w:r w:rsidR="001109BC" w:rsidRPr="001109BC">
        <w:t xml:space="preserve"> </w:t>
      </w:r>
      <w:r w:rsidR="001109BC" w:rsidRPr="00997604">
        <w:t xml:space="preserve">e vinho (US$ </w:t>
      </w:r>
      <w:r w:rsidR="001109BC">
        <w:t>468,12</w:t>
      </w:r>
      <w:r w:rsidR="001109BC" w:rsidRPr="00997604">
        <w:t xml:space="preserve"> milhões e +</w:t>
      </w:r>
      <w:r w:rsidR="001109BC">
        <w:t>1,6</w:t>
      </w:r>
      <w:r w:rsidR="001109BC" w:rsidRPr="00997604">
        <w:t>%)</w:t>
      </w:r>
      <w:bookmarkEnd w:id="0"/>
      <w:r w:rsidR="001109BC" w:rsidRPr="00997604">
        <w:t>.</w:t>
      </w:r>
    </w:p>
    <w:p w14:paraId="2AE0C0A7" w14:textId="77777777" w:rsidR="000533C4" w:rsidRPr="00787ED4" w:rsidRDefault="000533C4" w:rsidP="006D51BC">
      <w:pPr>
        <w:jc w:val="both"/>
      </w:pPr>
    </w:p>
    <w:p w14:paraId="05C52EE2" w14:textId="731AFBF0" w:rsidR="00C51F2D" w:rsidRDefault="009D4328" w:rsidP="00C51F2D">
      <w:pPr>
        <w:jc w:val="both"/>
      </w:pPr>
      <w:r w:rsidRPr="009D4328">
        <w:rPr>
          <w:noProof/>
          <w:lang w:eastAsia="pt-BR"/>
        </w:rPr>
        <w:drawing>
          <wp:inline distT="0" distB="0" distL="0" distR="0" wp14:anchorId="6D402C02" wp14:editId="65A4054F">
            <wp:extent cx="6188710" cy="3987800"/>
            <wp:effectExtent l="0" t="0" r="254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D235D" w14:textId="77777777" w:rsidR="002074D7" w:rsidRPr="00535CFB" w:rsidRDefault="002074D7" w:rsidP="00C51F2D">
      <w:pPr>
        <w:jc w:val="both"/>
      </w:pPr>
    </w:p>
    <w:p w14:paraId="78A4361E" w14:textId="77777777" w:rsidR="00C51F2D" w:rsidRPr="00535CFB" w:rsidRDefault="00C51F2D" w:rsidP="00C51F2D">
      <w:pPr>
        <w:jc w:val="both"/>
        <w:rPr>
          <w:b/>
          <w:bCs/>
        </w:rPr>
      </w:pPr>
      <w:proofErr w:type="spellStart"/>
      <w:r w:rsidRPr="00535CFB">
        <w:rPr>
          <w:b/>
          <w:bCs/>
        </w:rPr>
        <w:t>II.b</w:t>
      </w:r>
      <w:proofErr w:type="spellEnd"/>
      <w:r w:rsidRPr="00535CFB">
        <w:rPr>
          <w:b/>
          <w:bCs/>
        </w:rPr>
        <w:t xml:space="preserve"> – Blocos Econômicos e Regiões Geográficas</w:t>
      </w:r>
    </w:p>
    <w:p w14:paraId="19573955" w14:textId="26F7FBB4" w:rsidR="00DE0EDA" w:rsidRDefault="00412B8B" w:rsidP="00FF6B53">
      <w:pPr>
        <w:jc w:val="both"/>
      </w:pPr>
      <w:r>
        <w:t>A Ásia foi</w:t>
      </w:r>
      <w:r w:rsidRPr="00412B8B">
        <w:t xml:space="preserve"> a principal região geográfica importadora de prod</w:t>
      </w:r>
      <w:r>
        <w:t>utos do agronegócio brasileiro. Foram exportados US$ 89,14 bilhões à região em 2023, o que representou um crescimento de 13,0% na comparação com o ano prévio, quando as vendas haviam sido de US$ 78,86 bilhões.</w:t>
      </w:r>
      <w:r w:rsidRPr="00412B8B">
        <w:t xml:space="preserve"> Com</w:t>
      </w:r>
      <w:r w:rsidR="00DE0EDA">
        <w:t>o resultado</w:t>
      </w:r>
      <w:r w:rsidRPr="00412B8B">
        <w:t xml:space="preserve">, a participação da região subiu de </w:t>
      </w:r>
      <w:r w:rsidR="00DE0EDA">
        <w:t>49,6</w:t>
      </w:r>
      <w:r w:rsidRPr="00412B8B">
        <w:t xml:space="preserve">% para </w:t>
      </w:r>
      <w:r w:rsidR="00DE0EDA">
        <w:t>53,5% no período em análise, isto é, um</w:t>
      </w:r>
      <w:r w:rsidRPr="00412B8B">
        <w:t xml:space="preserve"> aumento de </w:t>
      </w:r>
      <w:proofErr w:type="spellStart"/>
      <w:r w:rsidRPr="00DE0EDA">
        <w:rPr>
          <w:i/>
        </w:rPr>
        <w:t>market</w:t>
      </w:r>
      <w:proofErr w:type="spellEnd"/>
      <w:r w:rsidRPr="00DE0EDA">
        <w:rPr>
          <w:i/>
        </w:rPr>
        <w:t xml:space="preserve"> </w:t>
      </w:r>
      <w:proofErr w:type="spellStart"/>
      <w:r w:rsidRPr="00DE0EDA">
        <w:rPr>
          <w:i/>
        </w:rPr>
        <w:t>share</w:t>
      </w:r>
      <w:proofErr w:type="spellEnd"/>
      <w:r w:rsidRPr="00412B8B">
        <w:t xml:space="preserve"> </w:t>
      </w:r>
      <w:r w:rsidR="00DE0EDA">
        <w:t xml:space="preserve">de quase </w:t>
      </w:r>
      <w:r w:rsidRPr="00412B8B">
        <w:t xml:space="preserve">4 pontos percentuais. </w:t>
      </w:r>
      <w:r w:rsidR="00DE0EDA">
        <w:t>O aumento nas exportações brasileiras de soja em grãos (+US$ 6,02 bilhões); milho (+US$ 4,58 bilhões) e açúcar de cana em bruto (+US$ 2,04 bilhões) foram os principais fatores para o des</w:t>
      </w:r>
      <w:r w:rsidR="006C4AE1">
        <w:t xml:space="preserve">empenho positivo observado, compensando as perdas nas vendas de carne bovina </w:t>
      </w:r>
      <w:r w:rsidR="006C4AE1">
        <w:rPr>
          <w:i/>
        </w:rPr>
        <w:t>in natura</w:t>
      </w:r>
      <w:r w:rsidR="006C4AE1">
        <w:t xml:space="preserve"> (-US$ 2,41 bilhões) e óleo de soja em bruto (US$ -1,12 bilhão).</w:t>
      </w:r>
    </w:p>
    <w:p w14:paraId="127FFEB6" w14:textId="1C770330" w:rsidR="007152A7" w:rsidRPr="006C4AE1" w:rsidRDefault="007152A7" w:rsidP="00FF6B53">
      <w:pPr>
        <w:jc w:val="both"/>
      </w:pPr>
      <w:r>
        <w:lastRenderedPageBreak/>
        <w:t>A União Europeia foi o segundo principal mercado de destino do agronegócio brasileiro em 2023, somando US$ 21,57 bilhões.</w:t>
      </w:r>
      <w:r w:rsidR="004E6DE6">
        <w:t xml:space="preserve"> </w:t>
      </w:r>
      <w:r w:rsidR="00DE4507">
        <w:t>Na</w:t>
      </w:r>
      <w:r w:rsidR="004E6DE6">
        <w:t xml:space="preserve"> comparação com 2022 houve queda de 15,5%, principalmente em função da redução nas vendas de milho (-US$ 1,52 bilhão); soja em grãos (-US$ 1,29 bilhão) e café verde (-US$ 1,00 bilhão)</w:t>
      </w:r>
      <w:r w:rsidR="00DE4507">
        <w:t>.</w:t>
      </w:r>
      <w:r w:rsidR="000343C0">
        <w:t xml:space="preserve"> </w:t>
      </w:r>
      <w:r w:rsidR="00F24057">
        <w:t>Em 2022 as questões climática</w:t>
      </w:r>
      <w:r w:rsidR="00F24057" w:rsidRPr="00F24057">
        <w:t xml:space="preserve">s </w:t>
      </w:r>
      <w:r w:rsidR="00F24057">
        <w:t xml:space="preserve">prejudicaram a produção de café brasileiro, ainda que </w:t>
      </w:r>
      <w:r w:rsidR="004B634C">
        <w:t>2022</w:t>
      </w:r>
      <w:r w:rsidR="00F24057">
        <w:t xml:space="preserve"> tenha sido </w:t>
      </w:r>
      <w:r w:rsidR="004B634C">
        <w:t xml:space="preserve">um ano </w:t>
      </w:r>
      <w:r w:rsidR="00F24057">
        <w:t>de</w:t>
      </w:r>
      <w:r w:rsidR="00F24057" w:rsidRPr="00F24057">
        <w:t xml:space="preserve"> </w:t>
      </w:r>
      <w:proofErr w:type="spellStart"/>
      <w:r w:rsidR="00F24057" w:rsidRPr="00F24057">
        <w:t>bienalidade</w:t>
      </w:r>
      <w:proofErr w:type="spellEnd"/>
      <w:r w:rsidR="00F24057" w:rsidRPr="00F24057">
        <w:t xml:space="preserve"> positiva</w:t>
      </w:r>
      <w:r w:rsidR="00F24057">
        <w:t xml:space="preserve"> para o produto.</w:t>
      </w:r>
      <w:r w:rsidR="004B634C">
        <w:t xml:space="preserve"> Na comparação com a safra 2020 (que havia sido a última em </w:t>
      </w:r>
      <w:proofErr w:type="spellStart"/>
      <w:r w:rsidR="004B634C">
        <w:t>bienalidade</w:t>
      </w:r>
      <w:proofErr w:type="spellEnd"/>
      <w:r w:rsidR="004B634C">
        <w:t xml:space="preserve"> positiva), houve queda de 19,3% na produção</w:t>
      </w:r>
      <w:r w:rsidR="004B634C">
        <w:rPr>
          <w:rStyle w:val="Refdenotaderodap"/>
        </w:rPr>
        <w:footnoteReference w:id="19"/>
      </w:r>
      <w:r w:rsidR="004B634C">
        <w:t>.</w:t>
      </w:r>
    </w:p>
    <w:p w14:paraId="6A96C10E" w14:textId="06148AF6" w:rsidR="005673BE" w:rsidRPr="00535CFB" w:rsidRDefault="009D4328" w:rsidP="00753D0C">
      <w:pPr>
        <w:jc w:val="both"/>
      </w:pPr>
      <w:r w:rsidRPr="009D4328">
        <w:rPr>
          <w:noProof/>
          <w:lang w:eastAsia="pt-BR"/>
        </w:rPr>
        <w:drawing>
          <wp:inline distT="0" distB="0" distL="0" distR="0" wp14:anchorId="5D23BA2F" wp14:editId="1800AB35">
            <wp:extent cx="6188710" cy="2475230"/>
            <wp:effectExtent l="0" t="0" r="2540" b="127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BD8F" w14:textId="77777777" w:rsidR="00C84569" w:rsidRDefault="00C84569" w:rsidP="00753D0C">
      <w:pPr>
        <w:jc w:val="both"/>
        <w:rPr>
          <w:b/>
          <w:bCs/>
        </w:rPr>
      </w:pPr>
    </w:p>
    <w:p w14:paraId="544D4C4F" w14:textId="55B5E493" w:rsidR="00ED77D5" w:rsidRPr="00535CFB" w:rsidRDefault="00ED77D5" w:rsidP="00753D0C">
      <w:pPr>
        <w:jc w:val="both"/>
        <w:rPr>
          <w:b/>
          <w:bCs/>
        </w:rPr>
      </w:pPr>
      <w:proofErr w:type="spellStart"/>
      <w:r w:rsidRPr="00535CFB">
        <w:rPr>
          <w:b/>
          <w:bCs/>
        </w:rPr>
        <w:t>II.c</w:t>
      </w:r>
      <w:proofErr w:type="spellEnd"/>
      <w:r w:rsidRPr="00535CFB">
        <w:rPr>
          <w:b/>
          <w:bCs/>
        </w:rPr>
        <w:t xml:space="preserve"> – Países</w:t>
      </w:r>
    </w:p>
    <w:p w14:paraId="680DDD30" w14:textId="60679C52" w:rsidR="00FF6B53" w:rsidRDefault="00FC74E7" w:rsidP="00FF6B53">
      <w:pPr>
        <w:jc w:val="both"/>
      </w:pPr>
      <w:r>
        <w:t xml:space="preserve">A China se manteve </w:t>
      </w:r>
      <w:r w:rsidR="005B77B6">
        <w:t>como</w:t>
      </w:r>
      <w:r>
        <w:t xml:space="preserve"> principal destino do agronegócio brasileiro em 2023. As vendas ao mercado foram recordes </w:t>
      </w:r>
      <w:r w:rsidR="00B95E4E">
        <w:t>na série histórica</w:t>
      </w:r>
      <w:r>
        <w:t xml:space="preserve">, somando US$ </w:t>
      </w:r>
      <w:r w:rsidR="00B95E4E">
        <w:t xml:space="preserve">60,24 bilhões (+18,8% ante 2022). Entre os dez principais produtos exportados pelo Brasil, que representaram 78,8% da pauta exportadora do setor, a China foi o principal destino de </w:t>
      </w:r>
      <w:r w:rsidR="000816D1">
        <w:t>oito</w:t>
      </w:r>
      <w:r w:rsidR="006A72AE">
        <w:t xml:space="preserve"> produtos: soja em grãos (73,1% de participação em valor); milho (27,2% de participação); açúcar de cana em bruto (13,9% de participação); carne bovina </w:t>
      </w:r>
      <w:r w:rsidR="006A72AE">
        <w:rPr>
          <w:i/>
        </w:rPr>
        <w:t xml:space="preserve">in natura </w:t>
      </w:r>
      <w:r w:rsidR="006A72AE">
        <w:t xml:space="preserve">(60,4% de participação); carne de frango </w:t>
      </w:r>
      <w:r w:rsidR="006A72AE">
        <w:rPr>
          <w:i/>
        </w:rPr>
        <w:t xml:space="preserve">in natura </w:t>
      </w:r>
      <w:r w:rsidR="006A72AE">
        <w:t>(</w:t>
      </w:r>
      <w:r w:rsidR="000816D1">
        <w:t>17,4</w:t>
      </w:r>
      <w:r w:rsidR="006A72AE">
        <w:t xml:space="preserve">% de participação); celulose </w:t>
      </w:r>
      <w:r w:rsidR="000816D1">
        <w:t>(48,0% de participação)</w:t>
      </w:r>
      <w:r w:rsidR="006A72AE">
        <w:t>; algodão não cardado nem penteado (</w:t>
      </w:r>
      <w:r w:rsidR="000816D1">
        <w:t>48,9</w:t>
      </w:r>
      <w:r w:rsidR="006A72AE">
        <w:t>% de participação)</w:t>
      </w:r>
      <w:r w:rsidR="000816D1">
        <w:t xml:space="preserve"> e</w:t>
      </w:r>
      <w:r w:rsidR="006A72AE">
        <w:t xml:space="preserve"> carne suína </w:t>
      </w:r>
      <w:r w:rsidR="006A72AE">
        <w:rPr>
          <w:i/>
        </w:rPr>
        <w:t>in natura</w:t>
      </w:r>
      <w:r w:rsidR="006A72AE">
        <w:t xml:space="preserve"> (</w:t>
      </w:r>
      <w:r w:rsidR="000816D1">
        <w:t>33,3</w:t>
      </w:r>
      <w:r w:rsidR="006A72AE">
        <w:t>% de participação).</w:t>
      </w:r>
    </w:p>
    <w:p w14:paraId="2D9AD2E9" w14:textId="5B4DFEFB" w:rsidR="006903B2" w:rsidRDefault="006903B2" w:rsidP="00FF6B53">
      <w:pPr>
        <w:jc w:val="both"/>
      </w:pPr>
      <w:r>
        <w:t>A China também foi o país que mais contribuiu para o crescimento das exportações do agronegócio brasileiro em 2023, com acréscimo de US$ 9,53 bilhões em relação a 2022. Além do mercado chinês</w:t>
      </w:r>
      <w:r w:rsidR="005B77B6">
        <w:t>,</w:t>
      </w:r>
      <w:r>
        <w:t xml:space="preserve"> os países que mais contribuíram para o aumento das vendas brasileiras do agronegócio foram: Argentina (+1,63 bilhão); Indonésia (+736,11 mil</w:t>
      </w:r>
      <w:r w:rsidR="00332E32">
        <w:t>hões); México (+709,94 milhões) e</w:t>
      </w:r>
      <w:r>
        <w:t xml:space="preserve"> Iraque (+670,54 milhões).</w:t>
      </w:r>
    </w:p>
    <w:p w14:paraId="6B42B4AD" w14:textId="2AD661D8" w:rsidR="006A603C" w:rsidRPr="006A603C" w:rsidRDefault="006A603C" w:rsidP="00FF6B53">
      <w:pPr>
        <w:jc w:val="both"/>
      </w:pPr>
      <w:r>
        <w:t xml:space="preserve">Os </w:t>
      </w:r>
      <w:r w:rsidR="00F24057">
        <w:t>E</w:t>
      </w:r>
      <w:r>
        <w:t xml:space="preserve">stados Unidos, segundo país de destino do agronegócio brasileiro </w:t>
      </w:r>
      <w:r w:rsidR="00696E9D">
        <w:t xml:space="preserve">(5,9% de </w:t>
      </w:r>
      <w:proofErr w:type="spellStart"/>
      <w:r w:rsidR="00696E9D" w:rsidRPr="00696E9D">
        <w:rPr>
          <w:i/>
        </w:rPr>
        <w:t>market</w:t>
      </w:r>
      <w:proofErr w:type="spellEnd"/>
      <w:r w:rsidR="00696E9D" w:rsidRPr="00696E9D">
        <w:rPr>
          <w:i/>
        </w:rPr>
        <w:t xml:space="preserve"> </w:t>
      </w:r>
      <w:proofErr w:type="spellStart"/>
      <w:r w:rsidR="00696E9D" w:rsidRPr="00696E9D">
        <w:rPr>
          <w:i/>
        </w:rPr>
        <w:t>share</w:t>
      </w:r>
      <w:proofErr w:type="spellEnd"/>
      <w:r w:rsidR="00696E9D">
        <w:t xml:space="preserve">) </w:t>
      </w:r>
      <w:r>
        <w:t>teve como principais produtos exportados: celulose (</w:t>
      </w:r>
      <w:r w:rsidR="00C2568B">
        <w:t>US$ 1,19 bilhão e +1,9% em relação a 2022</w:t>
      </w:r>
      <w:r>
        <w:t>); café verde (</w:t>
      </w:r>
      <w:r w:rsidR="00C2568B">
        <w:t>US$ 1,13 bilhão e -34,0%</w:t>
      </w:r>
      <w:r>
        <w:t>); suco de laranja (</w:t>
      </w:r>
      <w:r w:rsidR="00C2568B">
        <w:t>US$ 794,53 milhões e +47,9%</w:t>
      </w:r>
      <w:r>
        <w:t xml:space="preserve">) e carne bovina </w:t>
      </w:r>
      <w:r>
        <w:rPr>
          <w:i/>
        </w:rPr>
        <w:t>in natura</w:t>
      </w:r>
      <w:r>
        <w:t xml:space="preserve"> (</w:t>
      </w:r>
      <w:r w:rsidR="00C2568B">
        <w:t>US$ 463,37 bilhões e +3,8%</w:t>
      </w:r>
      <w:r>
        <w:t>).</w:t>
      </w:r>
      <w:r w:rsidR="00AF557F">
        <w:t xml:space="preserve"> A queda nas vendas de café verde foi o que mais contribuiu para a redução nas exportações bra</w:t>
      </w:r>
      <w:r w:rsidR="00C13717">
        <w:t>sileiras do agronegócio ao país em 2023.</w:t>
      </w:r>
    </w:p>
    <w:p w14:paraId="4954ABE9" w14:textId="45D14BA2" w:rsidR="004F6523" w:rsidRDefault="009D4328" w:rsidP="00C51F2D">
      <w:pPr>
        <w:jc w:val="both"/>
      </w:pPr>
      <w:r w:rsidRPr="009D4328">
        <w:rPr>
          <w:noProof/>
          <w:lang w:eastAsia="pt-BR"/>
        </w:rPr>
        <w:lastRenderedPageBreak/>
        <w:drawing>
          <wp:inline distT="0" distB="0" distL="0" distR="0" wp14:anchorId="094F4DF0" wp14:editId="6D5A42C0">
            <wp:extent cx="6188710" cy="4089400"/>
            <wp:effectExtent l="0" t="0" r="2540" b="635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F08B" w14:textId="77777777" w:rsidR="00535CFB" w:rsidRDefault="00535CFB" w:rsidP="00A836F2">
      <w:pPr>
        <w:jc w:val="both"/>
        <w:rPr>
          <w:b/>
          <w:bCs/>
        </w:rPr>
      </w:pPr>
    </w:p>
    <w:p w14:paraId="2C9B1A55" w14:textId="77777777" w:rsidR="00A836F2" w:rsidRDefault="00A836F2" w:rsidP="00A836F2">
      <w:pPr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DCDE637" wp14:editId="6F059EEC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9544" w14:textId="77777777" w:rsidR="00656E5A" w:rsidRPr="009A094C" w:rsidRDefault="00656E5A" w:rsidP="00A83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2F3D1F41" w14:textId="77777777" w:rsidR="00656E5A" w:rsidRDefault="00656E5A" w:rsidP="00A836F2">
                            <w:r>
      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      </w:r>
                          </w:p>
                          <w:p w14:paraId="56E4DA60" w14:textId="3754B070" w:rsidR="00656E5A" w:rsidRDefault="00656E5A" w:rsidP="00A836F2">
                            <w:r>
                              <w:t>A Balança Comercial do Agronegócio utiliza uma classificação dos produto</w:t>
                            </w:r>
                            <w:r w:rsidR="00FF6B53">
                              <w:t>s do agronegócio que reúne 3.076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NCM’s</w:t>
                            </w:r>
                            <w:proofErr w:type="spellEnd"/>
                            <w:r>
                              <w:t xml:space="preserve">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proofErr w:type="spellStart"/>
                            <w:r w:rsidRPr="009A094C">
                              <w:rPr>
                                <w:i/>
                                <w:iCs/>
                              </w:rPr>
                              <w:t>on</w:t>
                            </w:r>
                            <w:proofErr w:type="spellEnd"/>
                            <w:r w:rsidRPr="009A094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9A094C">
                              <w:rPr>
                                <w:i/>
                                <w:iCs/>
                              </w:rPr>
                              <w:t>line</w:t>
                            </w:r>
                            <w:proofErr w:type="spellEnd"/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5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DE63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    <v:textbox>
                  <w:txbxContent>
                    <w:p w14:paraId="33FA9544" w14:textId="77777777" w:rsidR="00656E5A" w:rsidRPr="009A094C" w:rsidRDefault="00656E5A" w:rsidP="00A836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2F3D1F41" w14:textId="77777777" w:rsidR="00656E5A" w:rsidRDefault="00656E5A" w:rsidP="00A836F2">
                      <w:r>
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</w:r>
                    </w:p>
                    <w:p w14:paraId="56E4DA60" w14:textId="3754B070" w:rsidR="00656E5A" w:rsidRDefault="00656E5A" w:rsidP="00A836F2">
                      <w:r>
                        <w:t>A Balança Comercial do Agronegócio utiliza uma classificação dos produto</w:t>
                      </w:r>
                      <w:r w:rsidR="00FF6B53">
                        <w:t>s do agronegócio que reúne 3.076</w:t>
                      </w:r>
                      <w:r>
                        <w:t xml:space="preserve"> NCM’s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r w:rsidRPr="009A094C">
                        <w:rPr>
                          <w:i/>
                          <w:iCs/>
                        </w:rPr>
                        <w:t>on line</w:t>
                      </w:r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6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4E0BCA" w14:textId="77777777" w:rsidR="00A836F2" w:rsidRDefault="00A836F2" w:rsidP="00A836F2">
      <w:pPr>
        <w:jc w:val="both"/>
      </w:pPr>
      <w:r w:rsidRPr="009A094C">
        <w:t>MAPA/SCRI/DN</w:t>
      </w:r>
      <w:r>
        <w:t>A</w:t>
      </w:r>
      <w:r w:rsidRPr="009A094C">
        <w:t>C</w:t>
      </w:r>
      <w:r>
        <w:t>/CGEA</w:t>
      </w:r>
    </w:p>
    <w:p w14:paraId="6AFCF99D" w14:textId="0DAF6155" w:rsidR="00C21CE0" w:rsidRDefault="00A836F2" w:rsidP="00BA3003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332E32">
        <w:rPr>
          <w:noProof/>
        </w:rPr>
        <w:t>12/01/2024</w:t>
      </w:r>
      <w:r>
        <w:fldChar w:fldCharType="end"/>
      </w: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29CCC" w14:textId="77777777" w:rsidR="00291BB4" w:rsidRDefault="00291BB4" w:rsidP="00D036D2">
      <w:pPr>
        <w:spacing w:after="0" w:line="240" w:lineRule="auto"/>
      </w:pPr>
      <w:r>
        <w:separator/>
      </w:r>
    </w:p>
  </w:endnote>
  <w:endnote w:type="continuationSeparator" w:id="0">
    <w:p w14:paraId="74969E3F" w14:textId="77777777" w:rsidR="00291BB4" w:rsidRDefault="00291BB4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C4B6A" w14:textId="77777777" w:rsidR="00291BB4" w:rsidRDefault="00291BB4" w:rsidP="00D036D2">
      <w:pPr>
        <w:spacing w:after="0" w:line="240" w:lineRule="auto"/>
      </w:pPr>
      <w:r>
        <w:separator/>
      </w:r>
    </w:p>
  </w:footnote>
  <w:footnote w:type="continuationSeparator" w:id="0">
    <w:p w14:paraId="2458485A" w14:textId="77777777" w:rsidR="00291BB4" w:rsidRDefault="00291BB4" w:rsidP="00D036D2">
      <w:pPr>
        <w:spacing w:after="0" w:line="240" w:lineRule="auto"/>
      </w:pPr>
      <w:r>
        <w:continuationSeparator/>
      </w:r>
    </w:p>
  </w:footnote>
  <w:footnote w:id="1">
    <w:p w14:paraId="6D444AC4" w14:textId="77777777" w:rsidR="004B1B9D" w:rsidRDefault="004B1B9D" w:rsidP="004B1B9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3F0008">
        <w:t>Os produtos apresentados não englobam todos os itens importados pelo agronegócio brasileiro no período e que foram necessários à produção. Por exemplo, pode-se mencionar a importação de óleo diesel para de tratores e caminhões utilizados na produção do agronegócio brasileira e que não foi mencionada dentre os itens importados. Além disso podem ser incluídos: fertilizantes, defensivos, medicamentos de uso veterinário, nutrição animal e máquinas e equipamentos agrícolas.</w:t>
      </w:r>
    </w:p>
  </w:footnote>
  <w:footnote w:id="2">
    <w:p w14:paraId="4C0831A6" w14:textId="77777777" w:rsidR="002E6D6C" w:rsidRDefault="002E6D6C" w:rsidP="002E6D6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conceito de grãos inclui os seguintes produtos: algodão não cardado nem penteado; amendoim; arroz; aveia;</w:t>
      </w:r>
      <w:r w:rsidRPr="001C5504">
        <w:t xml:space="preserve"> </w:t>
      </w:r>
      <w:r>
        <w:t>centeio; cevada;</w:t>
      </w:r>
      <w:r w:rsidRPr="001C5504">
        <w:t xml:space="preserve"> </w:t>
      </w:r>
      <w:r>
        <w:t>farelo de soja (com fator de correção de 1,3 para contemplar a soja em grão utilizada na produção do farelo);</w:t>
      </w:r>
      <w:r w:rsidRPr="001C5504">
        <w:t xml:space="preserve"> </w:t>
      </w:r>
      <w:r>
        <w:t>feijão; gergelim; girassol; milho;</w:t>
      </w:r>
      <w:r w:rsidRPr="001C5504">
        <w:t xml:space="preserve"> </w:t>
      </w:r>
      <w:r>
        <w:t>soja em grãos; sorgo e trigo. Não estão computados nesse percentual as exportações indiretas de grãos, como, por exemplo, a quantidade de grãos utilizados para a produção de carnes exportadas. No caso da carne de frango, utilizando-se uma conversão alimentar de 1,6 kg de grão para 1,0 Kg de carne de frango, exportou-se indiretamente cerca de 8 milhões de toneladas de grãos nas vendas externa de carne de frango em 2023.</w:t>
      </w:r>
    </w:p>
  </w:footnote>
  <w:footnote w:id="3">
    <w:p w14:paraId="716581F9" w14:textId="77777777" w:rsidR="002E6D6C" w:rsidRDefault="002E6D6C" w:rsidP="002E6D6C">
      <w:pPr>
        <w:pStyle w:val="Textodenotaderodap"/>
      </w:pPr>
      <w:r>
        <w:rPr>
          <w:rStyle w:val="Refdenotaderodap"/>
        </w:rPr>
        <w:footnoteRef/>
      </w:r>
      <w:r>
        <w:t xml:space="preserve"> Fonte: CONAB, 4º levantamento de Safra 2023/24. Disponível em </w:t>
      </w:r>
      <w:r w:rsidRPr="00262C4F">
        <w:t>https://www.conab.gov.br/info-agro/safras/graos/boletim-da-safra-de-graos</w:t>
      </w:r>
    </w:p>
  </w:footnote>
  <w:footnote w:id="4">
    <w:p w14:paraId="5E381109" w14:textId="77777777" w:rsidR="002E6D6C" w:rsidRDefault="002E6D6C" w:rsidP="002E6D6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Índice de Preço das Commodities do Banco Mundial. Fonte: </w:t>
      </w:r>
      <w:hyperlink r:id="rId1" w:history="1">
        <w:r w:rsidRPr="00DF7322">
          <w:rPr>
            <w:rStyle w:val="Hyperlink"/>
          </w:rPr>
          <w:t>https://www.worldbank.org/en/research/commodity-markets</w:t>
        </w:r>
      </w:hyperlink>
    </w:p>
  </w:footnote>
  <w:footnote w:id="5">
    <w:p w14:paraId="27F26F8C" w14:textId="77777777" w:rsidR="002E6D6C" w:rsidRDefault="002E6D6C" w:rsidP="002E6D6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recorde no índice de preço das commodities do Banco Mundial foi atingido em maio de 2022, mês em que o índice de preços dos alimentos registrou 153,07 pontos. Desse mês de maio de 2022 até dezembro de 2023, o índice de preço dos alimentos registrou queda de 21,6%. </w:t>
      </w:r>
    </w:p>
  </w:footnote>
  <w:footnote w:id="6">
    <w:p w14:paraId="1AAE0935" w14:textId="77777777" w:rsidR="002E6D6C" w:rsidRDefault="002E6D6C" w:rsidP="002E6D6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Índice de Preço dos Alimentos da FAO. Fonte: </w:t>
      </w:r>
      <w:r w:rsidRPr="0015672C">
        <w:t>https://www.fao.org/worldfoodsituation/foodpricesindex/en/</w:t>
      </w:r>
    </w:p>
  </w:footnote>
  <w:footnote w:id="7">
    <w:p w14:paraId="21A3E456" w14:textId="7C1E041B" w:rsidR="002E6D6C" w:rsidRDefault="002E6D6C" w:rsidP="002E6D6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76B89">
        <w:t xml:space="preserve">Os produtos apresentados não englobam todos os itens importados pelo agronegócio brasileiro no período e que foram necessários à produção. </w:t>
      </w:r>
      <w:r>
        <w:t>Por</w:t>
      </w:r>
      <w:r w:rsidRPr="00C76B89">
        <w:t xml:space="preserve"> exemplo, pode-se mencionar a importação de óleo diesel para tratores e caminhões utilizados na pr</w:t>
      </w:r>
      <w:r w:rsidR="00951777">
        <w:t>odução do agronegócio brasileiro</w:t>
      </w:r>
      <w:r w:rsidRPr="00C76B89">
        <w:t xml:space="preserve"> e que não foi mencionada dentre os itens importados.</w:t>
      </w:r>
      <w:r>
        <w:t xml:space="preserve"> Além disso podem ser incluídos: medicamentos de uso veterinário, nutrição animal e máquinas e equipamentos agrícolas.</w:t>
      </w:r>
    </w:p>
  </w:footnote>
  <w:footnote w:id="8">
    <w:p w14:paraId="46FD72BB" w14:textId="77777777" w:rsidR="002E6D6C" w:rsidRDefault="002E6D6C" w:rsidP="002E6D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31D6C">
        <w:t>Fonte: CONAB, 4º levantamento de Safra 2023/24. Disponível em https://www.conab.gov.br/info-agro/safras/graos/boletim-da-safra-de-graos</w:t>
      </w:r>
    </w:p>
  </w:footnote>
  <w:footnote w:id="9">
    <w:p w14:paraId="516720E4" w14:textId="211C01D3" w:rsidR="002E6D6C" w:rsidRDefault="002E6D6C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 w:rsidRPr="00CD0A7A">
        <w:t xml:space="preserve"> produção estima</w:t>
      </w:r>
      <w:r>
        <w:t>da</w:t>
      </w:r>
      <w:r w:rsidRPr="00CD0A7A">
        <w:t xml:space="preserve"> de soja em grão </w:t>
      </w:r>
      <w:r>
        <w:t xml:space="preserve">argentina </w:t>
      </w:r>
      <w:r w:rsidRPr="00CD0A7A">
        <w:t>teve redução de 43,9</w:t>
      </w:r>
      <w:r>
        <w:t>0</w:t>
      </w:r>
      <w:r w:rsidRPr="00CD0A7A">
        <w:t xml:space="preserve"> milhões de toneladas na safra 2021/2022 para 25,0</w:t>
      </w:r>
      <w:r>
        <w:t>0</w:t>
      </w:r>
      <w:r w:rsidRPr="00CD0A7A">
        <w:t xml:space="preserve"> milhões de toneladas na safra 2022/2023</w:t>
      </w:r>
      <w:r>
        <w:t xml:space="preserve">. Fonte: USDA. Disponível em: </w:t>
      </w:r>
      <w:r w:rsidRPr="00CD0A7A">
        <w:t>https://apps.fas.usda.gov/psdonline/app/index.html#/app/advQuery</w:t>
      </w:r>
    </w:p>
  </w:footnote>
  <w:footnote w:id="10">
    <w:p w14:paraId="04274056" w14:textId="0DE161A2" w:rsidR="002E6D6C" w:rsidRDefault="002E6D6C" w:rsidP="002E6D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D0A7A">
        <w:t>A produção estimada de farelo de soja na Argentina caiu de 30,3</w:t>
      </w:r>
      <w:r>
        <w:t>0</w:t>
      </w:r>
      <w:r w:rsidRPr="00CD0A7A">
        <w:t xml:space="preserve"> milhões de toneladas na safra 2021/2022 para 23,6</w:t>
      </w:r>
      <w:r>
        <w:t>5</w:t>
      </w:r>
      <w:r w:rsidRPr="00CD0A7A">
        <w:t xml:space="preserve"> milhões de toneladas na safra 2022/2023</w:t>
      </w:r>
      <w:r>
        <w:t xml:space="preserve"> Fonte: USDA. Disponível em: </w:t>
      </w:r>
      <w:r w:rsidRPr="00CD0A7A">
        <w:t>https://apps.fas.usda.gov/psdonline/app/index.html#/app/advQuery</w:t>
      </w:r>
    </w:p>
  </w:footnote>
  <w:footnote w:id="11">
    <w:p w14:paraId="77DF6615" w14:textId="77777777" w:rsidR="001959F7" w:rsidRDefault="001959F7" w:rsidP="001959F7">
      <w:pPr>
        <w:pStyle w:val="Textodenotaderodap"/>
      </w:pPr>
      <w:r>
        <w:rPr>
          <w:rStyle w:val="Refdenotaderodap"/>
        </w:rPr>
        <w:footnoteRef/>
      </w:r>
      <w:r>
        <w:t xml:space="preserve"> Fonte: USDA. Disponível em: </w:t>
      </w:r>
      <w:r w:rsidRPr="00CD0A7A">
        <w:t>https://apps.fas.usda.gov/psdonline/app/index.html#/app/advQuery</w:t>
      </w:r>
    </w:p>
  </w:footnote>
  <w:footnote w:id="12">
    <w:p w14:paraId="58BD544F" w14:textId="77777777" w:rsidR="00FA4FC5" w:rsidRDefault="00FA4FC5" w:rsidP="00FA4FC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70911">
        <w:t>O governo brasileiro suspendeu temporariamente as exportações ao mercado chinês para confirmação de um caso atípico de Encefalopatia Espongiforme Bovina (EEB) no município de Marabá (PA).</w:t>
      </w:r>
    </w:p>
  </w:footnote>
  <w:footnote w:id="13">
    <w:p w14:paraId="749AC0C6" w14:textId="0674ECB3" w:rsidR="00F94D6B" w:rsidRDefault="00F94D6B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proofErr w:type="spellStart"/>
      <w:r w:rsidRPr="00F94D6B">
        <w:t>Customs</w:t>
      </w:r>
      <w:proofErr w:type="spellEnd"/>
      <w:r w:rsidRPr="00F94D6B">
        <w:t xml:space="preserve"> </w:t>
      </w:r>
      <w:proofErr w:type="spellStart"/>
      <w:r w:rsidRPr="00F94D6B">
        <w:t>statistics</w:t>
      </w:r>
      <w:proofErr w:type="spellEnd"/>
      <w:r>
        <w:t xml:space="preserve">. Disponível em: </w:t>
      </w:r>
      <w:r w:rsidRPr="00F94D6B">
        <w:t>http://stats.customs.gov.cn/indexEn</w:t>
      </w:r>
    </w:p>
  </w:footnote>
  <w:footnote w:id="14">
    <w:p w14:paraId="3C36891D" w14:textId="77777777" w:rsidR="002E6D6C" w:rsidRDefault="002E6D6C" w:rsidP="002E6D6C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D6676D">
        <w:t>https://www.pigprogress.net/health-nutrition/health/asf-bangladesh-21st-country-in-asia-pacific-to-be-infected/</w:t>
      </w:r>
    </w:p>
  </w:footnote>
  <w:footnote w:id="15">
    <w:p w14:paraId="31D01ED7" w14:textId="77777777" w:rsidR="00A04FCA" w:rsidRDefault="00A04FCA" w:rsidP="00A04FC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A6C55">
        <w:t xml:space="preserve">Fonte: CEPEA/ESALQ, </w:t>
      </w:r>
      <w:proofErr w:type="spellStart"/>
      <w:r w:rsidRPr="006A6C55">
        <w:t>Agromensal</w:t>
      </w:r>
      <w:proofErr w:type="spellEnd"/>
      <w:r w:rsidRPr="006A6C55">
        <w:t>. Disponível em: https://www.cepea.esalq.usp.br/br/categoria/agromensal.aspx?mes=12&amp;ano=2023</w:t>
      </w:r>
    </w:p>
  </w:footnote>
  <w:footnote w:id="16">
    <w:p w14:paraId="1336E2FF" w14:textId="77777777" w:rsidR="002E6D6C" w:rsidRDefault="002E6D6C" w:rsidP="002E6D6C">
      <w:pPr>
        <w:pStyle w:val="Textodenotaderodap"/>
      </w:pPr>
      <w:r>
        <w:rPr>
          <w:rStyle w:val="Refdenotaderodap"/>
        </w:rPr>
        <w:footnoteRef/>
      </w:r>
      <w:r>
        <w:t xml:space="preserve"> Fonte: USDA. Disponível em: </w:t>
      </w:r>
      <w:r w:rsidRPr="00CD0A7A">
        <w:t>https://apps.fas.usda.gov/psdonline/app/index.html#/app/advQuery</w:t>
      </w:r>
    </w:p>
  </w:footnote>
  <w:footnote w:id="17">
    <w:p w14:paraId="3BAF12B9" w14:textId="77777777" w:rsidR="002E6D6C" w:rsidRDefault="002E6D6C" w:rsidP="002E6D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31D6C">
        <w:t>Fonte: CONAB, 4º levantamento de Safra 2023/24. Disponível em https://www.conab.gov.br/info-agro/safras/graos/boletim-da-safra-de-graos</w:t>
      </w:r>
    </w:p>
  </w:footnote>
  <w:footnote w:id="18">
    <w:p w14:paraId="466E24FD" w14:textId="77777777" w:rsidR="002E6D6C" w:rsidRDefault="002E6D6C" w:rsidP="002E6D6C">
      <w:pPr>
        <w:pStyle w:val="Textodenotaderodap"/>
        <w:jc w:val="both"/>
      </w:pPr>
      <w:r w:rsidRPr="00B72BDA">
        <w:rPr>
          <w:rStyle w:val="Refdenotaderodap"/>
        </w:rPr>
        <w:footnoteRef/>
      </w:r>
      <w:r w:rsidRPr="00B72BDA">
        <w:t xml:space="preserve"> Em maio de 2022, a China e o Brasil formalizaram um protocolo sanitário que possibilitou as exportações do milho brasileiro ao país asiático. Em 2023, porém, que foram registrados os resultados do protocolo com a China, aumentando rapidamente as aquisições de milho do Brasil.</w:t>
      </w:r>
    </w:p>
  </w:footnote>
  <w:footnote w:id="19">
    <w:p w14:paraId="7227EBB8" w14:textId="53AAC8D8" w:rsidR="004B634C" w:rsidRDefault="004B634C" w:rsidP="004B634C">
      <w:pPr>
        <w:pStyle w:val="Textodenotaderodap"/>
      </w:pPr>
      <w:r>
        <w:rPr>
          <w:rStyle w:val="Refdenotaderodap"/>
        </w:rPr>
        <w:footnoteRef/>
      </w:r>
      <w:r>
        <w:t xml:space="preserve"> Fontes: CONAB e CNA. Disponível em: </w:t>
      </w:r>
      <w:r w:rsidRPr="004B634C">
        <w:t>https://www.conab.gov.br/info-agro/safras/serie-historica-das-safras/itemlist/category/895-cafe-total-arabica-e-conilon</w:t>
      </w:r>
      <w:r>
        <w:t xml:space="preserve"> e </w:t>
      </w:r>
      <w:r w:rsidRPr="00D23806">
        <w:t>https://cnabrasil.org.br/noticias/cafe-safra-2022-sentira-as-adversidades-climaticas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2F29"/>
    <w:multiLevelType w:val="hybridMultilevel"/>
    <w:tmpl w:val="6FDA80CC"/>
    <w:lvl w:ilvl="0" w:tplc="8B5A775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E0"/>
    <w:rsid w:val="00000D1F"/>
    <w:rsid w:val="0000131B"/>
    <w:rsid w:val="0000186B"/>
    <w:rsid w:val="00005669"/>
    <w:rsid w:val="000061DF"/>
    <w:rsid w:val="000072E0"/>
    <w:rsid w:val="000079F2"/>
    <w:rsid w:val="000106E0"/>
    <w:rsid w:val="00012542"/>
    <w:rsid w:val="00013AAC"/>
    <w:rsid w:val="00021DFB"/>
    <w:rsid w:val="000224B0"/>
    <w:rsid w:val="00026FC9"/>
    <w:rsid w:val="00031914"/>
    <w:rsid w:val="0003318E"/>
    <w:rsid w:val="000342E7"/>
    <w:rsid w:val="000343C0"/>
    <w:rsid w:val="00035E37"/>
    <w:rsid w:val="00037E65"/>
    <w:rsid w:val="00041DF4"/>
    <w:rsid w:val="000440F9"/>
    <w:rsid w:val="00045170"/>
    <w:rsid w:val="00045CEF"/>
    <w:rsid w:val="000469BA"/>
    <w:rsid w:val="0005221D"/>
    <w:rsid w:val="00053023"/>
    <w:rsid w:val="000533C4"/>
    <w:rsid w:val="000541BB"/>
    <w:rsid w:val="00054806"/>
    <w:rsid w:val="000548B4"/>
    <w:rsid w:val="00055D2E"/>
    <w:rsid w:val="000561C6"/>
    <w:rsid w:val="00056B3A"/>
    <w:rsid w:val="000574BB"/>
    <w:rsid w:val="00060AA0"/>
    <w:rsid w:val="00061B1F"/>
    <w:rsid w:val="0006208A"/>
    <w:rsid w:val="00063EAE"/>
    <w:rsid w:val="0006481B"/>
    <w:rsid w:val="00065535"/>
    <w:rsid w:val="00065736"/>
    <w:rsid w:val="00066D09"/>
    <w:rsid w:val="00067AA4"/>
    <w:rsid w:val="00070911"/>
    <w:rsid w:val="00071396"/>
    <w:rsid w:val="00071F11"/>
    <w:rsid w:val="00072550"/>
    <w:rsid w:val="0007381D"/>
    <w:rsid w:val="00074055"/>
    <w:rsid w:val="00074CE5"/>
    <w:rsid w:val="00075B5D"/>
    <w:rsid w:val="000809E5"/>
    <w:rsid w:val="00080C6A"/>
    <w:rsid w:val="000816D1"/>
    <w:rsid w:val="00081736"/>
    <w:rsid w:val="00081BDF"/>
    <w:rsid w:val="00082772"/>
    <w:rsid w:val="0008349F"/>
    <w:rsid w:val="00084313"/>
    <w:rsid w:val="00084803"/>
    <w:rsid w:val="00085804"/>
    <w:rsid w:val="0008654E"/>
    <w:rsid w:val="00086E6D"/>
    <w:rsid w:val="00087329"/>
    <w:rsid w:val="0009422D"/>
    <w:rsid w:val="0009684F"/>
    <w:rsid w:val="00097AF5"/>
    <w:rsid w:val="00097C30"/>
    <w:rsid w:val="00097DA7"/>
    <w:rsid w:val="000A00AC"/>
    <w:rsid w:val="000A2033"/>
    <w:rsid w:val="000A222E"/>
    <w:rsid w:val="000A2937"/>
    <w:rsid w:val="000A46E1"/>
    <w:rsid w:val="000A486D"/>
    <w:rsid w:val="000A4E80"/>
    <w:rsid w:val="000A5F17"/>
    <w:rsid w:val="000A6B4A"/>
    <w:rsid w:val="000A6FE7"/>
    <w:rsid w:val="000A7342"/>
    <w:rsid w:val="000A7365"/>
    <w:rsid w:val="000B285F"/>
    <w:rsid w:val="000B3425"/>
    <w:rsid w:val="000B4AFE"/>
    <w:rsid w:val="000B5766"/>
    <w:rsid w:val="000B7B24"/>
    <w:rsid w:val="000C256D"/>
    <w:rsid w:val="000C2EA1"/>
    <w:rsid w:val="000C36B1"/>
    <w:rsid w:val="000C54C4"/>
    <w:rsid w:val="000C7C3D"/>
    <w:rsid w:val="000D1AB7"/>
    <w:rsid w:val="000D31E1"/>
    <w:rsid w:val="000D36D9"/>
    <w:rsid w:val="000D3716"/>
    <w:rsid w:val="000D50A8"/>
    <w:rsid w:val="000D6EAE"/>
    <w:rsid w:val="000D7078"/>
    <w:rsid w:val="000D754C"/>
    <w:rsid w:val="000D79D6"/>
    <w:rsid w:val="000E0D28"/>
    <w:rsid w:val="000E241E"/>
    <w:rsid w:val="000E3B4E"/>
    <w:rsid w:val="000E4875"/>
    <w:rsid w:val="000E6BC9"/>
    <w:rsid w:val="000E6E94"/>
    <w:rsid w:val="000E6FFF"/>
    <w:rsid w:val="000E7A49"/>
    <w:rsid w:val="000F105D"/>
    <w:rsid w:val="000F2159"/>
    <w:rsid w:val="000F2CF5"/>
    <w:rsid w:val="000F6056"/>
    <w:rsid w:val="000F6E77"/>
    <w:rsid w:val="000F6E89"/>
    <w:rsid w:val="000F741F"/>
    <w:rsid w:val="000F74F8"/>
    <w:rsid w:val="000F7961"/>
    <w:rsid w:val="00100011"/>
    <w:rsid w:val="00100758"/>
    <w:rsid w:val="00102052"/>
    <w:rsid w:val="00102BAF"/>
    <w:rsid w:val="00103639"/>
    <w:rsid w:val="00105AE9"/>
    <w:rsid w:val="00107651"/>
    <w:rsid w:val="001109BC"/>
    <w:rsid w:val="00112C02"/>
    <w:rsid w:val="00114C69"/>
    <w:rsid w:val="001150D4"/>
    <w:rsid w:val="0011621D"/>
    <w:rsid w:val="00116D0C"/>
    <w:rsid w:val="00120E30"/>
    <w:rsid w:val="00120EA7"/>
    <w:rsid w:val="00121182"/>
    <w:rsid w:val="001217A9"/>
    <w:rsid w:val="001222CC"/>
    <w:rsid w:val="00122A68"/>
    <w:rsid w:val="001241F2"/>
    <w:rsid w:val="00125308"/>
    <w:rsid w:val="00125FDB"/>
    <w:rsid w:val="001275E8"/>
    <w:rsid w:val="00130349"/>
    <w:rsid w:val="00134206"/>
    <w:rsid w:val="0013427C"/>
    <w:rsid w:val="001346CE"/>
    <w:rsid w:val="00134F72"/>
    <w:rsid w:val="00135D1F"/>
    <w:rsid w:val="0014147F"/>
    <w:rsid w:val="0014204A"/>
    <w:rsid w:val="0014239D"/>
    <w:rsid w:val="00142656"/>
    <w:rsid w:val="00142A16"/>
    <w:rsid w:val="00143410"/>
    <w:rsid w:val="001453F9"/>
    <w:rsid w:val="0014641A"/>
    <w:rsid w:val="00146A7D"/>
    <w:rsid w:val="00150561"/>
    <w:rsid w:val="00151599"/>
    <w:rsid w:val="00151C7B"/>
    <w:rsid w:val="0015325E"/>
    <w:rsid w:val="00153559"/>
    <w:rsid w:val="00154314"/>
    <w:rsid w:val="0015438E"/>
    <w:rsid w:val="00155698"/>
    <w:rsid w:val="00155B62"/>
    <w:rsid w:val="0015781D"/>
    <w:rsid w:val="0016166C"/>
    <w:rsid w:val="00162FF9"/>
    <w:rsid w:val="001630B1"/>
    <w:rsid w:val="001638F9"/>
    <w:rsid w:val="00165CAE"/>
    <w:rsid w:val="00165EED"/>
    <w:rsid w:val="00171D82"/>
    <w:rsid w:val="00172B7F"/>
    <w:rsid w:val="00172CA5"/>
    <w:rsid w:val="0017417F"/>
    <w:rsid w:val="001744AE"/>
    <w:rsid w:val="001748B0"/>
    <w:rsid w:val="00176A18"/>
    <w:rsid w:val="00181E33"/>
    <w:rsid w:val="00183584"/>
    <w:rsid w:val="001843F4"/>
    <w:rsid w:val="001847E7"/>
    <w:rsid w:val="0019099C"/>
    <w:rsid w:val="00192305"/>
    <w:rsid w:val="0019428E"/>
    <w:rsid w:val="00194400"/>
    <w:rsid w:val="00194FD0"/>
    <w:rsid w:val="00195324"/>
    <w:rsid w:val="001959F7"/>
    <w:rsid w:val="00195DF9"/>
    <w:rsid w:val="00195F39"/>
    <w:rsid w:val="00197211"/>
    <w:rsid w:val="00197945"/>
    <w:rsid w:val="00197BC6"/>
    <w:rsid w:val="001A09C4"/>
    <w:rsid w:val="001A1562"/>
    <w:rsid w:val="001A1E04"/>
    <w:rsid w:val="001A26B8"/>
    <w:rsid w:val="001A2B52"/>
    <w:rsid w:val="001A2B92"/>
    <w:rsid w:val="001A5547"/>
    <w:rsid w:val="001A59D3"/>
    <w:rsid w:val="001A615F"/>
    <w:rsid w:val="001B17A0"/>
    <w:rsid w:val="001B192A"/>
    <w:rsid w:val="001B2356"/>
    <w:rsid w:val="001B24F2"/>
    <w:rsid w:val="001B2ECE"/>
    <w:rsid w:val="001B31E4"/>
    <w:rsid w:val="001B4796"/>
    <w:rsid w:val="001B5ED3"/>
    <w:rsid w:val="001B6BDE"/>
    <w:rsid w:val="001B76A4"/>
    <w:rsid w:val="001B7C24"/>
    <w:rsid w:val="001C1C40"/>
    <w:rsid w:val="001C3F48"/>
    <w:rsid w:val="001C4C14"/>
    <w:rsid w:val="001C5096"/>
    <w:rsid w:val="001C5504"/>
    <w:rsid w:val="001C7B3D"/>
    <w:rsid w:val="001C7BA1"/>
    <w:rsid w:val="001D2DF5"/>
    <w:rsid w:val="001D4197"/>
    <w:rsid w:val="001D4951"/>
    <w:rsid w:val="001D49FB"/>
    <w:rsid w:val="001D5274"/>
    <w:rsid w:val="001D73EF"/>
    <w:rsid w:val="001E3583"/>
    <w:rsid w:val="001E46C6"/>
    <w:rsid w:val="001E5703"/>
    <w:rsid w:val="001F02EE"/>
    <w:rsid w:val="001F0F62"/>
    <w:rsid w:val="001F1AA3"/>
    <w:rsid w:val="001F3D14"/>
    <w:rsid w:val="001F466A"/>
    <w:rsid w:val="001F52AD"/>
    <w:rsid w:val="00202EE1"/>
    <w:rsid w:val="00203D60"/>
    <w:rsid w:val="00203FF3"/>
    <w:rsid w:val="002047C5"/>
    <w:rsid w:val="00204CAD"/>
    <w:rsid w:val="00204E89"/>
    <w:rsid w:val="00204FB1"/>
    <w:rsid w:val="00206579"/>
    <w:rsid w:val="00206B3E"/>
    <w:rsid w:val="002074D7"/>
    <w:rsid w:val="00210920"/>
    <w:rsid w:val="00210BAE"/>
    <w:rsid w:val="002119B8"/>
    <w:rsid w:val="00214515"/>
    <w:rsid w:val="002156BE"/>
    <w:rsid w:val="002160B4"/>
    <w:rsid w:val="00216EC4"/>
    <w:rsid w:val="00217161"/>
    <w:rsid w:val="0021751B"/>
    <w:rsid w:val="00217BA3"/>
    <w:rsid w:val="00220AAF"/>
    <w:rsid w:val="00220C3C"/>
    <w:rsid w:val="00221B9A"/>
    <w:rsid w:val="00221D09"/>
    <w:rsid w:val="002226D1"/>
    <w:rsid w:val="00231BCF"/>
    <w:rsid w:val="00231FC8"/>
    <w:rsid w:val="00232926"/>
    <w:rsid w:val="00234626"/>
    <w:rsid w:val="002357F1"/>
    <w:rsid w:val="00240C1B"/>
    <w:rsid w:val="00244AEA"/>
    <w:rsid w:val="0024516D"/>
    <w:rsid w:val="00245717"/>
    <w:rsid w:val="00246461"/>
    <w:rsid w:val="0024680D"/>
    <w:rsid w:val="00246D55"/>
    <w:rsid w:val="00247761"/>
    <w:rsid w:val="00250F1E"/>
    <w:rsid w:val="0025282D"/>
    <w:rsid w:val="00255A58"/>
    <w:rsid w:val="002571FF"/>
    <w:rsid w:val="00260457"/>
    <w:rsid w:val="00262C4F"/>
    <w:rsid w:val="00262E62"/>
    <w:rsid w:val="00264127"/>
    <w:rsid w:val="002656E4"/>
    <w:rsid w:val="002671B5"/>
    <w:rsid w:val="002677D3"/>
    <w:rsid w:val="0027122C"/>
    <w:rsid w:val="00272708"/>
    <w:rsid w:val="00273B93"/>
    <w:rsid w:val="00273F37"/>
    <w:rsid w:val="00274068"/>
    <w:rsid w:val="002766D3"/>
    <w:rsid w:val="0027756F"/>
    <w:rsid w:val="0028047B"/>
    <w:rsid w:val="00280491"/>
    <w:rsid w:val="002808F5"/>
    <w:rsid w:val="00281E1C"/>
    <w:rsid w:val="00283B9D"/>
    <w:rsid w:val="002853E4"/>
    <w:rsid w:val="00285B11"/>
    <w:rsid w:val="002862CD"/>
    <w:rsid w:val="002879E9"/>
    <w:rsid w:val="00290AFF"/>
    <w:rsid w:val="00290B04"/>
    <w:rsid w:val="00291BB4"/>
    <w:rsid w:val="0029295A"/>
    <w:rsid w:val="002952D0"/>
    <w:rsid w:val="00295D42"/>
    <w:rsid w:val="00295E99"/>
    <w:rsid w:val="002A1E25"/>
    <w:rsid w:val="002A27C3"/>
    <w:rsid w:val="002A3825"/>
    <w:rsid w:val="002A5358"/>
    <w:rsid w:val="002A5730"/>
    <w:rsid w:val="002A78A4"/>
    <w:rsid w:val="002B0659"/>
    <w:rsid w:val="002B1DDA"/>
    <w:rsid w:val="002B6487"/>
    <w:rsid w:val="002C231D"/>
    <w:rsid w:val="002C58C3"/>
    <w:rsid w:val="002C5DE5"/>
    <w:rsid w:val="002C6580"/>
    <w:rsid w:val="002D0BE0"/>
    <w:rsid w:val="002D168C"/>
    <w:rsid w:val="002D1C89"/>
    <w:rsid w:val="002D3639"/>
    <w:rsid w:val="002D4475"/>
    <w:rsid w:val="002D5A30"/>
    <w:rsid w:val="002D67B7"/>
    <w:rsid w:val="002D7CB7"/>
    <w:rsid w:val="002D7CBB"/>
    <w:rsid w:val="002E1646"/>
    <w:rsid w:val="002E1BF2"/>
    <w:rsid w:val="002E23C4"/>
    <w:rsid w:val="002E30C8"/>
    <w:rsid w:val="002E3917"/>
    <w:rsid w:val="002E496A"/>
    <w:rsid w:val="002E5418"/>
    <w:rsid w:val="002E5BEE"/>
    <w:rsid w:val="002E6D6C"/>
    <w:rsid w:val="002E7520"/>
    <w:rsid w:val="002F0AE0"/>
    <w:rsid w:val="002F0E59"/>
    <w:rsid w:val="002F13CF"/>
    <w:rsid w:val="002F1F5F"/>
    <w:rsid w:val="002F2CC6"/>
    <w:rsid w:val="002F317D"/>
    <w:rsid w:val="002F3EBF"/>
    <w:rsid w:val="002F5381"/>
    <w:rsid w:val="00301851"/>
    <w:rsid w:val="00302144"/>
    <w:rsid w:val="0030234A"/>
    <w:rsid w:val="0030368C"/>
    <w:rsid w:val="003051C6"/>
    <w:rsid w:val="00305427"/>
    <w:rsid w:val="00305F6D"/>
    <w:rsid w:val="003061A4"/>
    <w:rsid w:val="0030633C"/>
    <w:rsid w:val="0030677E"/>
    <w:rsid w:val="0030729F"/>
    <w:rsid w:val="00310E49"/>
    <w:rsid w:val="00311ECB"/>
    <w:rsid w:val="003126BA"/>
    <w:rsid w:val="00312DDD"/>
    <w:rsid w:val="00313574"/>
    <w:rsid w:val="00314014"/>
    <w:rsid w:val="00315000"/>
    <w:rsid w:val="00315B3B"/>
    <w:rsid w:val="00316B44"/>
    <w:rsid w:val="003176EA"/>
    <w:rsid w:val="00320002"/>
    <w:rsid w:val="0032120C"/>
    <w:rsid w:val="00321445"/>
    <w:rsid w:val="003225B9"/>
    <w:rsid w:val="00324A08"/>
    <w:rsid w:val="00326FC3"/>
    <w:rsid w:val="00327782"/>
    <w:rsid w:val="00327DF1"/>
    <w:rsid w:val="0033008D"/>
    <w:rsid w:val="00331900"/>
    <w:rsid w:val="00332711"/>
    <w:rsid w:val="00332E32"/>
    <w:rsid w:val="00333623"/>
    <w:rsid w:val="00334C8D"/>
    <w:rsid w:val="003352C4"/>
    <w:rsid w:val="0033617A"/>
    <w:rsid w:val="00336227"/>
    <w:rsid w:val="0034017C"/>
    <w:rsid w:val="003407FF"/>
    <w:rsid w:val="00341D8E"/>
    <w:rsid w:val="00344211"/>
    <w:rsid w:val="003463CA"/>
    <w:rsid w:val="0035011F"/>
    <w:rsid w:val="00350C23"/>
    <w:rsid w:val="0035252E"/>
    <w:rsid w:val="003531FA"/>
    <w:rsid w:val="00353AA7"/>
    <w:rsid w:val="00354831"/>
    <w:rsid w:val="003557CB"/>
    <w:rsid w:val="00355BE3"/>
    <w:rsid w:val="0035624A"/>
    <w:rsid w:val="00357FE0"/>
    <w:rsid w:val="003610DE"/>
    <w:rsid w:val="0036210B"/>
    <w:rsid w:val="003632C3"/>
    <w:rsid w:val="00365592"/>
    <w:rsid w:val="00365650"/>
    <w:rsid w:val="00366A9C"/>
    <w:rsid w:val="00370186"/>
    <w:rsid w:val="003714F7"/>
    <w:rsid w:val="00372DB7"/>
    <w:rsid w:val="00374BEC"/>
    <w:rsid w:val="00374D38"/>
    <w:rsid w:val="0038149E"/>
    <w:rsid w:val="0038295D"/>
    <w:rsid w:val="0038336A"/>
    <w:rsid w:val="0038482E"/>
    <w:rsid w:val="003962CA"/>
    <w:rsid w:val="00396874"/>
    <w:rsid w:val="00397E4E"/>
    <w:rsid w:val="003A42E7"/>
    <w:rsid w:val="003A4DAB"/>
    <w:rsid w:val="003A5A77"/>
    <w:rsid w:val="003A5B8E"/>
    <w:rsid w:val="003A789F"/>
    <w:rsid w:val="003B1A1B"/>
    <w:rsid w:val="003B5E09"/>
    <w:rsid w:val="003B6C2C"/>
    <w:rsid w:val="003B7571"/>
    <w:rsid w:val="003B7791"/>
    <w:rsid w:val="003C0F8B"/>
    <w:rsid w:val="003C3617"/>
    <w:rsid w:val="003C39C6"/>
    <w:rsid w:val="003C3F1A"/>
    <w:rsid w:val="003C6C44"/>
    <w:rsid w:val="003D0E1F"/>
    <w:rsid w:val="003D3F6B"/>
    <w:rsid w:val="003D5C0C"/>
    <w:rsid w:val="003D613F"/>
    <w:rsid w:val="003D61A7"/>
    <w:rsid w:val="003D6841"/>
    <w:rsid w:val="003D6991"/>
    <w:rsid w:val="003E063B"/>
    <w:rsid w:val="003E4783"/>
    <w:rsid w:val="003E59F4"/>
    <w:rsid w:val="003E6907"/>
    <w:rsid w:val="003E7BE5"/>
    <w:rsid w:val="003F0DB9"/>
    <w:rsid w:val="003F14D4"/>
    <w:rsid w:val="003F6798"/>
    <w:rsid w:val="003F6C4D"/>
    <w:rsid w:val="00403E87"/>
    <w:rsid w:val="00403F5F"/>
    <w:rsid w:val="00406F34"/>
    <w:rsid w:val="00406F63"/>
    <w:rsid w:val="004116E0"/>
    <w:rsid w:val="00412B8B"/>
    <w:rsid w:val="00412FE6"/>
    <w:rsid w:val="00413379"/>
    <w:rsid w:val="004137D8"/>
    <w:rsid w:val="004155B8"/>
    <w:rsid w:val="004160AD"/>
    <w:rsid w:val="0041682D"/>
    <w:rsid w:val="00417061"/>
    <w:rsid w:val="00417077"/>
    <w:rsid w:val="00417EB4"/>
    <w:rsid w:val="0042132F"/>
    <w:rsid w:val="00423AFF"/>
    <w:rsid w:val="00424590"/>
    <w:rsid w:val="00424E86"/>
    <w:rsid w:val="00424E96"/>
    <w:rsid w:val="00425118"/>
    <w:rsid w:val="0042577F"/>
    <w:rsid w:val="004278A7"/>
    <w:rsid w:val="00427F87"/>
    <w:rsid w:val="00431096"/>
    <w:rsid w:val="00431D6C"/>
    <w:rsid w:val="00433A20"/>
    <w:rsid w:val="00434587"/>
    <w:rsid w:val="00435B92"/>
    <w:rsid w:val="0043627D"/>
    <w:rsid w:val="0043734A"/>
    <w:rsid w:val="004376DB"/>
    <w:rsid w:val="00437929"/>
    <w:rsid w:val="004426AB"/>
    <w:rsid w:val="0044345A"/>
    <w:rsid w:val="004438CD"/>
    <w:rsid w:val="00443BEA"/>
    <w:rsid w:val="004444AD"/>
    <w:rsid w:val="00444FEC"/>
    <w:rsid w:val="00445AAA"/>
    <w:rsid w:val="004475A7"/>
    <w:rsid w:val="00450A15"/>
    <w:rsid w:val="00453530"/>
    <w:rsid w:val="00453841"/>
    <w:rsid w:val="00453AB6"/>
    <w:rsid w:val="00454120"/>
    <w:rsid w:val="00454E87"/>
    <w:rsid w:val="004562B3"/>
    <w:rsid w:val="00457C43"/>
    <w:rsid w:val="00462C65"/>
    <w:rsid w:val="004636E4"/>
    <w:rsid w:val="004644BA"/>
    <w:rsid w:val="00464F6C"/>
    <w:rsid w:val="00467E19"/>
    <w:rsid w:val="004703B6"/>
    <w:rsid w:val="0047047D"/>
    <w:rsid w:val="00472CE6"/>
    <w:rsid w:val="004737E7"/>
    <w:rsid w:val="0047625A"/>
    <w:rsid w:val="00476CD0"/>
    <w:rsid w:val="004774AA"/>
    <w:rsid w:val="00480110"/>
    <w:rsid w:val="00480748"/>
    <w:rsid w:val="004807A4"/>
    <w:rsid w:val="004810DD"/>
    <w:rsid w:val="00483619"/>
    <w:rsid w:val="004840A4"/>
    <w:rsid w:val="0048579F"/>
    <w:rsid w:val="00487E03"/>
    <w:rsid w:val="00490A99"/>
    <w:rsid w:val="00491763"/>
    <w:rsid w:val="004921DC"/>
    <w:rsid w:val="004922A9"/>
    <w:rsid w:val="004927F9"/>
    <w:rsid w:val="00493CD6"/>
    <w:rsid w:val="004940B4"/>
    <w:rsid w:val="00497435"/>
    <w:rsid w:val="004A1A50"/>
    <w:rsid w:val="004A291D"/>
    <w:rsid w:val="004A2BC6"/>
    <w:rsid w:val="004A32EB"/>
    <w:rsid w:val="004A345C"/>
    <w:rsid w:val="004A3E3F"/>
    <w:rsid w:val="004A45E3"/>
    <w:rsid w:val="004A6FE6"/>
    <w:rsid w:val="004B1222"/>
    <w:rsid w:val="004B1504"/>
    <w:rsid w:val="004B1B9D"/>
    <w:rsid w:val="004B2130"/>
    <w:rsid w:val="004B2DF4"/>
    <w:rsid w:val="004B2EF2"/>
    <w:rsid w:val="004B48C7"/>
    <w:rsid w:val="004B55F8"/>
    <w:rsid w:val="004B634C"/>
    <w:rsid w:val="004B78B8"/>
    <w:rsid w:val="004C0DC5"/>
    <w:rsid w:val="004C1D2F"/>
    <w:rsid w:val="004C2307"/>
    <w:rsid w:val="004C606E"/>
    <w:rsid w:val="004C790B"/>
    <w:rsid w:val="004D20D7"/>
    <w:rsid w:val="004D2985"/>
    <w:rsid w:val="004D2BE7"/>
    <w:rsid w:val="004D4EB3"/>
    <w:rsid w:val="004D56E9"/>
    <w:rsid w:val="004D6C2C"/>
    <w:rsid w:val="004D6D94"/>
    <w:rsid w:val="004D7CA2"/>
    <w:rsid w:val="004E4B95"/>
    <w:rsid w:val="004E5648"/>
    <w:rsid w:val="004E6174"/>
    <w:rsid w:val="004E6276"/>
    <w:rsid w:val="004E63E2"/>
    <w:rsid w:val="004E6DE6"/>
    <w:rsid w:val="004F1C41"/>
    <w:rsid w:val="004F1F98"/>
    <w:rsid w:val="004F1F9E"/>
    <w:rsid w:val="004F3361"/>
    <w:rsid w:val="004F4746"/>
    <w:rsid w:val="004F6523"/>
    <w:rsid w:val="004F662F"/>
    <w:rsid w:val="0050493D"/>
    <w:rsid w:val="00510410"/>
    <w:rsid w:val="005115EA"/>
    <w:rsid w:val="00514839"/>
    <w:rsid w:val="00515044"/>
    <w:rsid w:val="00516223"/>
    <w:rsid w:val="00517DFA"/>
    <w:rsid w:val="00520276"/>
    <w:rsid w:val="00520D46"/>
    <w:rsid w:val="00521A0C"/>
    <w:rsid w:val="00522267"/>
    <w:rsid w:val="00522BA3"/>
    <w:rsid w:val="005269F4"/>
    <w:rsid w:val="00530BDE"/>
    <w:rsid w:val="00530E55"/>
    <w:rsid w:val="00534521"/>
    <w:rsid w:val="00534BD4"/>
    <w:rsid w:val="00535CFB"/>
    <w:rsid w:val="00535E65"/>
    <w:rsid w:val="00535E7B"/>
    <w:rsid w:val="005362BB"/>
    <w:rsid w:val="00537614"/>
    <w:rsid w:val="00540543"/>
    <w:rsid w:val="00542A3D"/>
    <w:rsid w:val="00545A70"/>
    <w:rsid w:val="00546AEA"/>
    <w:rsid w:val="00547447"/>
    <w:rsid w:val="005474AD"/>
    <w:rsid w:val="00547BF6"/>
    <w:rsid w:val="00547E5C"/>
    <w:rsid w:val="005500B5"/>
    <w:rsid w:val="00550C8F"/>
    <w:rsid w:val="0055421C"/>
    <w:rsid w:val="0055493A"/>
    <w:rsid w:val="005567BE"/>
    <w:rsid w:val="00556A98"/>
    <w:rsid w:val="005573E6"/>
    <w:rsid w:val="00560623"/>
    <w:rsid w:val="00561E9E"/>
    <w:rsid w:val="005620FD"/>
    <w:rsid w:val="00562C7E"/>
    <w:rsid w:val="00562CCE"/>
    <w:rsid w:val="00564445"/>
    <w:rsid w:val="005654C5"/>
    <w:rsid w:val="00565558"/>
    <w:rsid w:val="00565DA0"/>
    <w:rsid w:val="005673BE"/>
    <w:rsid w:val="005700D4"/>
    <w:rsid w:val="0057107B"/>
    <w:rsid w:val="0057176D"/>
    <w:rsid w:val="00571AF9"/>
    <w:rsid w:val="00571E36"/>
    <w:rsid w:val="00572347"/>
    <w:rsid w:val="00572914"/>
    <w:rsid w:val="00572A37"/>
    <w:rsid w:val="00572FCD"/>
    <w:rsid w:val="00575BEB"/>
    <w:rsid w:val="0057783A"/>
    <w:rsid w:val="00577A50"/>
    <w:rsid w:val="00580B0D"/>
    <w:rsid w:val="00581B2C"/>
    <w:rsid w:val="005838E8"/>
    <w:rsid w:val="00584BF1"/>
    <w:rsid w:val="0058577F"/>
    <w:rsid w:val="00585C7C"/>
    <w:rsid w:val="005869F5"/>
    <w:rsid w:val="0058745D"/>
    <w:rsid w:val="00587715"/>
    <w:rsid w:val="005878E2"/>
    <w:rsid w:val="0059011B"/>
    <w:rsid w:val="00590169"/>
    <w:rsid w:val="005913B9"/>
    <w:rsid w:val="00592394"/>
    <w:rsid w:val="00594E8D"/>
    <w:rsid w:val="00597E30"/>
    <w:rsid w:val="005A010B"/>
    <w:rsid w:val="005A0DA1"/>
    <w:rsid w:val="005A0E68"/>
    <w:rsid w:val="005A2352"/>
    <w:rsid w:val="005A3D2B"/>
    <w:rsid w:val="005A3F2F"/>
    <w:rsid w:val="005A4002"/>
    <w:rsid w:val="005A43D8"/>
    <w:rsid w:val="005A52BD"/>
    <w:rsid w:val="005A57E0"/>
    <w:rsid w:val="005A5F38"/>
    <w:rsid w:val="005A61B3"/>
    <w:rsid w:val="005A63AF"/>
    <w:rsid w:val="005B294B"/>
    <w:rsid w:val="005B4036"/>
    <w:rsid w:val="005B77B6"/>
    <w:rsid w:val="005C3778"/>
    <w:rsid w:val="005C4ABE"/>
    <w:rsid w:val="005C6794"/>
    <w:rsid w:val="005C693B"/>
    <w:rsid w:val="005C6C1D"/>
    <w:rsid w:val="005D018E"/>
    <w:rsid w:val="005D200B"/>
    <w:rsid w:val="005D3434"/>
    <w:rsid w:val="005D4E24"/>
    <w:rsid w:val="005D55F9"/>
    <w:rsid w:val="005D61A6"/>
    <w:rsid w:val="005D71A3"/>
    <w:rsid w:val="005E21FC"/>
    <w:rsid w:val="005E4251"/>
    <w:rsid w:val="005E4F63"/>
    <w:rsid w:val="005E5E1E"/>
    <w:rsid w:val="005E5F59"/>
    <w:rsid w:val="005E664B"/>
    <w:rsid w:val="005E7FAB"/>
    <w:rsid w:val="005F0AEE"/>
    <w:rsid w:val="005F11A8"/>
    <w:rsid w:val="005F13C6"/>
    <w:rsid w:val="005F28CD"/>
    <w:rsid w:val="005F3B4A"/>
    <w:rsid w:val="005F4C39"/>
    <w:rsid w:val="00600CB1"/>
    <w:rsid w:val="006032AB"/>
    <w:rsid w:val="006049D2"/>
    <w:rsid w:val="00605AD2"/>
    <w:rsid w:val="00610265"/>
    <w:rsid w:val="00610A33"/>
    <w:rsid w:val="00611146"/>
    <w:rsid w:val="006121CB"/>
    <w:rsid w:val="00613779"/>
    <w:rsid w:val="0061486B"/>
    <w:rsid w:val="00617430"/>
    <w:rsid w:val="00623898"/>
    <w:rsid w:val="00624BB4"/>
    <w:rsid w:val="00625857"/>
    <w:rsid w:val="0062631B"/>
    <w:rsid w:val="00627C49"/>
    <w:rsid w:val="006303A0"/>
    <w:rsid w:val="0063099B"/>
    <w:rsid w:val="00630FB3"/>
    <w:rsid w:val="00634110"/>
    <w:rsid w:val="00635169"/>
    <w:rsid w:val="006357DE"/>
    <w:rsid w:val="00636E0E"/>
    <w:rsid w:val="00640EA2"/>
    <w:rsid w:val="00642F32"/>
    <w:rsid w:val="00644E67"/>
    <w:rsid w:val="0064584E"/>
    <w:rsid w:val="006512B8"/>
    <w:rsid w:val="00653106"/>
    <w:rsid w:val="00653196"/>
    <w:rsid w:val="0065398E"/>
    <w:rsid w:val="006547AC"/>
    <w:rsid w:val="00656294"/>
    <w:rsid w:val="00656E5A"/>
    <w:rsid w:val="006602EE"/>
    <w:rsid w:val="006619D4"/>
    <w:rsid w:val="00661B64"/>
    <w:rsid w:val="00661FAC"/>
    <w:rsid w:val="00664C84"/>
    <w:rsid w:val="00665091"/>
    <w:rsid w:val="00665DD7"/>
    <w:rsid w:val="0066725D"/>
    <w:rsid w:val="00672659"/>
    <w:rsid w:val="0067370B"/>
    <w:rsid w:val="006745B5"/>
    <w:rsid w:val="006821A0"/>
    <w:rsid w:val="00682B9A"/>
    <w:rsid w:val="0068425D"/>
    <w:rsid w:val="00684FFC"/>
    <w:rsid w:val="0068511B"/>
    <w:rsid w:val="00686893"/>
    <w:rsid w:val="00687455"/>
    <w:rsid w:val="006903B2"/>
    <w:rsid w:val="00690729"/>
    <w:rsid w:val="00691557"/>
    <w:rsid w:val="00692A0D"/>
    <w:rsid w:val="006933E5"/>
    <w:rsid w:val="006935EB"/>
    <w:rsid w:val="00695D78"/>
    <w:rsid w:val="00695FAD"/>
    <w:rsid w:val="0069696F"/>
    <w:rsid w:val="00696C6D"/>
    <w:rsid w:val="00696E9D"/>
    <w:rsid w:val="006976F2"/>
    <w:rsid w:val="006A0230"/>
    <w:rsid w:val="006A02E8"/>
    <w:rsid w:val="006A1416"/>
    <w:rsid w:val="006A199E"/>
    <w:rsid w:val="006A2005"/>
    <w:rsid w:val="006A244A"/>
    <w:rsid w:val="006A4E75"/>
    <w:rsid w:val="006A5123"/>
    <w:rsid w:val="006A5719"/>
    <w:rsid w:val="006A603C"/>
    <w:rsid w:val="006A6C55"/>
    <w:rsid w:val="006A72AE"/>
    <w:rsid w:val="006B08E1"/>
    <w:rsid w:val="006B0A14"/>
    <w:rsid w:val="006B0C02"/>
    <w:rsid w:val="006B0E35"/>
    <w:rsid w:val="006B12A8"/>
    <w:rsid w:val="006B26F5"/>
    <w:rsid w:val="006B2A27"/>
    <w:rsid w:val="006B4078"/>
    <w:rsid w:val="006B4665"/>
    <w:rsid w:val="006B4AAC"/>
    <w:rsid w:val="006B5385"/>
    <w:rsid w:val="006B53E9"/>
    <w:rsid w:val="006B67E1"/>
    <w:rsid w:val="006B6BB7"/>
    <w:rsid w:val="006C0192"/>
    <w:rsid w:val="006C073C"/>
    <w:rsid w:val="006C0DCD"/>
    <w:rsid w:val="006C1BBA"/>
    <w:rsid w:val="006C1F42"/>
    <w:rsid w:val="006C286D"/>
    <w:rsid w:val="006C2AD4"/>
    <w:rsid w:val="006C33A3"/>
    <w:rsid w:val="006C4AE1"/>
    <w:rsid w:val="006C52A5"/>
    <w:rsid w:val="006C6800"/>
    <w:rsid w:val="006D02B7"/>
    <w:rsid w:val="006D0F5F"/>
    <w:rsid w:val="006D29FA"/>
    <w:rsid w:val="006D2CE3"/>
    <w:rsid w:val="006D51BC"/>
    <w:rsid w:val="006D60B3"/>
    <w:rsid w:val="006D6A9F"/>
    <w:rsid w:val="006E0B3D"/>
    <w:rsid w:val="006E2F4A"/>
    <w:rsid w:val="006E4834"/>
    <w:rsid w:val="006E5294"/>
    <w:rsid w:val="006E649A"/>
    <w:rsid w:val="006E6D42"/>
    <w:rsid w:val="006E714D"/>
    <w:rsid w:val="006F078C"/>
    <w:rsid w:val="006F1F2E"/>
    <w:rsid w:val="006F35DD"/>
    <w:rsid w:val="006F3D69"/>
    <w:rsid w:val="006F3E45"/>
    <w:rsid w:val="006F3F44"/>
    <w:rsid w:val="006F4CA4"/>
    <w:rsid w:val="006F6BB2"/>
    <w:rsid w:val="006F7AB1"/>
    <w:rsid w:val="006F7ECD"/>
    <w:rsid w:val="00700C38"/>
    <w:rsid w:val="00700D06"/>
    <w:rsid w:val="00701E70"/>
    <w:rsid w:val="00702DC0"/>
    <w:rsid w:val="00703D52"/>
    <w:rsid w:val="007054D9"/>
    <w:rsid w:val="00705694"/>
    <w:rsid w:val="00706CC0"/>
    <w:rsid w:val="00712E84"/>
    <w:rsid w:val="00713448"/>
    <w:rsid w:val="00713B34"/>
    <w:rsid w:val="00714EBE"/>
    <w:rsid w:val="007152A7"/>
    <w:rsid w:val="00716636"/>
    <w:rsid w:val="007172BB"/>
    <w:rsid w:val="00721D65"/>
    <w:rsid w:val="00723A46"/>
    <w:rsid w:val="00724046"/>
    <w:rsid w:val="0072678E"/>
    <w:rsid w:val="00727EC5"/>
    <w:rsid w:val="00730D60"/>
    <w:rsid w:val="00731FF4"/>
    <w:rsid w:val="00733129"/>
    <w:rsid w:val="0073427E"/>
    <w:rsid w:val="00734A5A"/>
    <w:rsid w:val="007350D8"/>
    <w:rsid w:val="00736BA8"/>
    <w:rsid w:val="00736E12"/>
    <w:rsid w:val="0074020D"/>
    <w:rsid w:val="00741372"/>
    <w:rsid w:val="00744C57"/>
    <w:rsid w:val="0074582E"/>
    <w:rsid w:val="00745DD0"/>
    <w:rsid w:val="0074658A"/>
    <w:rsid w:val="00750603"/>
    <w:rsid w:val="00750EB7"/>
    <w:rsid w:val="007511A8"/>
    <w:rsid w:val="00751DE0"/>
    <w:rsid w:val="00752CF8"/>
    <w:rsid w:val="00753824"/>
    <w:rsid w:val="00753D0C"/>
    <w:rsid w:val="0075688F"/>
    <w:rsid w:val="007568B1"/>
    <w:rsid w:val="00756CD9"/>
    <w:rsid w:val="00761112"/>
    <w:rsid w:val="0076112C"/>
    <w:rsid w:val="00762195"/>
    <w:rsid w:val="0076363C"/>
    <w:rsid w:val="007642E8"/>
    <w:rsid w:val="00765386"/>
    <w:rsid w:val="00766F56"/>
    <w:rsid w:val="007711CE"/>
    <w:rsid w:val="00773585"/>
    <w:rsid w:val="007744EA"/>
    <w:rsid w:val="00774A21"/>
    <w:rsid w:val="00776FF2"/>
    <w:rsid w:val="00777056"/>
    <w:rsid w:val="00782D6F"/>
    <w:rsid w:val="007839A9"/>
    <w:rsid w:val="007840AD"/>
    <w:rsid w:val="00785B9E"/>
    <w:rsid w:val="00786155"/>
    <w:rsid w:val="00787204"/>
    <w:rsid w:val="0078761B"/>
    <w:rsid w:val="007876A1"/>
    <w:rsid w:val="00787725"/>
    <w:rsid w:val="00787ED4"/>
    <w:rsid w:val="0079108F"/>
    <w:rsid w:val="00791531"/>
    <w:rsid w:val="0079232E"/>
    <w:rsid w:val="00792ADC"/>
    <w:rsid w:val="00793BED"/>
    <w:rsid w:val="0079612E"/>
    <w:rsid w:val="007A09ED"/>
    <w:rsid w:val="007A1BAA"/>
    <w:rsid w:val="007A1F0E"/>
    <w:rsid w:val="007A2B85"/>
    <w:rsid w:val="007A2D1B"/>
    <w:rsid w:val="007A605D"/>
    <w:rsid w:val="007A64F9"/>
    <w:rsid w:val="007A73AA"/>
    <w:rsid w:val="007A7A8A"/>
    <w:rsid w:val="007A7ECC"/>
    <w:rsid w:val="007B1490"/>
    <w:rsid w:val="007B1EC1"/>
    <w:rsid w:val="007B2632"/>
    <w:rsid w:val="007B69A8"/>
    <w:rsid w:val="007B7165"/>
    <w:rsid w:val="007C3676"/>
    <w:rsid w:val="007C45C5"/>
    <w:rsid w:val="007C57A7"/>
    <w:rsid w:val="007C5D14"/>
    <w:rsid w:val="007C5FD7"/>
    <w:rsid w:val="007C6137"/>
    <w:rsid w:val="007C6472"/>
    <w:rsid w:val="007C7417"/>
    <w:rsid w:val="007D064D"/>
    <w:rsid w:val="007D0F35"/>
    <w:rsid w:val="007D1C51"/>
    <w:rsid w:val="007D3B32"/>
    <w:rsid w:val="007D3D2B"/>
    <w:rsid w:val="007D77F7"/>
    <w:rsid w:val="007E02F5"/>
    <w:rsid w:val="007E0DC4"/>
    <w:rsid w:val="007E146F"/>
    <w:rsid w:val="007E2C1E"/>
    <w:rsid w:val="007E4445"/>
    <w:rsid w:val="007E6575"/>
    <w:rsid w:val="007E7B08"/>
    <w:rsid w:val="007F0A8D"/>
    <w:rsid w:val="007F10E7"/>
    <w:rsid w:val="007F1CBB"/>
    <w:rsid w:val="007F2AC2"/>
    <w:rsid w:val="007F2BA5"/>
    <w:rsid w:val="007F2EE2"/>
    <w:rsid w:val="007F40B1"/>
    <w:rsid w:val="007F439B"/>
    <w:rsid w:val="007F44F3"/>
    <w:rsid w:val="007F48B2"/>
    <w:rsid w:val="007F5036"/>
    <w:rsid w:val="007F7172"/>
    <w:rsid w:val="007F7F73"/>
    <w:rsid w:val="008002CC"/>
    <w:rsid w:val="0080166A"/>
    <w:rsid w:val="00805C88"/>
    <w:rsid w:val="00806D2A"/>
    <w:rsid w:val="008075D0"/>
    <w:rsid w:val="008105CD"/>
    <w:rsid w:val="00811613"/>
    <w:rsid w:val="00812456"/>
    <w:rsid w:val="008148AE"/>
    <w:rsid w:val="00820160"/>
    <w:rsid w:val="0082405D"/>
    <w:rsid w:val="0082447E"/>
    <w:rsid w:val="00824720"/>
    <w:rsid w:val="00826BB9"/>
    <w:rsid w:val="00827EA5"/>
    <w:rsid w:val="00830F4E"/>
    <w:rsid w:val="00831A5C"/>
    <w:rsid w:val="008366E0"/>
    <w:rsid w:val="00836A65"/>
    <w:rsid w:val="0084161A"/>
    <w:rsid w:val="00841E69"/>
    <w:rsid w:val="00841FE8"/>
    <w:rsid w:val="00842ED5"/>
    <w:rsid w:val="0084314C"/>
    <w:rsid w:val="00844930"/>
    <w:rsid w:val="00844D1B"/>
    <w:rsid w:val="008457CC"/>
    <w:rsid w:val="00846C5E"/>
    <w:rsid w:val="008520B4"/>
    <w:rsid w:val="0085213A"/>
    <w:rsid w:val="0085348E"/>
    <w:rsid w:val="008541AA"/>
    <w:rsid w:val="00855311"/>
    <w:rsid w:val="00855B4F"/>
    <w:rsid w:val="00860F97"/>
    <w:rsid w:val="00861C2E"/>
    <w:rsid w:val="00862D08"/>
    <w:rsid w:val="00862D09"/>
    <w:rsid w:val="00863E26"/>
    <w:rsid w:val="00864514"/>
    <w:rsid w:val="00865DA5"/>
    <w:rsid w:val="00866EE5"/>
    <w:rsid w:val="0086759E"/>
    <w:rsid w:val="008676C5"/>
    <w:rsid w:val="00870340"/>
    <w:rsid w:val="00870F8C"/>
    <w:rsid w:val="008710B3"/>
    <w:rsid w:val="00871212"/>
    <w:rsid w:val="0087247F"/>
    <w:rsid w:val="00874EBF"/>
    <w:rsid w:val="00877972"/>
    <w:rsid w:val="00883F2C"/>
    <w:rsid w:val="00884478"/>
    <w:rsid w:val="008844D8"/>
    <w:rsid w:val="00885432"/>
    <w:rsid w:val="008865A0"/>
    <w:rsid w:val="00890064"/>
    <w:rsid w:val="00890580"/>
    <w:rsid w:val="00891FCD"/>
    <w:rsid w:val="008930DD"/>
    <w:rsid w:val="00893354"/>
    <w:rsid w:val="00893A3B"/>
    <w:rsid w:val="00893B25"/>
    <w:rsid w:val="00894383"/>
    <w:rsid w:val="00895399"/>
    <w:rsid w:val="0089560F"/>
    <w:rsid w:val="00896346"/>
    <w:rsid w:val="00896B99"/>
    <w:rsid w:val="008A0002"/>
    <w:rsid w:val="008A0CD0"/>
    <w:rsid w:val="008A2671"/>
    <w:rsid w:val="008A2D49"/>
    <w:rsid w:val="008A3931"/>
    <w:rsid w:val="008A5E5F"/>
    <w:rsid w:val="008A6A88"/>
    <w:rsid w:val="008B244F"/>
    <w:rsid w:val="008B27C9"/>
    <w:rsid w:val="008B4435"/>
    <w:rsid w:val="008B5FD1"/>
    <w:rsid w:val="008B6137"/>
    <w:rsid w:val="008C0A37"/>
    <w:rsid w:val="008C0CAA"/>
    <w:rsid w:val="008C0F20"/>
    <w:rsid w:val="008C19A4"/>
    <w:rsid w:val="008C1C38"/>
    <w:rsid w:val="008C3154"/>
    <w:rsid w:val="008C3836"/>
    <w:rsid w:val="008D0A6A"/>
    <w:rsid w:val="008D389A"/>
    <w:rsid w:val="008D39FC"/>
    <w:rsid w:val="008D5801"/>
    <w:rsid w:val="008D6066"/>
    <w:rsid w:val="008D69D0"/>
    <w:rsid w:val="008D767F"/>
    <w:rsid w:val="008E02D8"/>
    <w:rsid w:val="008E1284"/>
    <w:rsid w:val="008E2115"/>
    <w:rsid w:val="008F017B"/>
    <w:rsid w:val="008F12CF"/>
    <w:rsid w:val="008F2632"/>
    <w:rsid w:val="008F5219"/>
    <w:rsid w:val="008F6632"/>
    <w:rsid w:val="008F7451"/>
    <w:rsid w:val="008F79D8"/>
    <w:rsid w:val="00900D0A"/>
    <w:rsid w:val="00905539"/>
    <w:rsid w:val="00906101"/>
    <w:rsid w:val="0090635E"/>
    <w:rsid w:val="00906939"/>
    <w:rsid w:val="009070B4"/>
    <w:rsid w:val="0091029A"/>
    <w:rsid w:val="0091091F"/>
    <w:rsid w:val="0091170E"/>
    <w:rsid w:val="009122E4"/>
    <w:rsid w:val="009128A4"/>
    <w:rsid w:val="00912F07"/>
    <w:rsid w:val="00914251"/>
    <w:rsid w:val="0091696F"/>
    <w:rsid w:val="00917853"/>
    <w:rsid w:val="0092010F"/>
    <w:rsid w:val="00920644"/>
    <w:rsid w:val="00920E1E"/>
    <w:rsid w:val="00923033"/>
    <w:rsid w:val="00924541"/>
    <w:rsid w:val="00925152"/>
    <w:rsid w:val="00925508"/>
    <w:rsid w:val="00925693"/>
    <w:rsid w:val="00925BA9"/>
    <w:rsid w:val="009265F9"/>
    <w:rsid w:val="00927F42"/>
    <w:rsid w:val="00930548"/>
    <w:rsid w:val="00934AAD"/>
    <w:rsid w:val="00934D27"/>
    <w:rsid w:val="00935056"/>
    <w:rsid w:val="0093593E"/>
    <w:rsid w:val="0093607A"/>
    <w:rsid w:val="00941803"/>
    <w:rsid w:val="009441C6"/>
    <w:rsid w:val="0095159B"/>
    <w:rsid w:val="0095174F"/>
    <w:rsid w:val="00951777"/>
    <w:rsid w:val="00953141"/>
    <w:rsid w:val="00954475"/>
    <w:rsid w:val="00955159"/>
    <w:rsid w:val="0095565C"/>
    <w:rsid w:val="00955DCB"/>
    <w:rsid w:val="00957109"/>
    <w:rsid w:val="00960231"/>
    <w:rsid w:val="0096171C"/>
    <w:rsid w:val="00962792"/>
    <w:rsid w:val="00962D68"/>
    <w:rsid w:val="009641D6"/>
    <w:rsid w:val="00965883"/>
    <w:rsid w:val="00967F88"/>
    <w:rsid w:val="009704C7"/>
    <w:rsid w:val="00970A01"/>
    <w:rsid w:val="00970FAF"/>
    <w:rsid w:val="0097338E"/>
    <w:rsid w:val="0097761F"/>
    <w:rsid w:val="00977F6C"/>
    <w:rsid w:val="009804E5"/>
    <w:rsid w:val="00980B54"/>
    <w:rsid w:val="0098254C"/>
    <w:rsid w:val="009827EE"/>
    <w:rsid w:val="00983017"/>
    <w:rsid w:val="009834C1"/>
    <w:rsid w:val="0098422D"/>
    <w:rsid w:val="00985D35"/>
    <w:rsid w:val="00985DBD"/>
    <w:rsid w:val="009908DD"/>
    <w:rsid w:val="00990CD2"/>
    <w:rsid w:val="00992156"/>
    <w:rsid w:val="00992330"/>
    <w:rsid w:val="00992B6F"/>
    <w:rsid w:val="00993D9E"/>
    <w:rsid w:val="009942B1"/>
    <w:rsid w:val="00995E7B"/>
    <w:rsid w:val="0099735B"/>
    <w:rsid w:val="00997604"/>
    <w:rsid w:val="009A0546"/>
    <w:rsid w:val="009A094C"/>
    <w:rsid w:val="009A28A2"/>
    <w:rsid w:val="009A30A7"/>
    <w:rsid w:val="009A36F7"/>
    <w:rsid w:val="009A5747"/>
    <w:rsid w:val="009A6487"/>
    <w:rsid w:val="009A66BA"/>
    <w:rsid w:val="009B0364"/>
    <w:rsid w:val="009B1C64"/>
    <w:rsid w:val="009B43A5"/>
    <w:rsid w:val="009B4F9E"/>
    <w:rsid w:val="009B4FA6"/>
    <w:rsid w:val="009C1D26"/>
    <w:rsid w:val="009C2EA6"/>
    <w:rsid w:val="009C5151"/>
    <w:rsid w:val="009C740F"/>
    <w:rsid w:val="009D2EAB"/>
    <w:rsid w:val="009D428B"/>
    <w:rsid w:val="009D42A9"/>
    <w:rsid w:val="009D4328"/>
    <w:rsid w:val="009D4FCF"/>
    <w:rsid w:val="009D50E9"/>
    <w:rsid w:val="009D53BB"/>
    <w:rsid w:val="009D5490"/>
    <w:rsid w:val="009D79AD"/>
    <w:rsid w:val="009E16D0"/>
    <w:rsid w:val="009E189A"/>
    <w:rsid w:val="009E2193"/>
    <w:rsid w:val="009E3A84"/>
    <w:rsid w:val="009E5B45"/>
    <w:rsid w:val="009E672F"/>
    <w:rsid w:val="009E7B3E"/>
    <w:rsid w:val="009F0554"/>
    <w:rsid w:val="009F16EA"/>
    <w:rsid w:val="009F1851"/>
    <w:rsid w:val="009F1A26"/>
    <w:rsid w:val="009F1EF7"/>
    <w:rsid w:val="009F2D9C"/>
    <w:rsid w:val="009F3960"/>
    <w:rsid w:val="009F572C"/>
    <w:rsid w:val="009F65CE"/>
    <w:rsid w:val="009F6E21"/>
    <w:rsid w:val="009F7436"/>
    <w:rsid w:val="009F79DD"/>
    <w:rsid w:val="00A00D39"/>
    <w:rsid w:val="00A01DF4"/>
    <w:rsid w:val="00A02693"/>
    <w:rsid w:val="00A0410D"/>
    <w:rsid w:val="00A04FCA"/>
    <w:rsid w:val="00A06894"/>
    <w:rsid w:val="00A068C8"/>
    <w:rsid w:val="00A07610"/>
    <w:rsid w:val="00A0771F"/>
    <w:rsid w:val="00A12B8E"/>
    <w:rsid w:val="00A13343"/>
    <w:rsid w:val="00A15485"/>
    <w:rsid w:val="00A15BDE"/>
    <w:rsid w:val="00A15CD9"/>
    <w:rsid w:val="00A16366"/>
    <w:rsid w:val="00A1696E"/>
    <w:rsid w:val="00A16E50"/>
    <w:rsid w:val="00A2058B"/>
    <w:rsid w:val="00A215CE"/>
    <w:rsid w:val="00A21606"/>
    <w:rsid w:val="00A21889"/>
    <w:rsid w:val="00A23717"/>
    <w:rsid w:val="00A249B6"/>
    <w:rsid w:val="00A25189"/>
    <w:rsid w:val="00A2580C"/>
    <w:rsid w:val="00A25968"/>
    <w:rsid w:val="00A265CE"/>
    <w:rsid w:val="00A26999"/>
    <w:rsid w:val="00A27808"/>
    <w:rsid w:val="00A27D19"/>
    <w:rsid w:val="00A30912"/>
    <w:rsid w:val="00A32D15"/>
    <w:rsid w:val="00A332A9"/>
    <w:rsid w:val="00A34761"/>
    <w:rsid w:val="00A36B13"/>
    <w:rsid w:val="00A379FE"/>
    <w:rsid w:val="00A37D66"/>
    <w:rsid w:val="00A4037E"/>
    <w:rsid w:val="00A4427C"/>
    <w:rsid w:val="00A44CE3"/>
    <w:rsid w:val="00A44E38"/>
    <w:rsid w:val="00A451E8"/>
    <w:rsid w:val="00A4523D"/>
    <w:rsid w:val="00A46C74"/>
    <w:rsid w:val="00A51A19"/>
    <w:rsid w:val="00A51D20"/>
    <w:rsid w:val="00A529C6"/>
    <w:rsid w:val="00A53FD6"/>
    <w:rsid w:val="00A543EA"/>
    <w:rsid w:val="00A5451E"/>
    <w:rsid w:val="00A54821"/>
    <w:rsid w:val="00A55FAE"/>
    <w:rsid w:val="00A56D5B"/>
    <w:rsid w:val="00A57F97"/>
    <w:rsid w:val="00A60F5A"/>
    <w:rsid w:val="00A61211"/>
    <w:rsid w:val="00A6263F"/>
    <w:rsid w:val="00A62B19"/>
    <w:rsid w:val="00A64755"/>
    <w:rsid w:val="00A64D1F"/>
    <w:rsid w:val="00A65866"/>
    <w:rsid w:val="00A65EE9"/>
    <w:rsid w:val="00A67B51"/>
    <w:rsid w:val="00A701DE"/>
    <w:rsid w:val="00A71FA2"/>
    <w:rsid w:val="00A728F3"/>
    <w:rsid w:val="00A73921"/>
    <w:rsid w:val="00A75501"/>
    <w:rsid w:val="00A755C7"/>
    <w:rsid w:val="00A75B72"/>
    <w:rsid w:val="00A773B6"/>
    <w:rsid w:val="00A80483"/>
    <w:rsid w:val="00A80DBA"/>
    <w:rsid w:val="00A814A2"/>
    <w:rsid w:val="00A836F2"/>
    <w:rsid w:val="00A83925"/>
    <w:rsid w:val="00A840FF"/>
    <w:rsid w:val="00A84A00"/>
    <w:rsid w:val="00A926E9"/>
    <w:rsid w:val="00A92723"/>
    <w:rsid w:val="00A93521"/>
    <w:rsid w:val="00A97EAF"/>
    <w:rsid w:val="00AA04AF"/>
    <w:rsid w:val="00AA0D0A"/>
    <w:rsid w:val="00AA29D6"/>
    <w:rsid w:val="00AA2CDA"/>
    <w:rsid w:val="00AA36D2"/>
    <w:rsid w:val="00AA396D"/>
    <w:rsid w:val="00AA52C2"/>
    <w:rsid w:val="00AA5ACE"/>
    <w:rsid w:val="00AA5C9A"/>
    <w:rsid w:val="00AA6B6C"/>
    <w:rsid w:val="00AA6D0D"/>
    <w:rsid w:val="00AB0164"/>
    <w:rsid w:val="00AB0B8A"/>
    <w:rsid w:val="00AB1249"/>
    <w:rsid w:val="00AB3424"/>
    <w:rsid w:val="00AB49BB"/>
    <w:rsid w:val="00AB4AD6"/>
    <w:rsid w:val="00AB59F3"/>
    <w:rsid w:val="00AB6BB3"/>
    <w:rsid w:val="00AC02F4"/>
    <w:rsid w:val="00AC148F"/>
    <w:rsid w:val="00AC158B"/>
    <w:rsid w:val="00AC1B13"/>
    <w:rsid w:val="00AC3ECC"/>
    <w:rsid w:val="00AC436B"/>
    <w:rsid w:val="00AC46D4"/>
    <w:rsid w:val="00AC7422"/>
    <w:rsid w:val="00AC7818"/>
    <w:rsid w:val="00AD09D2"/>
    <w:rsid w:val="00AD1250"/>
    <w:rsid w:val="00AD29F2"/>
    <w:rsid w:val="00AD2A49"/>
    <w:rsid w:val="00AD72C9"/>
    <w:rsid w:val="00AD7833"/>
    <w:rsid w:val="00AE16EC"/>
    <w:rsid w:val="00AE4E16"/>
    <w:rsid w:val="00AE6850"/>
    <w:rsid w:val="00AE79DE"/>
    <w:rsid w:val="00AF1BCC"/>
    <w:rsid w:val="00AF3D74"/>
    <w:rsid w:val="00AF557F"/>
    <w:rsid w:val="00AF76E8"/>
    <w:rsid w:val="00B00991"/>
    <w:rsid w:val="00B009D9"/>
    <w:rsid w:val="00B0273C"/>
    <w:rsid w:val="00B02AC3"/>
    <w:rsid w:val="00B049E7"/>
    <w:rsid w:val="00B05E4A"/>
    <w:rsid w:val="00B069D6"/>
    <w:rsid w:val="00B10607"/>
    <w:rsid w:val="00B11F92"/>
    <w:rsid w:val="00B1221B"/>
    <w:rsid w:val="00B133F5"/>
    <w:rsid w:val="00B137B9"/>
    <w:rsid w:val="00B17635"/>
    <w:rsid w:val="00B177AE"/>
    <w:rsid w:val="00B21965"/>
    <w:rsid w:val="00B2346B"/>
    <w:rsid w:val="00B2377B"/>
    <w:rsid w:val="00B24B5F"/>
    <w:rsid w:val="00B25CAA"/>
    <w:rsid w:val="00B306C9"/>
    <w:rsid w:val="00B315CD"/>
    <w:rsid w:val="00B31748"/>
    <w:rsid w:val="00B34BFE"/>
    <w:rsid w:val="00B36D28"/>
    <w:rsid w:val="00B37FFB"/>
    <w:rsid w:val="00B41B72"/>
    <w:rsid w:val="00B43003"/>
    <w:rsid w:val="00B43598"/>
    <w:rsid w:val="00B44F87"/>
    <w:rsid w:val="00B46C30"/>
    <w:rsid w:val="00B506A8"/>
    <w:rsid w:val="00B537AA"/>
    <w:rsid w:val="00B537EA"/>
    <w:rsid w:val="00B5441D"/>
    <w:rsid w:val="00B545DC"/>
    <w:rsid w:val="00B56C67"/>
    <w:rsid w:val="00B57B00"/>
    <w:rsid w:val="00B602A1"/>
    <w:rsid w:val="00B60A35"/>
    <w:rsid w:val="00B61697"/>
    <w:rsid w:val="00B618C1"/>
    <w:rsid w:val="00B61CC6"/>
    <w:rsid w:val="00B65245"/>
    <w:rsid w:val="00B6551C"/>
    <w:rsid w:val="00B728CE"/>
    <w:rsid w:val="00B72BDA"/>
    <w:rsid w:val="00B734C0"/>
    <w:rsid w:val="00B736AA"/>
    <w:rsid w:val="00B74862"/>
    <w:rsid w:val="00B74E68"/>
    <w:rsid w:val="00B76292"/>
    <w:rsid w:val="00B767D9"/>
    <w:rsid w:val="00B7796C"/>
    <w:rsid w:val="00B8008B"/>
    <w:rsid w:val="00B8032F"/>
    <w:rsid w:val="00B8143D"/>
    <w:rsid w:val="00B818F4"/>
    <w:rsid w:val="00B81CD9"/>
    <w:rsid w:val="00B828E4"/>
    <w:rsid w:val="00B82A45"/>
    <w:rsid w:val="00B841D5"/>
    <w:rsid w:val="00B84979"/>
    <w:rsid w:val="00B852D0"/>
    <w:rsid w:val="00B9222D"/>
    <w:rsid w:val="00B92869"/>
    <w:rsid w:val="00B9334E"/>
    <w:rsid w:val="00B95E4E"/>
    <w:rsid w:val="00BA03D2"/>
    <w:rsid w:val="00BA0B11"/>
    <w:rsid w:val="00BA2ED0"/>
    <w:rsid w:val="00BA3003"/>
    <w:rsid w:val="00BA366B"/>
    <w:rsid w:val="00BA4739"/>
    <w:rsid w:val="00BA5368"/>
    <w:rsid w:val="00BA6F4A"/>
    <w:rsid w:val="00BB0612"/>
    <w:rsid w:val="00BB10F7"/>
    <w:rsid w:val="00BB1C10"/>
    <w:rsid w:val="00BB20A5"/>
    <w:rsid w:val="00BB30A2"/>
    <w:rsid w:val="00BB310A"/>
    <w:rsid w:val="00BB3DB6"/>
    <w:rsid w:val="00BB4068"/>
    <w:rsid w:val="00BB4BC1"/>
    <w:rsid w:val="00BB75B2"/>
    <w:rsid w:val="00BB7674"/>
    <w:rsid w:val="00BC0167"/>
    <w:rsid w:val="00BC0C5F"/>
    <w:rsid w:val="00BC23D3"/>
    <w:rsid w:val="00BC2806"/>
    <w:rsid w:val="00BC47F7"/>
    <w:rsid w:val="00BC4D49"/>
    <w:rsid w:val="00BC5324"/>
    <w:rsid w:val="00BC534A"/>
    <w:rsid w:val="00BC5ABF"/>
    <w:rsid w:val="00BC6AEE"/>
    <w:rsid w:val="00BC6FB3"/>
    <w:rsid w:val="00BC72AB"/>
    <w:rsid w:val="00BD0FDF"/>
    <w:rsid w:val="00BD16C3"/>
    <w:rsid w:val="00BD2894"/>
    <w:rsid w:val="00BD2F51"/>
    <w:rsid w:val="00BD442A"/>
    <w:rsid w:val="00BD4453"/>
    <w:rsid w:val="00BD6420"/>
    <w:rsid w:val="00BD6BD9"/>
    <w:rsid w:val="00BD7225"/>
    <w:rsid w:val="00BE0745"/>
    <w:rsid w:val="00BE0B86"/>
    <w:rsid w:val="00BE18BD"/>
    <w:rsid w:val="00BE28F1"/>
    <w:rsid w:val="00BE2B5F"/>
    <w:rsid w:val="00BE2F0D"/>
    <w:rsid w:val="00BE369A"/>
    <w:rsid w:val="00BE3885"/>
    <w:rsid w:val="00BE3E97"/>
    <w:rsid w:val="00BE4287"/>
    <w:rsid w:val="00BE43C3"/>
    <w:rsid w:val="00BE4EF1"/>
    <w:rsid w:val="00BE56A0"/>
    <w:rsid w:val="00BF1072"/>
    <w:rsid w:val="00BF32C2"/>
    <w:rsid w:val="00BF3732"/>
    <w:rsid w:val="00BF43B0"/>
    <w:rsid w:val="00BF5A4D"/>
    <w:rsid w:val="00BF6912"/>
    <w:rsid w:val="00C001B5"/>
    <w:rsid w:val="00C008F8"/>
    <w:rsid w:val="00C02807"/>
    <w:rsid w:val="00C02FEE"/>
    <w:rsid w:val="00C051BF"/>
    <w:rsid w:val="00C061BB"/>
    <w:rsid w:val="00C11719"/>
    <w:rsid w:val="00C1175D"/>
    <w:rsid w:val="00C12BCE"/>
    <w:rsid w:val="00C13717"/>
    <w:rsid w:val="00C14AB5"/>
    <w:rsid w:val="00C14CEB"/>
    <w:rsid w:val="00C15F1E"/>
    <w:rsid w:val="00C200E9"/>
    <w:rsid w:val="00C208A2"/>
    <w:rsid w:val="00C21274"/>
    <w:rsid w:val="00C2167F"/>
    <w:rsid w:val="00C21CE0"/>
    <w:rsid w:val="00C23CE5"/>
    <w:rsid w:val="00C24945"/>
    <w:rsid w:val="00C2554F"/>
    <w:rsid w:val="00C2568B"/>
    <w:rsid w:val="00C30640"/>
    <w:rsid w:val="00C30AC6"/>
    <w:rsid w:val="00C31EBC"/>
    <w:rsid w:val="00C320AF"/>
    <w:rsid w:val="00C32424"/>
    <w:rsid w:val="00C341A3"/>
    <w:rsid w:val="00C357C3"/>
    <w:rsid w:val="00C35E7E"/>
    <w:rsid w:val="00C35ECA"/>
    <w:rsid w:val="00C369CA"/>
    <w:rsid w:val="00C36ADF"/>
    <w:rsid w:val="00C40F6A"/>
    <w:rsid w:val="00C411DD"/>
    <w:rsid w:val="00C41E18"/>
    <w:rsid w:val="00C439AF"/>
    <w:rsid w:val="00C46156"/>
    <w:rsid w:val="00C47D6A"/>
    <w:rsid w:val="00C50184"/>
    <w:rsid w:val="00C503A7"/>
    <w:rsid w:val="00C51F2D"/>
    <w:rsid w:val="00C52DCD"/>
    <w:rsid w:val="00C530A8"/>
    <w:rsid w:val="00C54061"/>
    <w:rsid w:val="00C5445C"/>
    <w:rsid w:val="00C550DC"/>
    <w:rsid w:val="00C55F80"/>
    <w:rsid w:val="00C56084"/>
    <w:rsid w:val="00C56EE9"/>
    <w:rsid w:val="00C61481"/>
    <w:rsid w:val="00C615C0"/>
    <w:rsid w:val="00C62401"/>
    <w:rsid w:val="00C62B9C"/>
    <w:rsid w:val="00C63493"/>
    <w:rsid w:val="00C654B3"/>
    <w:rsid w:val="00C66C09"/>
    <w:rsid w:val="00C716C9"/>
    <w:rsid w:val="00C7401F"/>
    <w:rsid w:val="00C74CD9"/>
    <w:rsid w:val="00C75BB5"/>
    <w:rsid w:val="00C76B89"/>
    <w:rsid w:val="00C7738E"/>
    <w:rsid w:val="00C77822"/>
    <w:rsid w:val="00C7787C"/>
    <w:rsid w:val="00C8062F"/>
    <w:rsid w:val="00C81D6D"/>
    <w:rsid w:val="00C82BF7"/>
    <w:rsid w:val="00C83268"/>
    <w:rsid w:val="00C839D2"/>
    <w:rsid w:val="00C84569"/>
    <w:rsid w:val="00C84AAE"/>
    <w:rsid w:val="00C86DC8"/>
    <w:rsid w:val="00C87E1F"/>
    <w:rsid w:val="00C92455"/>
    <w:rsid w:val="00C93E82"/>
    <w:rsid w:val="00C96137"/>
    <w:rsid w:val="00CA0458"/>
    <w:rsid w:val="00CA0740"/>
    <w:rsid w:val="00CA0C78"/>
    <w:rsid w:val="00CA115D"/>
    <w:rsid w:val="00CA1ADE"/>
    <w:rsid w:val="00CA2698"/>
    <w:rsid w:val="00CA2C57"/>
    <w:rsid w:val="00CA32CF"/>
    <w:rsid w:val="00CA5F01"/>
    <w:rsid w:val="00CA6067"/>
    <w:rsid w:val="00CA627E"/>
    <w:rsid w:val="00CA6ABC"/>
    <w:rsid w:val="00CB2A6F"/>
    <w:rsid w:val="00CB4BB1"/>
    <w:rsid w:val="00CB5609"/>
    <w:rsid w:val="00CB595D"/>
    <w:rsid w:val="00CB69DE"/>
    <w:rsid w:val="00CB746D"/>
    <w:rsid w:val="00CB753B"/>
    <w:rsid w:val="00CB7D8C"/>
    <w:rsid w:val="00CC1A0C"/>
    <w:rsid w:val="00CC2A23"/>
    <w:rsid w:val="00CC3819"/>
    <w:rsid w:val="00CC7B60"/>
    <w:rsid w:val="00CD0A7A"/>
    <w:rsid w:val="00CD0BCC"/>
    <w:rsid w:val="00CD0D03"/>
    <w:rsid w:val="00CD3560"/>
    <w:rsid w:val="00CD394A"/>
    <w:rsid w:val="00CD3C7F"/>
    <w:rsid w:val="00CD49D6"/>
    <w:rsid w:val="00CD5621"/>
    <w:rsid w:val="00CD56F8"/>
    <w:rsid w:val="00CE058A"/>
    <w:rsid w:val="00CE34D1"/>
    <w:rsid w:val="00CE3980"/>
    <w:rsid w:val="00CE53B8"/>
    <w:rsid w:val="00CE5437"/>
    <w:rsid w:val="00CE5B12"/>
    <w:rsid w:val="00CF1278"/>
    <w:rsid w:val="00CF1689"/>
    <w:rsid w:val="00CF4645"/>
    <w:rsid w:val="00CF5DE8"/>
    <w:rsid w:val="00CF7631"/>
    <w:rsid w:val="00CF7D88"/>
    <w:rsid w:val="00D003CF"/>
    <w:rsid w:val="00D00D5D"/>
    <w:rsid w:val="00D0312E"/>
    <w:rsid w:val="00D036D2"/>
    <w:rsid w:val="00D04519"/>
    <w:rsid w:val="00D13F1E"/>
    <w:rsid w:val="00D14226"/>
    <w:rsid w:val="00D16124"/>
    <w:rsid w:val="00D2076F"/>
    <w:rsid w:val="00D2181B"/>
    <w:rsid w:val="00D2267D"/>
    <w:rsid w:val="00D2371B"/>
    <w:rsid w:val="00D23806"/>
    <w:rsid w:val="00D238A3"/>
    <w:rsid w:val="00D2649D"/>
    <w:rsid w:val="00D26C46"/>
    <w:rsid w:val="00D27CC4"/>
    <w:rsid w:val="00D319B4"/>
    <w:rsid w:val="00D323AA"/>
    <w:rsid w:val="00D34024"/>
    <w:rsid w:val="00D35363"/>
    <w:rsid w:val="00D3699A"/>
    <w:rsid w:val="00D374D2"/>
    <w:rsid w:val="00D37733"/>
    <w:rsid w:val="00D41354"/>
    <w:rsid w:val="00D42237"/>
    <w:rsid w:val="00D458EA"/>
    <w:rsid w:val="00D45FCA"/>
    <w:rsid w:val="00D47878"/>
    <w:rsid w:val="00D5092F"/>
    <w:rsid w:val="00D50D0D"/>
    <w:rsid w:val="00D50E93"/>
    <w:rsid w:val="00D50F7A"/>
    <w:rsid w:val="00D510B1"/>
    <w:rsid w:val="00D52176"/>
    <w:rsid w:val="00D533D7"/>
    <w:rsid w:val="00D536E0"/>
    <w:rsid w:val="00D54F89"/>
    <w:rsid w:val="00D55542"/>
    <w:rsid w:val="00D559CF"/>
    <w:rsid w:val="00D568C0"/>
    <w:rsid w:val="00D60738"/>
    <w:rsid w:val="00D618E2"/>
    <w:rsid w:val="00D61FA4"/>
    <w:rsid w:val="00D6235B"/>
    <w:rsid w:val="00D62632"/>
    <w:rsid w:val="00D64451"/>
    <w:rsid w:val="00D6509B"/>
    <w:rsid w:val="00D6559E"/>
    <w:rsid w:val="00D6676D"/>
    <w:rsid w:val="00D67A65"/>
    <w:rsid w:val="00D70371"/>
    <w:rsid w:val="00D70CA5"/>
    <w:rsid w:val="00D710C6"/>
    <w:rsid w:val="00D71260"/>
    <w:rsid w:val="00D717B1"/>
    <w:rsid w:val="00D71EA2"/>
    <w:rsid w:val="00D746A4"/>
    <w:rsid w:val="00D7570E"/>
    <w:rsid w:val="00D75B8B"/>
    <w:rsid w:val="00D8016D"/>
    <w:rsid w:val="00D81789"/>
    <w:rsid w:val="00D82035"/>
    <w:rsid w:val="00D82440"/>
    <w:rsid w:val="00D82B57"/>
    <w:rsid w:val="00D833F3"/>
    <w:rsid w:val="00D83A04"/>
    <w:rsid w:val="00D83B0A"/>
    <w:rsid w:val="00D83FB5"/>
    <w:rsid w:val="00D905AA"/>
    <w:rsid w:val="00D918C9"/>
    <w:rsid w:val="00D91C80"/>
    <w:rsid w:val="00D92609"/>
    <w:rsid w:val="00D92B7C"/>
    <w:rsid w:val="00D94594"/>
    <w:rsid w:val="00D947A7"/>
    <w:rsid w:val="00D94947"/>
    <w:rsid w:val="00D95026"/>
    <w:rsid w:val="00D95DF1"/>
    <w:rsid w:val="00D96B44"/>
    <w:rsid w:val="00D96DB3"/>
    <w:rsid w:val="00D96ED3"/>
    <w:rsid w:val="00DA36EA"/>
    <w:rsid w:val="00DA6BFA"/>
    <w:rsid w:val="00DA7967"/>
    <w:rsid w:val="00DA7B73"/>
    <w:rsid w:val="00DB020E"/>
    <w:rsid w:val="00DB15DE"/>
    <w:rsid w:val="00DB16C4"/>
    <w:rsid w:val="00DB2E1F"/>
    <w:rsid w:val="00DB3262"/>
    <w:rsid w:val="00DB579C"/>
    <w:rsid w:val="00DB5804"/>
    <w:rsid w:val="00DB7981"/>
    <w:rsid w:val="00DC1342"/>
    <w:rsid w:val="00DC1583"/>
    <w:rsid w:val="00DC3F11"/>
    <w:rsid w:val="00DC4A05"/>
    <w:rsid w:val="00DC6031"/>
    <w:rsid w:val="00DC6B6E"/>
    <w:rsid w:val="00DD023E"/>
    <w:rsid w:val="00DD0E62"/>
    <w:rsid w:val="00DD1064"/>
    <w:rsid w:val="00DD19F7"/>
    <w:rsid w:val="00DD37C5"/>
    <w:rsid w:val="00DD3A1C"/>
    <w:rsid w:val="00DD3B74"/>
    <w:rsid w:val="00DD3D89"/>
    <w:rsid w:val="00DD4950"/>
    <w:rsid w:val="00DD4BED"/>
    <w:rsid w:val="00DD4D97"/>
    <w:rsid w:val="00DD54E8"/>
    <w:rsid w:val="00DD5521"/>
    <w:rsid w:val="00DD6156"/>
    <w:rsid w:val="00DD7C5C"/>
    <w:rsid w:val="00DE011D"/>
    <w:rsid w:val="00DE03B1"/>
    <w:rsid w:val="00DE0EDA"/>
    <w:rsid w:val="00DE20CE"/>
    <w:rsid w:val="00DE2875"/>
    <w:rsid w:val="00DE3A23"/>
    <w:rsid w:val="00DE4507"/>
    <w:rsid w:val="00DE5680"/>
    <w:rsid w:val="00DE6FE0"/>
    <w:rsid w:val="00DE72F4"/>
    <w:rsid w:val="00DE78DA"/>
    <w:rsid w:val="00DE7B00"/>
    <w:rsid w:val="00DF20BF"/>
    <w:rsid w:val="00DF2291"/>
    <w:rsid w:val="00DF3DD6"/>
    <w:rsid w:val="00DF5470"/>
    <w:rsid w:val="00DF7A2C"/>
    <w:rsid w:val="00E0049E"/>
    <w:rsid w:val="00E01EFE"/>
    <w:rsid w:val="00E03681"/>
    <w:rsid w:val="00E04857"/>
    <w:rsid w:val="00E05274"/>
    <w:rsid w:val="00E054C1"/>
    <w:rsid w:val="00E0758F"/>
    <w:rsid w:val="00E11DFE"/>
    <w:rsid w:val="00E13628"/>
    <w:rsid w:val="00E13726"/>
    <w:rsid w:val="00E14BF2"/>
    <w:rsid w:val="00E152BC"/>
    <w:rsid w:val="00E1573C"/>
    <w:rsid w:val="00E17D97"/>
    <w:rsid w:val="00E218B6"/>
    <w:rsid w:val="00E25CE1"/>
    <w:rsid w:val="00E273A7"/>
    <w:rsid w:val="00E27A21"/>
    <w:rsid w:val="00E30321"/>
    <w:rsid w:val="00E31A46"/>
    <w:rsid w:val="00E31E55"/>
    <w:rsid w:val="00E32A4B"/>
    <w:rsid w:val="00E32B0A"/>
    <w:rsid w:val="00E32E32"/>
    <w:rsid w:val="00E3470A"/>
    <w:rsid w:val="00E36901"/>
    <w:rsid w:val="00E37973"/>
    <w:rsid w:val="00E37D6C"/>
    <w:rsid w:val="00E37F71"/>
    <w:rsid w:val="00E4117C"/>
    <w:rsid w:val="00E41C78"/>
    <w:rsid w:val="00E42A50"/>
    <w:rsid w:val="00E43C0F"/>
    <w:rsid w:val="00E44467"/>
    <w:rsid w:val="00E44963"/>
    <w:rsid w:val="00E44A14"/>
    <w:rsid w:val="00E4566C"/>
    <w:rsid w:val="00E46977"/>
    <w:rsid w:val="00E46B4B"/>
    <w:rsid w:val="00E50696"/>
    <w:rsid w:val="00E50801"/>
    <w:rsid w:val="00E51BBB"/>
    <w:rsid w:val="00E51CA8"/>
    <w:rsid w:val="00E53E07"/>
    <w:rsid w:val="00E54E84"/>
    <w:rsid w:val="00E5796C"/>
    <w:rsid w:val="00E57A2E"/>
    <w:rsid w:val="00E60B62"/>
    <w:rsid w:val="00E62F35"/>
    <w:rsid w:val="00E6323D"/>
    <w:rsid w:val="00E63BB6"/>
    <w:rsid w:val="00E6474E"/>
    <w:rsid w:val="00E67373"/>
    <w:rsid w:val="00E70802"/>
    <w:rsid w:val="00E71F3F"/>
    <w:rsid w:val="00E757F1"/>
    <w:rsid w:val="00E77125"/>
    <w:rsid w:val="00E803F3"/>
    <w:rsid w:val="00E80459"/>
    <w:rsid w:val="00E81714"/>
    <w:rsid w:val="00E82B8B"/>
    <w:rsid w:val="00E82E30"/>
    <w:rsid w:val="00E831C9"/>
    <w:rsid w:val="00E84436"/>
    <w:rsid w:val="00E859FC"/>
    <w:rsid w:val="00E87774"/>
    <w:rsid w:val="00E87E1A"/>
    <w:rsid w:val="00E905FB"/>
    <w:rsid w:val="00E908C3"/>
    <w:rsid w:val="00E90E4A"/>
    <w:rsid w:val="00E91AAE"/>
    <w:rsid w:val="00E91E5E"/>
    <w:rsid w:val="00E92502"/>
    <w:rsid w:val="00E934B4"/>
    <w:rsid w:val="00E93B95"/>
    <w:rsid w:val="00E94C30"/>
    <w:rsid w:val="00E9552C"/>
    <w:rsid w:val="00E97434"/>
    <w:rsid w:val="00EA0245"/>
    <w:rsid w:val="00EA1C88"/>
    <w:rsid w:val="00EA2E8B"/>
    <w:rsid w:val="00EA3325"/>
    <w:rsid w:val="00EA4480"/>
    <w:rsid w:val="00EA4AA6"/>
    <w:rsid w:val="00EA4FB3"/>
    <w:rsid w:val="00EA6D52"/>
    <w:rsid w:val="00EA7121"/>
    <w:rsid w:val="00EB1C93"/>
    <w:rsid w:val="00EB2968"/>
    <w:rsid w:val="00EB4AE7"/>
    <w:rsid w:val="00EB538D"/>
    <w:rsid w:val="00EB6086"/>
    <w:rsid w:val="00EB665F"/>
    <w:rsid w:val="00EB6766"/>
    <w:rsid w:val="00EC02BA"/>
    <w:rsid w:val="00EC05BC"/>
    <w:rsid w:val="00EC2D31"/>
    <w:rsid w:val="00EC2F98"/>
    <w:rsid w:val="00EC745B"/>
    <w:rsid w:val="00ED0421"/>
    <w:rsid w:val="00ED0D81"/>
    <w:rsid w:val="00ED1236"/>
    <w:rsid w:val="00ED207F"/>
    <w:rsid w:val="00ED269A"/>
    <w:rsid w:val="00ED292E"/>
    <w:rsid w:val="00ED5D03"/>
    <w:rsid w:val="00ED6683"/>
    <w:rsid w:val="00ED7472"/>
    <w:rsid w:val="00ED77D5"/>
    <w:rsid w:val="00ED79C3"/>
    <w:rsid w:val="00EE014F"/>
    <w:rsid w:val="00EE0CC6"/>
    <w:rsid w:val="00EE1697"/>
    <w:rsid w:val="00EE1A5B"/>
    <w:rsid w:val="00EE205B"/>
    <w:rsid w:val="00EE5057"/>
    <w:rsid w:val="00EE5518"/>
    <w:rsid w:val="00EE7E2A"/>
    <w:rsid w:val="00EF0B4B"/>
    <w:rsid w:val="00EF1648"/>
    <w:rsid w:val="00EF1E61"/>
    <w:rsid w:val="00EF3DF0"/>
    <w:rsid w:val="00EF47B9"/>
    <w:rsid w:val="00EF55B7"/>
    <w:rsid w:val="00EF655A"/>
    <w:rsid w:val="00EF738C"/>
    <w:rsid w:val="00EF7F59"/>
    <w:rsid w:val="00F01660"/>
    <w:rsid w:val="00F016EF"/>
    <w:rsid w:val="00F01A4A"/>
    <w:rsid w:val="00F020E5"/>
    <w:rsid w:val="00F05B03"/>
    <w:rsid w:val="00F07395"/>
    <w:rsid w:val="00F12C4F"/>
    <w:rsid w:val="00F1484A"/>
    <w:rsid w:val="00F14B9B"/>
    <w:rsid w:val="00F15DD5"/>
    <w:rsid w:val="00F1778F"/>
    <w:rsid w:val="00F20305"/>
    <w:rsid w:val="00F22AF0"/>
    <w:rsid w:val="00F24057"/>
    <w:rsid w:val="00F244FD"/>
    <w:rsid w:val="00F24D90"/>
    <w:rsid w:val="00F259F4"/>
    <w:rsid w:val="00F32FF8"/>
    <w:rsid w:val="00F33676"/>
    <w:rsid w:val="00F33F3D"/>
    <w:rsid w:val="00F344C2"/>
    <w:rsid w:val="00F3564C"/>
    <w:rsid w:val="00F3595B"/>
    <w:rsid w:val="00F35AA6"/>
    <w:rsid w:val="00F3728D"/>
    <w:rsid w:val="00F37F82"/>
    <w:rsid w:val="00F4054F"/>
    <w:rsid w:val="00F41612"/>
    <w:rsid w:val="00F41614"/>
    <w:rsid w:val="00F4196D"/>
    <w:rsid w:val="00F4200A"/>
    <w:rsid w:val="00F4341D"/>
    <w:rsid w:val="00F4420E"/>
    <w:rsid w:val="00F454FF"/>
    <w:rsid w:val="00F46778"/>
    <w:rsid w:val="00F46B86"/>
    <w:rsid w:val="00F500B8"/>
    <w:rsid w:val="00F502D8"/>
    <w:rsid w:val="00F509AE"/>
    <w:rsid w:val="00F51614"/>
    <w:rsid w:val="00F53465"/>
    <w:rsid w:val="00F53AA3"/>
    <w:rsid w:val="00F54426"/>
    <w:rsid w:val="00F57F49"/>
    <w:rsid w:val="00F60297"/>
    <w:rsid w:val="00F60A30"/>
    <w:rsid w:val="00F614AF"/>
    <w:rsid w:val="00F6194E"/>
    <w:rsid w:val="00F620AD"/>
    <w:rsid w:val="00F62135"/>
    <w:rsid w:val="00F6260A"/>
    <w:rsid w:val="00F62BD6"/>
    <w:rsid w:val="00F63D6A"/>
    <w:rsid w:val="00F63F7E"/>
    <w:rsid w:val="00F650B7"/>
    <w:rsid w:val="00F65440"/>
    <w:rsid w:val="00F656B6"/>
    <w:rsid w:val="00F65D41"/>
    <w:rsid w:val="00F66416"/>
    <w:rsid w:val="00F6739B"/>
    <w:rsid w:val="00F67467"/>
    <w:rsid w:val="00F67D55"/>
    <w:rsid w:val="00F70D1A"/>
    <w:rsid w:val="00F71355"/>
    <w:rsid w:val="00F72D1B"/>
    <w:rsid w:val="00F7380E"/>
    <w:rsid w:val="00F744D7"/>
    <w:rsid w:val="00F74CAB"/>
    <w:rsid w:val="00F756DF"/>
    <w:rsid w:val="00F80334"/>
    <w:rsid w:val="00F80539"/>
    <w:rsid w:val="00F81067"/>
    <w:rsid w:val="00F81637"/>
    <w:rsid w:val="00F81DBE"/>
    <w:rsid w:val="00F82002"/>
    <w:rsid w:val="00F82598"/>
    <w:rsid w:val="00F82AE2"/>
    <w:rsid w:val="00F8410F"/>
    <w:rsid w:val="00F84288"/>
    <w:rsid w:val="00F85244"/>
    <w:rsid w:val="00F8678B"/>
    <w:rsid w:val="00F8796C"/>
    <w:rsid w:val="00F902BC"/>
    <w:rsid w:val="00F92293"/>
    <w:rsid w:val="00F93B04"/>
    <w:rsid w:val="00F94D6B"/>
    <w:rsid w:val="00F9505D"/>
    <w:rsid w:val="00F96588"/>
    <w:rsid w:val="00F96D5F"/>
    <w:rsid w:val="00F97016"/>
    <w:rsid w:val="00F97C11"/>
    <w:rsid w:val="00F97F6A"/>
    <w:rsid w:val="00FA3709"/>
    <w:rsid w:val="00FA3C0F"/>
    <w:rsid w:val="00FA4FC5"/>
    <w:rsid w:val="00FA5645"/>
    <w:rsid w:val="00FA59CC"/>
    <w:rsid w:val="00FB1944"/>
    <w:rsid w:val="00FB1987"/>
    <w:rsid w:val="00FB25DC"/>
    <w:rsid w:val="00FB28EE"/>
    <w:rsid w:val="00FB34AE"/>
    <w:rsid w:val="00FB37A2"/>
    <w:rsid w:val="00FB5841"/>
    <w:rsid w:val="00FB7695"/>
    <w:rsid w:val="00FC0AED"/>
    <w:rsid w:val="00FC0DDA"/>
    <w:rsid w:val="00FC1029"/>
    <w:rsid w:val="00FC29AA"/>
    <w:rsid w:val="00FC4134"/>
    <w:rsid w:val="00FC427F"/>
    <w:rsid w:val="00FC4517"/>
    <w:rsid w:val="00FC60B7"/>
    <w:rsid w:val="00FC74E7"/>
    <w:rsid w:val="00FC7970"/>
    <w:rsid w:val="00FC7FA7"/>
    <w:rsid w:val="00FD0464"/>
    <w:rsid w:val="00FD0699"/>
    <w:rsid w:val="00FD3144"/>
    <w:rsid w:val="00FE0919"/>
    <w:rsid w:val="00FE2D9E"/>
    <w:rsid w:val="00FE2FCF"/>
    <w:rsid w:val="00FE31A2"/>
    <w:rsid w:val="00FE45E5"/>
    <w:rsid w:val="00FF2141"/>
    <w:rsid w:val="00FF34D1"/>
    <w:rsid w:val="00FF51B0"/>
    <w:rsid w:val="00FF643F"/>
    <w:rsid w:val="00FF6B01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chartTrackingRefBased/>
  <w15:docId w15:val="{7DFEA4F7-97FD-4CD1-9A94-4AA2683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  <w:style w:type="paragraph" w:styleId="Reviso">
    <w:name w:val="Revision"/>
    <w:hidden/>
    <w:uiPriority w:val="99"/>
    <w:semiHidden/>
    <w:rsid w:val="009942B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A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AA6"/>
  </w:style>
  <w:style w:type="paragraph" w:styleId="Rodap">
    <w:name w:val="footer"/>
    <w:basedOn w:val="Normal"/>
    <w:link w:val="RodapChar"/>
    <w:uiPriority w:val="99"/>
    <w:unhideWhenUsed/>
    <w:rsid w:val="00EA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AA6"/>
  </w:style>
  <w:style w:type="paragraph" w:customStyle="1" w:styleId="xmsonormal">
    <w:name w:val="x_msonormal"/>
    <w:basedOn w:val="Normal"/>
    <w:rsid w:val="0066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grostat.agricultura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agrostat.agricultura.gov.b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ldbank.org/en/research/commodity-market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AA1E-D41C-4B44-A88E-052B3936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5171</Words>
  <Characters>27929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CGEA</dc:creator>
  <cp:keywords/>
  <dc:description/>
  <cp:lastModifiedBy>Aline Gomes de Almeida Gastardelo</cp:lastModifiedBy>
  <cp:revision>4</cp:revision>
  <dcterms:created xsi:type="dcterms:W3CDTF">2024-01-12T18:29:00Z</dcterms:created>
  <dcterms:modified xsi:type="dcterms:W3CDTF">2024-01-12T18:50:00Z</dcterms:modified>
</cp:coreProperties>
</file>