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200B3" w14:textId="77777777" w:rsidR="00C21CE0" w:rsidRPr="009A094C" w:rsidRDefault="00C21CE0" w:rsidP="00A814A2">
      <w:pPr>
        <w:rPr>
          <w:b/>
          <w:bCs/>
        </w:rPr>
      </w:pPr>
      <w:r w:rsidRPr="009A094C">
        <w:rPr>
          <w:b/>
          <w:bCs/>
        </w:rPr>
        <w:t>MINISTÉRIO DA AGRICULTURA, PECUÁRIA E ABASTECIMENTO</w:t>
      </w:r>
    </w:p>
    <w:p w14:paraId="3881A141" w14:textId="3FB3C008" w:rsidR="00C21CE0" w:rsidRPr="009A094C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>Secretaria de Comércio e Relações Internacionais</w:t>
      </w:r>
    </w:p>
    <w:p w14:paraId="68E3B5C0" w14:textId="6D53AD58" w:rsidR="00C21CE0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 xml:space="preserve">Departamento de </w:t>
      </w:r>
      <w:r w:rsidR="00290AFF" w:rsidRPr="00290AFF">
        <w:rPr>
          <w:b/>
          <w:bCs/>
        </w:rPr>
        <w:t>Negociações e Análises Comerciais</w:t>
      </w:r>
    </w:p>
    <w:p w14:paraId="3E2DECB3" w14:textId="4EEDD2B7" w:rsidR="00290AFF" w:rsidRPr="009A094C" w:rsidRDefault="00290AFF" w:rsidP="00BA3003">
      <w:pPr>
        <w:spacing w:after="0" w:line="240" w:lineRule="auto"/>
        <w:jc w:val="both"/>
        <w:rPr>
          <w:b/>
          <w:bCs/>
        </w:rPr>
      </w:pPr>
      <w:r w:rsidRPr="00290AFF">
        <w:rPr>
          <w:b/>
          <w:bCs/>
        </w:rPr>
        <w:t>Coordenação-Geral de Estatística e Análise Comercial</w:t>
      </w:r>
    </w:p>
    <w:p w14:paraId="6014065D" w14:textId="77777777" w:rsidR="00C21CE0" w:rsidRDefault="00C21CE0" w:rsidP="00BA3003">
      <w:pPr>
        <w:jc w:val="both"/>
      </w:pPr>
    </w:p>
    <w:p w14:paraId="7B4C9DFA" w14:textId="19D55F8D" w:rsidR="00692A0D" w:rsidRDefault="009A094C" w:rsidP="00EA2E8B">
      <w:pPr>
        <w:rPr>
          <w:b/>
          <w:bCs/>
        </w:rPr>
      </w:pPr>
      <w:r w:rsidRPr="00C21CE0">
        <w:rPr>
          <w:b/>
          <w:bCs/>
        </w:rPr>
        <w:t xml:space="preserve">BALANÇA COMERCIAL DO AGRONEGÓCIO – </w:t>
      </w:r>
      <w:r w:rsidR="006D51BC">
        <w:rPr>
          <w:b/>
          <w:bCs/>
        </w:rPr>
        <w:t>OUTUBRO</w:t>
      </w:r>
      <w:r w:rsidRPr="00C21CE0">
        <w:rPr>
          <w:b/>
          <w:bCs/>
        </w:rPr>
        <w:t>/</w:t>
      </w:r>
      <w:r w:rsidR="00AA396D">
        <w:rPr>
          <w:b/>
          <w:bCs/>
        </w:rPr>
        <w:t>2023</w:t>
      </w:r>
    </w:p>
    <w:p w14:paraId="0136964A" w14:textId="77777777" w:rsidR="009A094C" w:rsidRPr="00C21CE0" w:rsidRDefault="009A094C" w:rsidP="00BA3003">
      <w:pPr>
        <w:jc w:val="both"/>
        <w:rPr>
          <w:b/>
          <w:bCs/>
        </w:rPr>
      </w:pPr>
    </w:p>
    <w:p w14:paraId="461D5BD2" w14:textId="117FFBF8" w:rsidR="00C21CE0" w:rsidRDefault="009F2D9C" w:rsidP="00BA3003">
      <w:pPr>
        <w:jc w:val="both"/>
      </w:pPr>
      <w:r w:rsidRPr="009F2D9C">
        <w:rPr>
          <w:noProof/>
          <w:lang w:eastAsia="pt-BR"/>
        </w:rPr>
        <w:drawing>
          <wp:inline distT="0" distB="0" distL="0" distR="0" wp14:anchorId="75F224FE" wp14:editId="7F24EB4A">
            <wp:extent cx="6188710" cy="2503170"/>
            <wp:effectExtent l="0" t="0" r="2540" b="0"/>
            <wp:docPr id="21403146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1465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F9113" w14:textId="252C5217" w:rsidR="001B31E4" w:rsidRDefault="001B31E4" w:rsidP="00BA3003">
      <w:pPr>
        <w:jc w:val="both"/>
        <w:rPr>
          <w:b/>
          <w:bCs/>
        </w:rPr>
      </w:pPr>
    </w:p>
    <w:p w14:paraId="276506CD" w14:textId="4686D8BC" w:rsidR="00C21CE0" w:rsidRDefault="00C21CE0" w:rsidP="00BA3003">
      <w:pPr>
        <w:jc w:val="both"/>
        <w:rPr>
          <w:b/>
          <w:bCs/>
        </w:rPr>
      </w:pPr>
      <w:r w:rsidRPr="00C21CE0">
        <w:rPr>
          <w:b/>
          <w:bCs/>
        </w:rPr>
        <w:t xml:space="preserve">I – Resultados do mês (comparativo </w:t>
      </w:r>
      <w:r w:rsidR="006D51BC">
        <w:rPr>
          <w:b/>
          <w:bCs/>
        </w:rPr>
        <w:t>Outubro</w:t>
      </w:r>
      <w:r w:rsidRPr="00C21CE0">
        <w:rPr>
          <w:b/>
          <w:bCs/>
        </w:rPr>
        <w:t>/</w:t>
      </w:r>
      <w:r w:rsidR="00AA396D">
        <w:rPr>
          <w:b/>
          <w:bCs/>
        </w:rPr>
        <w:t>2023</w:t>
      </w:r>
      <w:r w:rsidRPr="00C21CE0">
        <w:rPr>
          <w:b/>
          <w:bCs/>
        </w:rPr>
        <w:t xml:space="preserve"> – </w:t>
      </w:r>
      <w:r w:rsidR="006D51BC">
        <w:rPr>
          <w:b/>
          <w:bCs/>
        </w:rPr>
        <w:t>Outubro</w:t>
      </w:r>
      <w:r w:rsidRPr="00C21CE0">
        <w:rPr>
          <w:b/>
          <w:bCs/>
        </w:rPr>
        <w:t>/</w:t>
      </w:r>
      <w:r w:rsidR="00AA396D">
        <w:rPr>
          <w:b/>
          <w:bCs/>
        </w:rPr>
        <w:t>2022</w:t>
      </w:r>
      <w:r w:rsidRPr="00C21CE0">
        <w:rPr>
          <w:b/>
          <w:bCs/>
        </w:rPr>
        <w:t>)</w:t>
      </w:r>
    </w:p>
    <w:p w14:paraId="485F688F" w14:textId="77777777" w:rsidR="00EE5518" w:rsidRDefault="00EE5518" w:rsidP="00EE5518">
      <w:pPr>
        <w:jc w:val="both"/>
      </w:pPr>
      <w:r>
        <w:t>As exportações do agronegócio foram de US$ 13,38 bilhões em outubro de 2023, uma cifra 2,3% inferior na comparação com os US$ 13,68 bilhões exportados em outubro de 2022.  O resultado das vendas externas continua sendo fortemente influenciado por duas variáveis: aumento do volume exportado em função da safra recorde brasileira de grãos 2022/2023 e a queda internacional dos preços das commodities agrícolas depois do maior patamar de preços atingido em maio de  2022</w:t>
      </w:r>
      <w:r>
        <w:rPr>
          <w:rStyle w:val="Refdenotaderodap"/>
        </w:rPr>
        <w:footnoteReference w:id="1"/>
      </w:r>
      <w:r>
        <w:t>.</w:t>
      </w:r>
    </w:p>
    <w:p w14:paraId="0F3B0A8C" w14:textId="77777777" w:rsidR="00EE5518" w:rsidRDefault="00EE5518" w:rsidP="00EE5518">
      <w:pPr>
        <w:jc w:val="both"/>
      </w:pPr>
      <w:r>
        <w:t>Em relação aos preços dos alimentos, houve queda no índice de preços ao longo de 2023. A diminuição do índice de preços apurado na cesta de exportação brasileira do agronegócio foi de 9,1%.  Segundo as informações de preços do Banco Mundial</w:t>
      </w:r>
      <w:r>
        <w:rPr>
          <w:rStyle w:val="Refdenotaderodap"/>
        </w:rPr>
        <w:footnoteReference w:id="2"/>
      </w:r>
      <w:r>
        <w:t>, o</w:t>
      </w:r>
      <w:r w:rsidRPr="002802FB">
        <w:t xml:space="preserve">s </w:t>
      </w:r>
      <w:r>
        <w:t>preços dos alimentos caíram 7,7% na comparação entre outubro de 2023 e outubro de 2022. Em outubro de 2023 houve queda de 1,7% no preço dos alimentos em relação ao mês imediatamente anterior. Já a análise do índice de preço dos alimentos da FAO</w:t>
      </w:r>
      <w:r>
        <w:rPr>
          <w:rStyle w:val="Refdenotaderodap"/>
        </w:rPr>
        <w:footnoteReference w:id="3"/>
      </w:r>
      <w:r>
        <w:t xml:space="preserve"> demonstra uma queda de 10,9% nos últimos doze meses. A FAO apurou que em outubro de 2023 houve queda de 1,0% no índice de preço dos alimentos em relação a setembro de 2023, essa redução refletiria o declínio nos preços de açúcar, cereais, óleos vegetais e carnes, enquanto o preço dos produtos lácteos subiu. Logo, a redução no índice de preços das exportações brasileiras do agronegócio estaria entre os índices do Banco Mundial e da FAO, com a queda de 9,1% nos preços médios exportados.</w:t>
      </w:r>
    </w:p>
    <w:p w14:paraId="6710531B" w14:textId="77777777" w:rsidR="00EE5518" w:rsidRPr="009960B2" w:rsidRDefault="00EE5518" w:rsidP="00EE5518">
      <w:pPr>
        <w:jc w:val="both"/>
      </w:pPr>
      <w:r>
        <w:t>Quanto ao volume exportado, os embarques de grãos até outubro de 2023 já foram, em valores absolutos, mais de trinta milhões de toneladas superiores na comparação com o mesmo período de 2022</w:t>
      </w:r>
      <w:r>
        <w:rPr>
          <w:rStyle w:val="Refdenotaderodap"/>
        </w:rPr>
        <w:footnoteReference w:id="4"/>
      </w:r>
      <w:r>
        <w:t xml:space="preserve">. Somente nesse mês de outubro o índice de </w:t>
      </w:r>
      <w:r>
        <w:rPr>
          <w:i/>
        </w:rPr>
        <w:t>quantum</w:t>
      </w:r>
      <w:r>
        <w:t xml:space="preserve"> das exportações cresceu 7,5% em relação a outubro de 2022. Caso se examine em termos relativos, mais de 50% de toda a safra de grãos 2022/2023 foi exportada ao longo dos dez primeiros meses deste ano. A safra de 2022/2023 foi de 321,41 milhões de toneladas e as exportações de grãos até outubro atingiram 164,08 milhões de toneladas. Somente outubro de 2023, a soma das exportações de milho e soja em grãos foi de praticamente 14 milhões de toneladas.</w:t>
      </w:r>
    </w:p>
    <w:p w14:paraId="78512020" w14:textId="77777777" w:rsidR="00EE5518" w:rsidRPr="002802FB" w:rsidRDefault="00EE5518" w:rsidP="00EE5518">
      <w:pPr>
        <w:jc w:val="both"/>
      </w:pPr>
      <w:r>
        <w:t>As importações de produtos agropecuários registraram US$ 1,37 bilhão em outubro de 2023 (-4,1%). Além desses produtos, houve importações de inúmeros insumos utilizados na produção agropecuária nacional. As importações de fertilizantes foram de US$ 1,36 bilhão em outubro de 2023, com queda de 16,4% em relação aos US$ 1,63 bilhão adquiridos em outubro de 2022. O volume adquirido de fertilizante aumentou 61,5% no mesmo período, passando de 2,83 milhões de toneladas em outubro de 2022 para 4,56 milhões em outubro de 2023.</w:t>
      </w:r>
      <w:r>
        <w:rPr>
          <w:rStyle w:val="Refdenotaderodap"/>
        </w:rPr>
        <w:footnoteReference w:id="5"/>
      </w:r>
      <w:r>
        <w:t xml:space="preserve"> Já as aquisições de defensivos agrícolas da posição SH 3808</w:t>
      </w:r>
      <w:r>
        <w:rPr>
          <w:rStyle w:val="Refdenotaderodap"/>
        </w:rPr>
        <w:footnoteReference w:id="6"/>
      </w:r>
      <w:r>
        <w:t xml:space="preserve"> chegaram a US$ 530,63 milhões. Outros dois produtos  importados pelo agronegócio foram: produtos para nutrição animal (US$ 241,29 milhões), máquinas e implementos agrícolas (US$ 88,59 milhões).</w:t>
      </w:r>
      <w:r>
        <w:rPr>
          <w:rStyle w:val="Refdenotaderodap"/>
        </w:rPr>
        <w:footnoteReference w:id="7"/>
      </w:r>
    </w:p>
    <w:p w14:paraId="68B16530" w14:textId="18532281" w:rsidR="006E5294" w:rsidRPr="00433A20" w:rsidRDefault="006E5294" w:rsidP="00F15DD5">
      <w:pPr>
        <w:jc w:val="both"/>
      </w:pPr>
    </w:p>
    <w:p w14:paraId="6C6F1A86" w14:textId="3DFE87ED" w:rsidR="00F15DD5" w:rsidRPr="00535CFB" w:rsidRDefault="00F15DD5" w:rsidP="00F15DD5">
      <w:pPr>
        <w:jc w:val="both"/>
        <w:rPr>
          <w:b/>
          <w:bCs/>
        </w:rPr>
      </w:pPr>
      <w:proofErr w:type="spellStart"/>
      <w:r w:rsidRPr="00535CFB">
        <w:rPr>
          <w:b/>
          <w:bCs/>
        </w:rPr>
        <w:t>I.a</w:t>
      </w:r>
      <w:proofErr w:type="spellEnd"/>
      <w:r w:rsidRPr="00535CFB">
        <w:rPr>
          <w:b/>
          <w:bCs/>
        </w:rPr>
        <w:t xml:space="preserve"> – Setores do Agronegócio</w:t>
      </w:r>
    </w:p>
    <w:p w14:paraId="55F6ABBA" w14:textId="77777777" w:rsidR="00EE5518" w:rsidRPr="00145C9E" w:rsidRDefault="00EE5518" w:rsidP="00EE5518">
      <w:pPr>
        <w:jc w:val="both"/>
      </w:pPr>
      <w:r>
        <w:t>Em outubro de 2023, o</w:t>
      </w:r>
      <w:r w:rsidRPr="00145C9E">
        <w:t xml:space="preserve">s </w:t>
      </w:r>
      <w:r>
        <w:t>cinco principais setores exportadores do agronegócio foram: complexo soja (29,1%); cereais, farinhas e preparações (15,0%); carnes (14,2%); complexo sucroalcooleiro (12,3%); e produtos florestais (7,5%). Estes cinco setores exportaram 78,1% de todo o valor exportado pelo Brasil em produtos do agronegócio. No mesmo mês de outubro de 2022, os mesmos setores responderam por 79,0% das vendas externas do agronegócio. Pode-se dizer, com efeito, que houve uma desconcentração da pauta exportadora no período ora em análise. Os vinte demais setores exportadores do agronegócio exportaram US$ 2,93 bilhões, valor que significou um crescimento de 1,9% em comparação com os US$ 2,87 bilhões exportados em outubro de 2022.</w:t>
      </w:r>
    </w:p>
    <w:p w14:paraId="7326E631" w14:textId="77777777" w:rsidR="00EE5518" w:rsidRDefault="00EE5518" w:rsidP="00EE5518">
      <w:pPr>
        <w:jc w:val="both"/>
      </w:pPr>
      <w:r>
        <w:t>O complexo soja é o principal setor exportador do agronegócio brasileiro. Mesmo com uma sazonalidade maior de vendas externas no primeiro semestre do ano, as exportações do complexo soja chegaram a 29,1% das exportações totais do agronegócio brasileiro nesse mês de outubro ou o equivalente a US$ 3,90 bilhões (+12,2%).</w:t>
      </w:r>
    </w:p>
    <w:p w14:paraId="3659EE05" w14:textId="77777777" w:rsidR="00EE5518" w:rsidRDefault="00EE5518" w:rsidP="00EE5518">
      <w:pPr>
        <w:jc w:val="both"/>
      </w:pPr>
      <w:r>
        <w:t>No setor do complexo soja, as vendas externas de soja em grãos atingiram US$ 2,89 bilhões em outubro de 2023, com expansão de 24,0% em relação ao mesmo mês de 2022. O volume embarcado subiu 45,7%, atingindo o maior volume para os meses de outubro com 5,53 milhões de toneladas. Houve, todavia, queda nos preços médios de exportação em 14,9%, variável que impediu uma maior elevação do valor exportado. Quando se analisa o destino das vendas, quase 90% do volume comercializado em outubro teve como destino a China, sendo mais rigoroso, a porcentagem das aquisições chinesas chegou a 87,8% ou o equivalente a 4,85 milhões de toneladas das 5,53 milhões de toneladas exportadas. Somente mais dois mercados adquiriram mais de 100 mil toneladas: Tailândia (147,12 mil toneladas; -31,7%) e Argentina (105,37 mil toneladas; não houve aquisição em outubro de 2022)</w:t>
      </w:r>
    </w:p>
    <w:p w14:paraId="330D1859" w14:textId="77777777" w:rsidR="00EE5518" w:rsidRDefault="00EE5518" w:rsidP="00EE5518">
      <w:pPr>
        <w:jc w:val="both"/>
      </w:pPr>
      <w:r>
        <w:t>O valor embarcado de farelo de soja foi de US$ 920,77 milhões (+2,7%) em outubro de 2023, cifra recorde para o mês. Este valor recorde ocorreu devido ao incremento de 6,9% no volume exportado, que chegou a 1,88 milhão de toneladas. A queda no preço médio de exportação em 3,9% foi, mais uma vez, o fator que impediu um valor exportado mais expressivo. Os países que compõem a União Europeia continuam sendo os principais mercados importadores do farelo de soja brasileiro, com US$ 363,62 milhões em compras (-17,9%). Somente mais um mercado adquiriu mais de US$ 100 milhões: a Indonésia. Neste caso, houve forte crescimento das exportações, que passaram de US$ 61,36 milhões em outubro de 2021 para US$ 205,57 milhões em outubro de 2022 (+235,0%).</w:t>
      </w:r>
    </w:p>
    <w:p w14:paraId="186BE2B4" w14:textId="77777777" w:rsidR="00EE5518" w:rsidRDefault="00EE5518" w:rsidP="00EE5518">
      <w:pPr>
        <w:jc w:val="both"/>
      </w:pPr>
      <w:r>
        <w:t>Os cereais, farinhas e preparações tiveram registro de US$ 2,0 bilhões em vendas externas em outubro de 2023 (-2,3%). O milho é o principal produto de exportação do setor. O volume embarcado de milho foi recorde para os meses de outubro, chegando a 8,44 milhões de toneladas nesse outubro de 2023 ou uma quantidade 24,5% superior na comparação com os 6,78 milhões exportados no mesmo mês do ano anterior. O valor exportado, no entanto, foi praticamente idêntico ao de outubro de 2022, ficando em US$ 1,89 bilhão (+0,02%). O pequeno crescimento do valor exportado mesmo diante de um recorde do volume comercializado no mês ocorreu devido à redução nos preços médios do milho exportado, que caíram de US$ 278,82 por tonelada em outubro de 2022 para US$ 223,97 por tonelada em outubro de 2023 (-19,7%).</w:t>
      </w:r>
    </w:p>
    <w:p w14:paraId="7DE4DB18" w14:textId="77777777" w:rsidR="00EE5518" w:rsidRDefault="00EE5518" w:rsidP="00EE5518">
      <w:pPr>
        <w:jc w:val="both"/>
      </w:pPr>
      <w:r>
        <w:t>Em maio de 2022, a China e o Brasil formalizaram um protocolo sanitário que possibilitou as exportações do milho brasileiro ao país asiático. Neste ano de 2023, porém, que ocorreu efeito prática do protocolo com a China, que aumentou rapidamente as aquisições de milho do Brasil. Nesse mês de outubro de 2023, a China apareceu novamente como o principal país importador do milho brasileiro, com participação de 40,9% na quantidade exportada pelo Brasil (3,46 milhões de toneladas) ou US$ 765,77 milhões. Somente mais cinco mercados importaram mais de US$ 80 milhões em milho brasileiro: Japão (US$ 215,86 milhões; -45,4%); Espanha (US$ 142,69 milhões; -24,8%); Irã (US$ 97,75 milhões; -34,8%) e Coreia do Sul (US$ 87,59 milhões; -14,7%).</w:t>
      </w:r>
    </w:p>
    <w:p w14:paraId="4FB62167" w14:textId="77777777" w:rsidR="00EE5518" w:rsidRPr="008F3A97" w:rsidRDefault="00EE5518" w:rsidP="00EE5518">
      <w:pPr>
        <w:jc w:val="both"/>
      </w:pPr>
      <w:r>
        <w:t xml:space="preserve">A exportações de carnes tiveram queda de 17,0% em outubro de 2023, passando de US$ 2,28 bilhões em outubro de 2022 para US$ 1,89 bilhão nesse mês de outubro. A redução do valor exportado ocorreu, sobretudo, devido à diminuição dos preços médios de exportação dos produtos cárneos brasileiros, que apresentaram queda de 16,9%. A quantidade exportada de carnes também caiu, porém somente 0,2%. As vendas externas de carne bovina foram de US$ 941,19 milhões, com queda de 21,0% em relação aos US$ 1,19 bilhão de outubro de 2022. Mais uma vez os preços médios de exportação tiveram a maior influência na queda, com registros de -20,4% na comparação entre os períodos em análise. A China continua o principal país importador da carne bovina </w:t>
      </w:r>
      <w:r>
        <w:rPr>
          <w:i/>
        </w:rPr>
        <w:t xml:space="preserve">in natura </w:t>
      </w:r>
      <w:r>
        <w:t>brasileira, tendo adquirido US$ 547,73 milhões em outubro de 2023 (-30,5%). A participação do país asiático, todavia, decresceu de 71,5% do valor total em outubro de 2022 para 64,0% em outubro de 2023. O que correspondeu a uma redução de 7,5 pontos percentuais. Somente outros três mercados importaram mais de US$ 20 milhões: Emirados Árabes Unidos (US$ 39,76 milhões; +58,3% e 4,6% de participação no valor total); Estados Unidos (US$ 35,93 milhões; +28,6% e 4,2% de participação no valor total); e Chile (US$ 28,03 milhões; -6,1% e 3,3% de participação no valor total).</w:t>
      </w:r>
    </w:p>
    <w:p w14:paraId="192C45A9" w14:textId="77777777" w:rsidR="00EE5518" w:rsidRDefault="00EE5518" w:rsidP="00EE5518">
      <w:pPr>
        <w:jc w:val="both"/>
      </w:pPr>
      <w:r>
        <w:t>No caso da carne de frango, houve aumento do volume exportado (+3,0%), algo que não ocorreu com as demais carnes analisadas. Não obstante o incremento do volume, o preço médio de exportação também diminuiu (-14,0%). Há registros de cinco mercados com valor de aquisição acima de US$ 60 milhões: China (US$ 90,97 milhões; -23,7% e participação de 13,3% no valor total); Emirados Árabes Unidos (US$ 67,06 milhões; +6,8% e participação de 9,8% no valor total); Japão (US$ 65,15 milhões; -30,1% e participação de 9,5% no valor total); México (US$ 64,64 milhões; +198,3% e participação de 9,5% no valor total); e Arábia Saudita (US$ 61,82 milhões; -1,4% e participação de 9,1% no valor total).</w:t>
      </w:r>
    </w:p>
    <w:p w14:paraId="527924AF" w14:textId="77777777" w:rsidR="00EE5518" w:rsidRDefault="00EE5518" w:rsidP="00EE5518">
      <w:pPr>
        <w:jc w:val="both"/>
      </w:pPr>
      <w:r>
        <w:t xml:space="preserve">Ainda no setor de carnes, também houve redução nas vendas externas de carne suína, que caíram de US$ 234,62 milhões em outubro de 2022 para US$ 198,75 milhões em outubro de 2023 (-15,3%). Tanto os preços médios quanto os volumes embarcados caíram, -10,2% e -5,7%, respectivamente. A China continua o principal país importador da carne suína </w:t>
      </w:r>
      <w:r>
        <w:rPr>
          <w:i/>
        </w:rPr>
        <w:t xml:space="preserve">in natura </w:t>
      </w:r>
      <w:r>
        <w:t>brasileira, com US$ 52,53 milhões (-53,1%) embora com forte queda de participação, que diminui 22,5 pontos percentuais, passando de 50,3% do valor total exportado pelo Brasil em outubro de 2022 para 27,8% em outubro deste ano. Em relação à diminuição das aquisições chinesas de carne suína brasileira, convém lembrar que a China é a maior produtora mundial de carne suína tendo retomado o crescimento da produção depois de ter passado por um problema sanitário na produção relacionado à disseminação da peste suína africana (PSA) nas regiões produtoras. A projeção é que a produção chinesa seja de 56,5 milhões de toneladas em 2023</w:t>
      </w:r>
      <w:r>
        <w:rPr>
          <w:rStyle w:val="Refdenotaderodap"/>
        </w:rPr>
        <w:footnoteReference w:id="8"/>
      </w:r>
      <w:r>
        <w:t xml:space="preserve">. Em 2020, em função da PSA, a produção chinesa havia caído para 36,3 milhões de toneladas. A produção de carne suína nas Filipinas ainda sofre com problemas relacionados à PSA. Diante desse quadro, houve forte crescimento das exportações de carne suína </w:t>
      </w:r>
      <w:r>
        <w:rPr>
          <w:i/>
        </w:rPr>
        <w:t>in natura</w:t>
      </w:r>
      <w:r>
        <w:t xml:space="preserve"> brasileira para as Filipinas, de 148%, que passaram de US$ 9,03 milhões em outubro de 2022 para US$ 22,40 milhões em outubro de 2023. Há outros três mercados que importaram mais de US$ 10 milhões: Hong Kong (US$ 19,95 milhões; +25,1%); México (US$ 13,76 milhões; não houve aquisições em outubro de 2022); e Chile (US$ 12,39 milhões; -30,1%).</w:t>
      </w:r>
    </w:p>
    <w:p w14:paraId="0C812193" w14:textId="77777777" w:rsidR="00EE5518" w:rsidRDefault="00EE5518" w:rsidP="00EE5518">
      <w:pPr>
        <w:jc w:val="both"/>
      </w:pPr>
      <w:r>
        <w:t>O açúcar foi um dos poucos produtos do agronegócio brasileiro que apresentou elevação de preço médio exportado na comparação entre outubro de 2022 e 2023. O preço médio do açúcar embarcado subiu 26,9%. Esse preço maior ocorreu em função de estimativas não favoráveis para a safra asiática de açúcar, principalmente em função do déficit hídrico na Índia. Este cenário de elevação de preço do açúcar possibilitou o aumento das exportações do complexo sucroalcooleiro, que registrou US$ 1,64 bilhão de exportações ou +5,7%. As exportações de açúcar foram de US$ 1,50 bilhão (+15,4%). É interessante notar que a expansão ocorreu devido ao incremento do preço médio de exportação (+26,9%), pois a quantidade exportada recuou 9,0%, ficando em 2,88 milhões de toneladas. Nesse contexto internacional, a Índia já aparece como maior importadora do açúcar brasileiro nesse mês de outubro de 2023, com US$ 197,73 milhões. No mesmo mês de outubro de 2022, a Índia não havia adquirido nem um quilograma de açúcar brasileiro. Outros quatro mercados compraram mais de US$ 80 milhões de açúcar de cana em bruto brasileiro: Argélia (US$ 124,56 milhões; +22,4%); Indonésia (US$ 104,19 milhões; +3,8%); China (US$ 96,97 milhões; -51,3%); Canadá (US$ 91,77 milhões; +236,8%); e Malásia (US$ 80,72 milhões; +0,2%). Ainda no setor do complexo sucroalcooleiro, as vendas externas de álcool foram de US$ 141,10 milhões (-44,3%).</w:t>
      </w:r>
    </w:p>
    <w:p w14:paraId="50F1A944" w14:textId="77777777" w:rsidR="00EE5518" w:rsidRDefault="00EE5518" w:rsidP="00EE5518">
      <w:pPr>
        <w:jc w:val="both"/>
      </w:pPr>
      <w:r>
        <w:t>Por fim, as vendas externas de produtos florestais caíram para US$ 1,00 bilhão em outubro de 2023 (-30,5%). Todos os produtos do setor apresentaram redução. Em relação à celulose, pode-se considerar a diminuição da atividade econômica mundial como um dos principais fatores que explicam a queda das exportações brasileiras do produto. As exportações caíram para China (US$ 277,03 milhões; -23,2%), a União Europeia (US$ 83,11 milhões; -70,5%) e os Estados Unidos (US$ 63,17 milhões; -17,3%). A exportações de Madeiras e suas obras foram de US$ 263,53 (-28,2%), enquanto as exportações de papel chegaram a US$ 199,96 milhões (-4,8%).</w:t>
      </w:r>
    </w:p>
    <w:p w14:paraId="61F77DA0" w14:textId="77777777" w:rsidR="00EE5518" w:rsidRDefault="00EE5518" w:rsidP="00EE5518">
      <w:pPr>
        <w:jc w:val="both"/>
      </w:pPr>
      <w:r>
        <w:t xml:space="preserve">Os cinco maiores setores exportadores do agronegócio foram analisados acima. Em conjunto, esses cinco setores responderam por 78,1% do valor exportado pelo Brasil em outubro de 2023, com uma concentração menor em relação ao mesmo mês do ano anterior. É interessante observar, também, se houve essa desconcentração na análise dos dez principais produtos exportação, que foram: soja em grãos (US$ 2,89 bilhões; participação de 21,6% no valor total exportado); milho (US$ 1,89 bilhão; participação de 14,1%); açúcar de cana em bruto (US$ 1,22 bilhão; participação de 9,1%); farelo de soja (US$ 920,77 milhões; participação de 6,9%); carne bovina </w:t>
      </w:r>
      <w:r>
        <w:rPr>
          <w:i/>
        </w:rPr>
        <w:t>in natura</w:t>
      </w:r>
      <w:r>
        <w:t xml:space="preserve"> (US$ 855,88 milhões; participação de 6,4%); café verde (US$ 803,63 milhões; participação de 6,0%); carne de frango </w:t>
      </w:r>
      <w:r>
        <w:rPr>
          <w:i/>
        </w:rPr>
        <w:t>in natura</w:t>
      </w:r>
      <w:r>
        <w:t xml:space="preserve"> (US$ 682,89  milhões; participação de 5,1%); celulose (US$ 539,29 milhões; participação de 4,0%); algodão não cardado nem penteado (US$ 435,61 milhões; participação de 3,3%); e açúcar refinado (US$ 281,91 milhões; participação de 2,1%). Estes dez produtos arrolados responderam por 78,7% do valor total exportado pelo Brasil em produtos do agronegócio em outubro de 2023. No mesmo mês de outubro de 2022, os mesmos produtos foram responsáveis por 76,9% do valor total exportado. Com efeito, na análise dos dez principais produtos exportados observa-se concentração das exportações brasileiras do agronegócio.</w:t>
      </w:r>
    </w:p>
    <w:p w14:paraId="6E9B60DA" w14:textId="77777777" w:rsidR="00EE5518" w:rsidRDefault="00EE5518" w:rsidP="00EE5518">
      <w:pPr>
        <w:jc w:val="both"/>
      </w:pPr>
      <w:r>
        <w:t>Em outubro de 2023, as importações brasileiras de produtos agropecuárias foram de US$ 1,37 bilhão. O valor foi 4,1% inferior na comparação com os US$ 1,43 bilhão importados em outubro de 2022. Os principais produtos importados foram: malte (US$ 89,62 milhões; +248,5%); trigo (US$ 81,16 milhões; +34,5%); papel (US$ 74,45 milhões; -10,8%); salmões, frescos ou refrigerados (US$ 65,77 milhões; +15,6%); azeite de oliva (US$ 58,52 milhões; +45,6%); leite em pó (US$ 57,58 milhões; -11,6%); arroz (US$ 53,67 milhões; +92,7%); vinho (US$ 49,58 milhões; +26,1%); vestuário e outros produtos têxteis de algodão (US$ 45,97 milhões; -7,5%); milho (US$ 38,20 milhões; -49,5%).</w:t>
      </w:r>
    </w:p>
    <w:p w14:paraId="6FC3713F" w14:textId="77777777" w:rsidR="00080C6A" w:rsidRPr="00A00D39" w:rsidRDefault="009F2D9C" w:rsidP="00826BB9">
      <w:pPr>
        <w:jc w:val="both"/>
      </w:pPr>
      <w:r w:rsidRPr="009F2D9C">
        <w:rPr>
          <w:noProof/>
          <w:lang w:eastAsia="pt-BR"/>
        </w:rPr>
        <w:drawing>
          <wp:inline distT="0" distB="0" distL="0" distR="0" wp14:anchorId="4DB91798" wp14:editId="4CE75343">
            <wp:extent cx="6188710" cy="3927475"/>
            <wp:effectExtent l="0" t="0" r="2540" b="0"/>
            <wp:docPr id="6483735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37352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D5503" w14:textId="77777777" w:rsidR="00065736" w:rsidRDefault="00065736" w:rsidP="00826BB9">
      <w:pPr>
        <w:jc w:val="both"/>
        <w:rPr>
          <w:b/>
          <w:bCs/>
        </w:rPr>
      </w:pPr>
    </w:p>
    <w:p w14:paraId="40A34FE9" w14:textId="7A21DECD" w:rsidR="00826BB9" w:rsidRPr="00A46C74" w:rsidRDefault="00826BB9" w:rsidP="00826BB9">
      <w:pPr>
        <w:jc w:val="both"/>
      </w:pPr>
      <w:proofErr w:type="spellStart"/>
      <w:r w:rsidRPr="00C21CE0">
        <w:rPr>
          <w:b/>
          <w:bCs/>
        </w:rPr>
        <w:t>I.b</w:t>
      </w:r>
      <w:proofErr w:type="spellEnd"/>
      <w:r w:rsidRPr="00C21CE0">
        <w:rPr>
          <w:b/>
          <w:bCs/>
        </w:rPr>
        <w:t xml:space="preserve"> – Blocos Econômicos e Regiões Geográficas</w:t>
      </w:r>
    </w:p>
    <w:p w14:paraId="016F1104" w14:textId="77777777" w:rsidR="00EE5518" w:rsidRDefault="00EE5518" w:rsidP="00EE5518">
      <w:pPr>
        <w:jc w:val="both"/>
      </w:pPr>
      <w:r>
        <w:t xml:space="preserve">A Ásia é a principal região geográfica importadora de produtos do agronegócio brasileiro. Em outubro de 2022, a Ásia importou US$ 6,56 bilhões do setor, subindo as compras para US$ 7,05 bilhões em outubro de 2023 (+7,5). Com o crescimento, a participação da região subiu de 47,9% para 52,7% no período em análise. O aumento de </w:t>
      </w:r>
      <w:proofErr w:type="spellStart"/>
      <w:r>
        <w:rPr>
          <w:i/>
        </w:rPr>
        <w:t>market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share</w:t>
      </w:r>
      <w:proofErr w:type="spellEnd"/>
      <w:r>
        <w:rPr>
          <w:i/>
        </w:rPr>
        <w:t xml:space="preserve"> </w:t>
      </w:r>
      <w:r>
        <w:t xml:space="preserve">foi de 4,8 pontos percentuais. A Ásia é a maior importadora de vários dos principais produtos do agronegócio exportados pelo Brasil: soja em grãos (US$ 2,67 bilhões; a participação da Ásia foi de 92,3%); milho (US$ 1,26 bilhão; a participação da Ásia foi de 66,6%); carne bovina </w:t>
      </w:r>
      <w:r>
        <w:rPr>
          <w:i/>
        </w:rPr>
        <w:t xml:space="preserve">in natura </w:t>
      </w:r>
      <w:r>
        <w:t>(US$ 585,82 milhões; a participação da Ásia foi de 68,4%); farelo de soja (US$ 437,80 milhões; a participação da Ásia foi de 47,5%); celulose (US$ 311,83 milhões; participação da Ásia foi de 57,8%).</w:t>
      </w:r>
    </w:p>
    <w:p w14:paraId="1CEC6613" w14:textId="3414B368" w:rsidR="00EE5518" w:rsidRDefault="00EE5518" w:rsidP="00EE5518">
      <w:pPr>
        <w:jc w:val="both"/>
      </w:pPr>
      <w:r>
        <w:t>Além do crescimento apresentado para a Ásia, poucas regiões geográficas ou blocos registraram crescimento na comparação entre outubro de 2023 com o mesmo mês do ano anterior. Dentre eles, pode-se destacar: Mercosul (US$ 396,47 milhões; +11,2% e crescimento de participação para 3,0%); demais da Europa Ocidental (exclui União Europeia) (US$ 185,88 milhões; +17,0% e crescimento de participação para 1,4%); Oceania (US$ 29,69 milhões; e crescimento de participação para 0,22%).</w:t>
      </w:r>
    </w:p>
    <w:p w14:paraId="19336D38" w14:textId="77777777" w:rsidR="00EE5518" w:rsidRDefault="00EE5518" w:rsidP="00EE5518">
      <w:pPr>
        <w:jc w:val="both"/>
      </w:pPr>
    </w:p>
    <w:p w14:paraId="6B9FBA63" w14:textId="143A26B4" w:rsidR="0032120C" w:rsidRPr="00D323AA" w:rsidRDefault="009F2D9C" w:rsidP="00826BB9">
      <w:pPr>
        <w:jc w:val="both"/>
      </w:pPr>
      <w:r w:rsidRPr="009F2D9C">
        <w:rPr>
          <w:noProof/>
          <w:lang w:eastAsia="pt-BR"/>
        </w:rPr>
        <w:drawing>
          <wp:inline distT="0" distB="0" distL="0" distR="0" wp14:anchorId="15EB7AA5" wp14:editId="2FBD047B">
            <wp:extent cx="6188710" cy="2414905"/>
            <wp:effectExtent l="0" t="0" r="2540" b="4445"/>
            <wp:docPr id="18679591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95919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B7064" w14:textId="77777777" w:rsidR="00ED1236" w:rsidRDefault="00ED1236" w:rsidP="0066725D">
      <w:pPr>
        <w:jc w:val="both"/>
        <w:rPr>
          <w:b/>
          <w:bCs/>
        </w:rPr>
      </w:pPr>
    </w:p>
    <w:p w14:paraId="3683B577" w14:textId="5F6068A5" w:rsidR="0066725D" w:rsidRDefault="0066725D" w:rsidP="0066725D">
      <w:pPr>
        <w:jc w:val="both"/>
      </w:pPr>
      <w:proofErr w:type="spellStart"/>
      <w:r w:rsidRPr="009A094C">
        <w:rPr>
          <w:b/>
          <w:bCs/>
        </w:rPr>
        <w:t>I.</w:t>
      </w:r>
      <w:r>
        <w:rPr>
          <w:b/>
          <w:bCs/>
        </w:rPr>
        <w:t>c</w:t>
      </w:r>
      <w:proofErr w:type="spellEnd"/>
      <w:r w:rsidRPr="009A094C">
        <w:rPr>
          <w:b/>
          <w:bCs/>
        </w:rPr>
        <w:t xml:space="preserve"> – </w:t>
      </w:r>
      <w:r>
        <w:rPr>
          <w:b/>
          <w:bCs/>
        </w:rPr>
        <w:t>Países</w:t>
      </w:r>
    </w:p>
    <w:p w14:paraId="08B81E1F" w14:textId="77777777" w:rsidR="00EE5518" w:rsidRDefault="00EE5518" w:rsidP="00EE5518">
      <w:pPr>
        <w:jc w:val="both"/>
      </w:pPr>
      <w:r w:rsidRPr="005D58C4">
        <w:t>A Tabela 3, abaixo</w:t>
      </w:r>
      <w:r>
        <w:t>, apresenta os vinte principais países importadores dos produtos do agronegócio brasileiro. Estes vinte países importaram US$ 10,12 bilhões dos US$ 13,37 bilhões exportados pelo Brasil em produtos do agronegócio. Com valor tão expressivo, os vinte países responderam por 75,7% do valor total exportado. Dentre esses vinte países, três merecem destaque por terem aumentado a participação acima de um ponto percentual nas exportações do agronegócio: China (crescimento de 8,0 pontos percentuais, que colocou o país com 36,4% de participação nas exportações brasileiras do agronegócio); Índia (crescimento de 1,2 ponto percentual, que colocou o país com 1,9% de participação); e Indonésia (crescimento de 1,1 ponto percentual, que colocou o país com 2,7% de participação).</w:t>
      </w:r>
    </w:p>
    <w:p w14:paraId="1A682E1B" w14:textId="77777777" w:rsidR="00EE5518" w:rsidRDefault="00EE5518" w:rsidP="00EE5518">
      <w:pPr>
        <w:jc w:val="both"/>
      </w:pPr>
      <w:r>
        <w:t xml:space="preserve">A China é o maior país importador de produtos do agronegócio brasileiro. Em outubro de 2023, o país asiático adquiriu US$ 4,86 bilhões (+25,0%). Cinco produtos foram responsáveis por 91,4% do valor total exportado para a China nesse mês de outubro: soja em grãos (US$ 2,54 bilhões; +36,4%); milho (US$ 765,78 milhões; não havia exportação em outubro de 2022); carne bovina </w:t>
      </w:r>
      <w:r>
        <w:rPr>
          <w:i/>
        </w:rPr>
        <w:t>in natura</w:t>
      </w:r>
      <w:r>
        <w:t xml:space="preserve"> (US$ 547,73 milhões; -30,5%); algodão não cardado nem penteado (US$ 315,30 milhões; +28,3%); e celulose (US$ 277,03 milhões; -23,2%).</w:t>
      </w:r>
    </w:p>
    <w:p w14:paraId="29BD870B" w14:textId="77777777" w:rsidR="00EE5518" w:rsidRDefault="00EE5518" w:rsidP="00EE5518">
      <w:pPr>
        <w:jc w:val="both"/>
      </w:pPr>
      <w:r>
        <w:t>As exportações para a Índia chegaram a US$ 252,35 milhões em outubro de 2023. O valor representou um crescimento de 166% na comparação com os US$ 94,87 milhões adquiridos em outubro de 2022. A pauta de exportação mudou bruscamente no período em análise. Em outubro de 2022, a Índia era uma das principais importadoras do óleo de soja brasileiro, com aquisições de US$ 70,42 milhões ou 74,2% de todo o valor adquirido pelo país. Já em outubro de 2023, a pauta exportadora estava concentrada nos produtos do complexo sucroalcooleiro. Nesse último mês, a Índia comprou US$ 197,73 milhões de açúcar de cana em bruto (não havia registro de importações em outubro de 2022) e US$ 18,91 milhões de álcool etílico. Os dois produtos do complexo sucroalcooleiro foram responsáveis por 85,9% do valor exportado para a Índia em outubro de 2023. É importante ressaltar que há preocupações com o abastecimento de açúcar na Índia em função do déficit nas chuvas de monções.</w:t>
      </w:r>
      <w:r>
        <w:rPr>
          <w:rStyle w:val="Refdenotaderodap"/>
        </w:rPr>
        <w:footnoteReference w:id="9"/>
      </w:r>
    </w:p>
    <w:p w14:paraId="66F2848A" w14:textId="77777777" w:rsidR="00EE5518" w:rsidRPr="00C44C3E" w:rsidRDefault="00EE5518" w:rsidP="00EE5518">
      <w:pPr>
        <w:jc w:val="both"/>
      </w:pPr>
      <w:r>
        <w:t>A Indonésia aumentou em 65,7% o valor importado de produtos do agronegócio brasileiro, chegando a cifra de US$ 359,34 milhões em aquisições no mês de outubro de 2023. Dois produtos são proeminentes na pauta exportadora: farelo de soja e açúcar de cana em bruto. As exportações de farelo de soja cresceram 235,0%, passando de US$ 61,36 milhões em outubro de 2022 para US$ 205,57 milhões em outubro de 2023. Com essa cifra, o farelo de soja respondeu por 57,2% do valor exportado à Indonésia em produtos do agronegócio. Além do farelo de soja, cabe destacar os embarques de açúcar de cana em bruto para o país. Foram US$ 104,19 milhões em exportações à Indonésia em outubro de 2023 (+3,8%). Este montante representou 29,0% do valor exportado.</w:t>
      </w:r>
    </w:p>
    <w:p w14:paraId="20EF4954" w14:textId="7D9BFE23" w:rsidR="00080C6A" w:rsidRDefault="009F2D9C" w:rsidP="00C51F2D">
      <w:pPr>
        <w:jc w:val="both"/>
      </w:pPr>
      <w:r w:rsidRPr="009F2D9C">
        <w:rPr>
          <w:noProof/>
          <w:lang w:eastAsia="pt-BR"/>
        </w:rPr>
        <w:drawing>
          <wp:inline distT="0" distB="0" distL="0" distR="0" wp14:anchorId="64717E2C" wp14:editId="62E4B9AA">
            <wp:extent cx="6188710" cy="4018280"/>
            <wp:effectExtent l="0" t="0" r="2540" b="1270"/>
            <wp:docPr id="16392624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26248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D5D05" w14:textId="77777777" w:rsidR="005A3F2F" w:rsidRPr="00A00D39" w:rsidRDefault="005A3F2F" w:rsidP="00C51F2D">
      <w:pPr>
        <w:jc w:val="both"/>
      </w:pPr>
    </w:p>
    <w:p w14:paraId="1D9321BC" w14:textId="4747F867" w:rsidR="00C51F2D" w:rsidRPr="00C21CE0" w:rsidRDefault="00C51F2D" w:rsidP="00C51F2D">
      <w:pPr>
        <w:jc w:val="both"/>
        <w:rPr>
          <w:b/>
          <w:bCs/>
        </w:rPr>
      </w:pPr>
      <w:r w:rsidRPr="00C21CE0">
        <w:rPr>
          <w:b/>
          <w:bCs/>
        </w:rPr>
        <w:t xml:space="preserve">II – </w:t>
      </w:r>
      <w:r w:rsidRPr="003D61A7">
        <w:rPr>
          <w:b/>
          <w:bCs/>
        </w:rPr>
        <w:t>Resultados d</w:t>
      </w:r>
      <w:r>
        <w:rPr>
          <w:b/>
          <w:bCs/>
        </w:rPr>
        <w:t>o Acumulado do Ano (</w:t>
      </w:r>
      <w:r w:rsidRPr="00C51F2D">
        <w:rPr>
          <w:b/>
          <w:bCs/>
        </w:rPr>
        <w:t>comparativo Janeiro-</w:t>
      </w:r>
      <w:r w:rsidR="006D51BC">
        <w:rPr>
          <w:b/>
          <w:bCs/>
        </w:rPr>
        <w:t>Outubro</w:t>
      </w:r>
      <w:r>
        <w:rPr>
          <w:b/>
          <w:bCs/>
        </w:rPr>
        <w:t>/</w:t>
      </w:r>
      <w:r w:rsidR="00AA396D">
        <w:rPr>
          <w:b/>
          <w:bCs/>
        </w:rPr>
        <w:t>2023</w:t>
      </w:r>
      <w:r>
        <w:rPr>
          <w:b/>
          <w:bCs/>
        </w:rPr>
        <w:t xml:space="preserve"> </w:t>
      </w:r>
      <w:r w:rsidRPr="00C21CE0">
        <w:rPr>
          <w:b/>
          <w:bCs/>
        </w:rPr>
        <w:t>–</w:t>
      </w:r>
      <w:r w:rsidR="00A755C7">
        <w:rPr>
          <w:b/>
          <w:bCs/>
        </w:rPr>
        <w:t xml:space="preserve"> </w:t>
      </w:r>
      <w:proofErr w:type="gramStart"/>
      <w:r w:rsidRPr="00C51F2D">
        <w:rPr>
          <w:b/>
          <w:bCs/>
        </w:rPr>
        <w:t>Janeiro</w:t>
      </w:r>
      <w:proofErr w:type="gramEnd"/>
      <w:r w:rsidRPr="00C51F2D">
        <w:rPr>
          <w:b/>
          <w:bCs/>
        </w:rPr>
        <w:t>-</w:t>
      </w:r>
      <w:r w:rsidR="006D51BC">
        <w:rPr>
          <w:b/>
          <w:bCs/>
        </w:rPr>
        <w:t>Outubro</w:t>
      </w:r>
      <w:r>
        <w:rPr>
          <w:b/>
          <w:bCs/>
        </w:rPr>
        <w:t>/</w:t>
      </w:r>
      <w:r w:rsidR="00AA396D">
        <w:rPr>
          <w:b/>
          <w:bCs/>
        </w:rPr>
        <w:t>2022</w:t>
      </w:r>
      <w:r w:rsidRPr="003D61A7">
        <w:rPr>
          <w:b/>
          <w:bCs/>
        </w:rPr>
        <w:t>)</w:t>
      </w:r>
    </w:p>
    <w:p w14:paraId="3FF42D8F" w14:textId="384FD302" w:rsidR="00065736" w:rsidRDefault="00065736" w:rsidP="005673BE">
      <w:pPr>
        <w:jc w:val="both"/>
      </w:pPr>
      <w:r>
        <w:t xml:space="preserve">Entre janeiro e outubro de 2023 as exportações brasileiras do agronegócio somaram US$ </w:t>
      </w:r>
      <w:r w:rsidR="00DD54E8">
        <w:t>139,58</w:t>
      </w:r>
      <w:r>
        <w:t xml:space="preserve"> bilhões, </w:t>
      </w:r>
      <w:r w:rsidR="006C1BBA">
        <w:t>cifra recorde para os dez primeiros meses do ano, e</w:t>
      </w:r>
      <w:r>
        <w:t xml:space="preserve"> que corresponde a um crescimento de </w:t>
      </w:r>
      <w:r w:rsidR="00DD54E8">
        <w:t>3,0</w:t>
      </w:r>
      <w:r>
        <w:t xml:space="preserve">% na comparação com os US$ </w:t>
      </w:r>
      <w:r w:rsidR="00012542">
        <w:t xml:space="preserve">135,55 bilhões exportados no mesmo período em </w:t>
      </w:r>
      <w:r w:rsidR="00012542" w:rsidRPr="004562B3">
        <w:t xml:space="preserve">2022. O aumento das vendas externas do setor se deu, principalmente em função da quantidade embarcada, cujo índice aumentou em </w:t>
      </w:r>
      <w:r w:rsidR="004562B3" w:rsidRPr="004562B3">
        <w:t>9,7</w:t>
      </w:r>
      <w:r w:rsidR="00012542" w:rsidRPr="004562B3">
        <w:t xml:space="preserve">%, compensando a queda de </w:t>
      </w:r>
      <w:r w:rsidR="004562B3" w:rsidRPr="004562B3">
        <w:t>6,1</w:t>
      </w:r>
      <w:r w:rsidR="00012542" w:rsidRPr="004562B3">
        <w:t>% no índice de preços.</w:t>
      </w:r>
    </w:p>
    <w:p w14:paraId="50A22A00" w14:textId="3CE57A5B" w:rsidR="00012542" w:rsidRDefault="00012542" w:rsidP="005673BE">
      <w:pPr>
        <w:jc w:val="both"/>
      </w:pPr>
      <w:r>
        <w:t xml:space="preserve">O agronegócio foi responsável por </w:t>
      </w:r>
      <w:r w:rsidR="00DD54E8">
        <w:t>49,4</w:t>
      </w:r>
      <w:r>
        <w:t xml:space="preserve">% das exportações totais do Brasil no período, enquanto no ano anterior a participação do setor havia sido de </w:t>
      </w:r>
      <w:r w:rsidR="00DD54E8">
        <w:t>48,4</w:t>
      </w:r>
      <w:r>
        <w:t>%.</w:t>
      </w:r>
      <w:r w:rsidR="002160B4">
        <w:t xml:space="preserve"> Os demais produtos, por sua vez, registraram queda de </w:t>
      </w:r>
      <w:r w:rsidR="00DD54E8">
        <w:t>1,0</w:t>
      </w:r>
      <w:r w:rsidR="002160B4">
        <w:t xml:space="preserve">%, somando US$ </w:t>
      </w:r>
      <w:r w:rsidR="00DD54E8">
        <w:t>143,21</w:t>
      </w:r>
      <w:r w:rsidR="002160B4">
        <w:t xml:space="preserve"> bilhões.</w:t>
      </w:r>
    </w:p>
    <w:p w14:paraId="031203F8" w14:textId="2CFA4948" w:rsidR="002160B4" w:rsidRDefault="002160B4" w:rsidP="005673BE">
      <w:pPr>
        <w:jc w:val="both"/>
      </w:pPr>
      <w:r>
        <w:t xml:space="preserve">As importações do agronegócio foram de US$ </w:t>
      </w:r>
      <w:r w:rsidR="00DD54E8">
        <w:t>13,86</w:t>
      </w:r>
      <w:r>
        <w:t xml:space="preserve"> bilhões, ou seja, </w:t>
      </w:r>
      <w:r w:rsidR="00DD54E8">
        <w:t>3,2%</w:t>
      </w:r>
      <w:r>
        <w:t xml:space="preserve"> abaixo do que havia sido registrado no ano prévio (US$ </w:t>
      </w:r>
      <w:r w:rsidR="00DD54E8">
        <w:t>14,32</w:t>
      </w:r>
      <w:r>
        <w:t xml:space="preserve"> bilhões).</w:t>
      </w:r>
    </w:p>
    <w:p w14:paraId="388EDDFB" w14:textId="77777777" w:rsidR="002160B4" w:rsidRPr="00493CD6" w:rsidRDefault="002160B4" w:rsidP="005673BE">
      <w:pPr>
        <w:jc w:val="both"/>
      </w:pPr>
    </w:p>
    <w:p w14:paraId="17FB2732" w14:textId="5328DCC7" w:rsidR="00C51F2D" w:rsidRPr="00535CFB" w:rsidRDefault="00C51F2D" w:rsidP="00C51F2D">
      <w:pPr>
        <w:jc w:val="both"/>
        <w:rPr>
          <w:b/>
          <w:bCs/>
        </w:rPr>
      </w:pPr>
      <w:proofErr w:type="spellStart"/>
      <w:r w:rsidRPr="00535CFB">
        <w:rPr>
          <w:b/>
          <w:bCs/>
        </w:rPr>
        <w:t>II.a</w:t>
      </w:r>
      <w:proofErr w:type="spellEnd"/>
      <w:r w:rsidRPr="00535CFB">
        <w:rPr>
          <w:b/>
          <w:bCs/>
        </w:rPr>
        <w:t xml:space="preserve"> – Setores do Agronegócio</w:t>
      </w:r>
    </w:p>
    <w:p w14:paraId="6F490A71" w14:textId="739B2443" w:rsidR="006D51BC" w:rsidRDefault="002160B4" w:rsidP="006D51BC">
      <w:pPr>
        <w:jc w:val="both"/>
      </w:pPr>
      <w:r>
        <w:t xml:space="preserve">Os setores que mais contribuíram para o crescimento nas exportações do agronegócio brasileiro foram: complexo soja (+US$ </w:t>
      </w:r>
      <w:r w:rsidR="00DD54E8">
        <w:t>4,37</w:t>
      </w:r>
      <w:r>
        <w:t xml:space="preserve"> bilhões); </w:t>
      </w:r>
      <w:r w:rsidR="00DD54E8">
        <w:t>complexo sucroalcooleiro</w:t>
      </w:r>
      <w:r>
        <w:t xml:space="preserve"> (+US$ </w:t>
      </w:r>
      <w:r w:rsidR="00DD54E8">
        <w:t>3,03</w:t>
      </w:r>
      <w:r>
        <w:t xml:space="preserve"> bilhões)</w:t>
      </w:r>
      <w:r w:rsidR="00DD54E8">
        <w:t xml:space="preserve"> e</w:t>
      </w:r>
      <w:r>
        <w:t xml:space="preserve"> </w:t>
      </w:r>
      <w:r w:rsidR="00DD54E8">
        <w:t>cereais, farinhas e preparações</w:t>
      </w:r>
      <w:r>
        <w:t xml:space="preserve"> (+US$ </w:t>
      </w:r>
      <w:r w:rsidR="00DD54E8">
        <w:t>1,82</w:t>
      </w:r>
      <w:r>
        <w:t xml:space="preserve"> bilh</w:t>
      </w:r>
      <w:r w:rsidR="00DD54E8">
        <w:t>ão</w:t>
      </w:r>
      <w:r>
        <w:t>).</w:t>
      </w:r>
      <w:r w:rsidR="00DD54E8">
        <w:t xml:space="preserve"> Por outro lado, a queda no setor de carnes </w:t>
      </w:r>
      <w:r w:rsidR="00AD72C9">
        <w:t>(-US$ 2,34 bilhões); produtos florestais (-US$ 2,13 bilhões); café (-US$ 1,08 bilhão) e fibras e produtos têxteis (-US$ 1,02 bilhão) foram os que mais impactaram negativamente o resultado das vendas externas do agronegócio no acumulado do ano.</w:t>
      </w:r>
    </w:p>
    <w:p w14:paraId="42D5FA6B" w14:textId="04962973" w:rsidR="002160B4" w:rsidRDefault="002160B4" w:rsidP="006D51BC">
      <w:pPr>
        <w:jc w:val="both"/>
      </w:pPr>
      <w:r>
        <w:t xml:space="preserve">Em relação ao valor exportado destacaram-se os cinco setores seguintes: complexo soja (US$ </w:t>
      </w:r>
      <w:r w:rsidR="00BB4BC1">
        <w:t>60,45</w:t>
      </w:r>
      <w:r>
        <w:t xml:space="preserve"> bilhões, ou </w:t>
      </w:r>
      <w:r w:rsidR="00BB4BC1">
        <w:t>43,3</w:t>
      </w:r>
      <w:r>
        <w:t xml:space="preserve">% do total exportado pelo agronegócio); </w:t>
      </w:r>
      <w:r w:rsidR="00BB4BC1">
        <w:t>carnes</w:t>
      </w:r>
      <w:r>
        <w:t xml:space="preserve"> (US$ </w:t>
      </w:r>
      <w:r w:rsidR="00BB4BC1">
        <w:t>19,52</w:t>
      </w:r>
      <w:r>
        <w:t xml:space="preserve"> bilhões, ou </w:t>
      </w:r>
      <w:r w:rsidR="00BB4BC1">
        <w:t>14,0</w:t>
      </w:r>
      <w:r>
        <w:t xml:space="preserve">% do total); </w:t>
      </w:r>
      <w:r w:rsidR="007F2EE2">
        <w:t xml:space="preserve">complexo sucroalcooleiro (US$ 13,07 bilhões, ou 9,4% do total); </w:t>
      </w:r>
      <w:r w:rsidR="00BB4BC1">
        <w:t>cereais, farinhas e preparações</w:t>
      </w:r>
      <w:r>
        <w:t xml:space="preserve"> (US$ </w:t>
      </w:r>
      <w:r w:rsidR="007F2EE2">
        <w:t>12,28</w:t>
      </w:r>
      <w:r>
        <w:t xml:space="preserve"> bilhões, ou </w:t>
      </w:r>
      <w:r w:rsidR="007F2EE2">
        <w:t>8,8</w:t>
      </w:r>
      <w:r>
        <w:t>% do total)</w:t>
      </w:r>
      <w:r w:rsidR="007F2EE2">
        <w:t xml:space="preserve"> e</w:t>
      </w:r>
      <w:r>
        <w:t xml:space="preserve"> </w:t>
      </w:r>
      <w:r w:rsidR="007F2EE2">
        <w:t>produtos florestais</w:t>
      </w:r>
      <w:r>
        <w:t xml:space="preserve"> (US$ </w:t>
      </w:r>
      <w:r w:rsidR="007F2EE2">
        <w:t>11,88</w:t>
      </w:r>
      <w:r>
        <w:t xml:space="preserve"> bilhões, ou </w:t>
      </w:r>
      <w:r w:rsidR="007F2EE2">
        <w:t>8,5</w:t>
      </w:r>
      <w:r>
        <w:t>% do total).</w:t>
      </w:r>
      <w:r w:rsidR="007F2EE2">
        <w:t xml:space="preserve"> Em conjunto, os cinco setores destacados foram responsáveis por 84,0% da pauta exportadora do agronegócio brasileiro em 2023 (janeiro a outubro). No mesmo período do ano anterior os cinco principais setores haviam representado 83,0%, o que indica um aumento da concentração da pauta exportadora do agro brasileiro.</w:t>
      </w:r>
      <w:r w:rsidR="002F2CC6">
        <w:t xml:space="preserve"> A seguir são analisados mais detalhadamente cada um desses setores.</w:t>
      </w:r>
    </w:p>
    <w:p w14:paraId="5FCA4241" w14:textId="1745DCA1" w:rsidR="00787ED4" w:rsidRDefault="00787ED4" w:rsidP="006D51BC">
      <w:pPr>
        <w:jc w:val="both"/>
      </w:pPr>
      <w:r>
        <w:t>As vendas do complexo soja</w:t>
      </w:r>
      <w:r w:rsidR="00C411DD">
        <w:t>, principal setor exportador do agronegócio brasileiro,</w:t>
      </w:r>
      <w:r>
        <w:t xml:space="preserve"> registraram crescimento de </w:t>
      </w:r>
      <w:r w:rsidR="0042577F">
        <w:t>7,8</w:t>
      </w:r>
      <w:r>
        <w:t xml:space="preserve">% entre janeiro e outubro na comparação com o mesmo período em 2022. A soja em grãos, produto </w:t>
      </w:r>
      <w:r w:rsidR="0019099C">
        <w:t xml:space="preserve">mais representativo </w:t>
      </w:r>
      <w:r>
        <w:t>do setor</w:t>
      </w:r>
      <w:r w:rsidR="0019099C">
        <w:t>,</w:t>
      </w:r>
      <w:r>
        <w:t xml:space="preserve"> foi responsável por </w:t>
      </w:r>
      <w:r w:rsidR="003557CB">
        <w:t>80,2%</w:t>
      </w:r>
      <w:r>
        <w:t xml:space="preserve"> desse montante, com US$ </w:t>
      </w:r>
      <w:r w:rsidR="003557CB">
        <w:t>48,48</w:t>
      </w:r>
      <w:r>
        <w:t xml:space="preserve"> bilhões (</w:t>
      </w:r>
      <w:r w:rsidRPr="006F7ECD">
        <w:t xml:space="preserve">recorde para a série histórica). A quantidade embarcada também foi recorde, somando </w:t>
      </w:r>
      <w:r w:rsidR="006F7ECD">
        <w:t>92,77</w:t>
      </w:r>
      <w:r w:rsidRPr="006F7ECD">
        <w:t xml:space="preserve"> milhões de toneladas.</w:t>
      </w:r>
      <w:r w:rsidR="008B4435">
        <w:t xml:space="preserve"> </w:t>
      </w:r>
      <w:r>
        <w:t>A China</w:t>
      </w:r>
      <w:r w:rsidR="0019099C">
        <w:t xml:space="preserve"> foi o </w:t>
      </w:r>
      <w:r>
        <w:t xml:space="preserve">principal destino do grão brasileiro, </w:t>
      </w:r>
      <w:r w:rsidR="0019099C">
        <w:t xml:space="preserve">tendo </w:t>
      </w:r>
      <w:r>
        <w:t>adquiri</w:t>
      </w:r>
      <w:r w:rsidR="0019099C">
        <w:t>do</w:t>
      </w:r>
      <w:r>
        <w:t xml:space="preserve"> </w:t>
      </w:r>
      <w:r w:rsidR="00E803F3">
        <w:t>71,8</w:t>
      </w:r>
      <w:r>
        <w:t xml:space="preserve">% de todo o valor exportado de soja pelo Brasil até o mês de outubro, </w:t>
      </w:r>
      <w:r w:rsidR="00E803F3">
        <w:t>alcançando US$ 34,79 bilhões (+17,0%) e 66,61 milhões de toneladas (+32,5%)</w:t>
      </w:r>
      <w:r>
        <w:t>.</w:t>
      </w:r>
      <w:r w:rsidR="001A09C4">
        <w:t xml:space="preserve"> </w:t>
      </w:r>
      <w:r w:rsidR="006A4E75">
        <w:t>A União Europeia foi o segundo principal destino do grão, com US$ 2,85 bilhões, porém em relação ao ano prévio houve queda de 30,1% em valor. Ainda assim, o bloco europeu adquiriu 5,9% da soja em grão brasileira em 2023.</w:t>
      </w:r>
      <w:r w:rsidR="00341D8E">
        <w:t xml:space="preserve"> A Argentina se destacou em seguida, somando US$ 1,98 bilhão, ou seja, um crescimento de 992,8% em relação aos US$ 181,47 milhões que o Brasil exportou ao país vizinho em 2022.</w:t>
      </w:r>
      <w:r w:rsidR="00992330">
        <w:t xml:space="preserve"> A </w:t>
      </w:r>
      <w:r w:rsidR="0093607A">
        <w:t>quebra de safra result</w:t>
      </w:r>
      <w:r w:rsidR="001D5274">
        <w:t>ante da seca que o país enfrentou</w:t>
      </w:r>
      <w:r w:rsidR="0093607A">
        <w:t xml:space="preserve"> foi a princip</w:t>
      </w:r>
      <w:r w:rsidR="00985D35">
        <w:t>a</w:t>
      </w:r>
      <w:r w:rsidR="0093607A">
        <w:t>l causa para o aumento da demanda observado.</w:t>
      </w:r>
    </w:p>
    <w:p w14:paraId="68F35673" w14:textId="75677C24" w:rsidR="009F0554" w:rsidRDefault="002766D3" w:rsidP="006D51BC">
      <w:pPr>
        <w:jc w:val="both"/>
      </w:pPr>
      <w:r>
        <w:t>Assim como ocorreu com a soja em grão, as exportações de f</w:t>
      </w:r>
      <w:r w:rsidR="009F0554">
        <w:t xml:space="preserve">arelo de soja </w:t>
      </w:r>
      <w:r w:rsidR="00D319B4">
        <w:t>alcançaram recordes em valor e quantidade: US$ 9,68 bilhões e 18,81 milhões de toneladas.</w:t>
      </w:r>
      <w:r w:rsidR="009F0554">
        <w:t xml:space="preserve"> </w:t>
      </w:r>
      <w:r w:rsidR="00ED207F">
        <w:t xml:space="preserve">Contudo, ao contrário da soja em grãos que registrou aumento </w:t>
      </w:r>
      <w:r w:rsidR="00ED207F" w:rsidRPr="00ED207F">
        <w:t>no</w:t>
      </w:r>
      <w:r w:rsidR="00ED207F">
        <w:rPr>
          <w:i/>
          <w:iCs/>
        </w:rPr>
        <w:t xml:space="preserve"> quantum </w:t>
      </w:r>
      <w:r w:rsidR="00ED207F">
        <w:t>com queda de preço</w:t>
      </w:r>
      <w:r w:rsidR="00ED207F" w:rsidRPr="00ED207F">
        <w:t xml:space="preserve">, </w:t>
      </w:r>
      <w:r w:rsidR="00ED207F">
        <w:t xml:space="preserve">no farelo </w:t>
      </w:r>
      <w:r w:rsidR="00ED207F" w:rsidRPr="00ED207F">
        <w:t>além</w:t>
      </w:r>
      <w:r w:rsidR="00ED207F">
        <w:t xml:space="preserve"> da expansão da quantidade (+6,3%) houve aumento no preço médio, que passou de US$ 507 para 515 por tonelada, em médi</w:t>
      </w:r>
      <w:r w:rsidR="005D4E24">
        <w:t>a</w:t>
      </w:r>
      <w:r w:rsidR="00ED207F">
        <w:t xml:space="preserve"> (+1,4%). </w:t>
      </w:r>
      <w:r w:rsidR="000F6E77">
        <w:t xml:space="preserve">Os principais destinos do produto foram: União Europeia (US$ 4,49 bilhões e +13,9% sobre 2022); Indonésia </w:t>
      </w:r>
      <w:r w:rsidR="00A80483">
        <w:t xml:space="preserve">(US$ 1,52 bilhão e + 17,3%) </w:t>
      </w:r>
      <w:r w:rsidR="000F6E77">
        <w:t>e Tailândia</w:t>
      </w:r>
      <w:r w:rsidR="00A80483">
        <w:t xml:space="preserve"> (US$ 1,42 bilhão e + 20,2%)</w:t>
      </w:r>
      <w:r w:rsidR="000F6E77">
        <w:t>.</w:t>
      </w:r>
    </w:p>
    <w:p w14:paraId="0B8F9696" w14:textId="024E4364" w:rsidR="00510410" w:rsidRDefault="00510410" w:rsidP="006D51BC">
      <w:pPr>
        <w:jc w:val="both"/>
      </w:pPr>
      <w:r>
        <w:t>O óleo de soja, por sua vez, alcançou US$ 2,29 bilhões em exportações, representando queda de 30,5% na comparação com o ano anterior.</w:t>
      </w:r>
      <w:r w:rsidR="006121CB">
        <w:t xml:space="preserve"> Esse resultado reflete tanto a redução na quantidade embarcada (-0,7%), como no preço médio (-30,0%). </w:t>
      </w:r>
      <w:r w:rsidR="00AF1BCC">
        <w:t xml:space="preserve">A redução nas vendas </w:t>
      </w:r>
      <w:r w:rsidR="00F8410F">
        <w:t xml:space="preserve">de óleo de soja em bruto </w:t>
      </w:r>
      <w:r w:rsidR="00AF1BCC">
        <w:t xml:space="preserve">para o mercado indiano foram o principal fator para o resultado observado. Foram exportados US$ 1,17 bilhão do produto para a Índia, o que significa </w:t>
      </w:r>
      <w:r w:rsidR="00F8410F">
        <w:t>uma queda</w:t>
      </w:r>
      <w:r w:rsidR="00AF1BCC">
        <w:t xml:space="preserve"> de 38,2% em relação ao que havia sido exportado em 2022 (US$ 1,90 bilhão).</w:t>
      </w:r>
      <w:r w:rsidR="00F8410F">
        <w:t xml:space="preserve"> O Irã foi outro mercado que impactou negativamente o desempenho do produto brasileiro no mercado internacional uma vez que o país não importou óleo de soja em bruto em 2023 e havia adquirido US$ 202,09 milhões em 2022.</w:t>
      </w:r>
    </w:p>
    <w:p w14:paraId="2802E302" w14:textId="50019197" w:rsidR="003610DE" w:rsidRDefault="00787ED4" w:rsidP="006D51BC">
      <w:pPr>
        <w:jc w:val="both"/>
      </w:pPr>
      <w:r>
        <w:t>Em seguida destacaram-se as carnes</w:t>
      </w:r>
      <w:r w:rsidR="00295D42">
        <w:t>, cujas exportações somaram US$ 19,52 bilhões. Na comparação com 2022 houve queda de 10,7%, em função da redução nas vendas de carne bovina (-24,0%, ou -US$ 2,70 bilhões), que não foram compensadas pelo crescimento nas exportações de carne de frango (+2,0%, ou +US$ 158,19 milhões) e carne suína (+13,2%, ou +US$ 272,55 milhões).</w:t>
      </w:r>
      <w:r w:rsidR="001B2ECE">
        <w:t xml:space="preserve"> As exportações de carne bovina </w:t>
      </w:r>
      <w:r w:rsidR="00434587">
        <w:t xml:space="preserve">foram responsáveis por </w:t>
      </w:r>
      <w:r w:rsidR="001B2ECE">
        <w:t>43,9% do valor total exportado pelo setor de carnes, enquanto a carne de frango e carne suína representaram 41,8% e 12,0%, respectivamente.</w:t>
      </w:r>
      <w:r w:rsidR="001D4951">
        <w:t xml:space="preserve"> As exportações de carne bovina </w:t>
      </w:r>
      <w:r w:rsidR="001D4951">
        <w:rPr>
          <w:i/>
          <w:iCs/>
        </w:rPr>
        <w:t>in natura</w:t>
      </w:r>
      <w:r w:rsidR="001D4951">
        <w:t xml:space="preserve"> foram impactadas negativamente em decorrência da queda nas vendas ao mercado chinês. Apesar da China ainda ser o principal destino da proteína brasileira, com 61,2% do valor exportado (US$ 4,71 bilhões), na comparação com o ano anterior houve queda de 32,4%</w:t>
      </w:r>
      <w:r w:rsidR="005F4C39">
        <w:t>, ou US$ 2,25 bilhões a menos em termos absolutos.</w:t>
      </w:r>
      <w:r w:rsidR="00F80334">
        <w:t xml:space="preserve"> Outros destinos que se destacaram em termos de valor exportado foram: Chile (US$ 396,35 milhões, ou 5,2% do total</w:t>
      </w:r>
      <w:r w:rsidR="006F3D69">
        <w:t xml:space="preserve"> e +24,5% em relação a 2022</w:t>
      </w:r>
      <w:r w:rsidR="00F80334">
        <w:t>), União Europeia (US$ 357,48 milhões, ou 4,7% do total</w:t>
      </w:r>
      <w:r w:rsidR="006F3D69">
        <w:t xml:space="preserve"> e -13,0%</w:t>
      </w:r>
      <w:r w:rsidR="00F80334">
        <w:t>), Estados Unidos (US$ 308,32 milhões, ou 4,0% do total</w:t>
      </w:r>
      <w:r w:rsidR="006F3D69">
        <w:t xml:space="preserve"> e -10,1%</w:t>
      </w:r>
      <w:r w:rsidR="00F80334">
        <w:t>), Emirados Árabes (US$ 240,37 milhões, ou 3,1% do total</w:t>
      </w:r>
      <w:r w:rsidR="006F3D69">
        <w:t xml:space="preserve"> e +5,2%</w:t>
      </w:r>
      <w:r w:rsidR="00F80334">
        <w:t>) e Egito (US$ 201,70 milhões, ou 2,6% do total</w:t>
      </w:r>
      <w:r w:rsidR="006F3D69">
        <w:t xml:space="preserve"> e -37,1%</w:t>
      </w:r>
      <w:r w:rsidR="00F80334">
        <w:t>).</w:t>
      </w:r>
      <w:r w:rsidR="00C87E1F">
        <w:t xml:space="preserve"> Por outro lado, as exportações de carne de frango </w:t>
      </w:r>
      <w:r w:rsidR="00C87E1F">
        <w:rPr>
          <w:i/>
          <w:iCs/>
        </w:rPr>
        <w:t>in natura</w:t>
      </w:r>
      <w:r w:rsidR="00C87E1F">
        <w:t xml:space="preserve"> registraram recordes históricos em valor (US$ 7,83 bilhões) e quantidade (4,09 milhões de toneladas).</w:t>
      </w:r>
      <w:r w:rsidR="001F0F62">
        <w:t xml:space="preserve"> O crescimento nas vendas para a China (+US$ 303,61 milhões) e Iraque (+US$ 148,26 milhões) foram o principal, fator para esse desempenho positivo</w:t>
      </w:r>
      <w:r w:rsidR="00E71F3F">
        <w:t xml:space="preserve"> em valor</w:t>
      </w:r>
      <w:r w:rsidR="001F0F62">
        <w:t xml:space="preserve">. </w:t>
      </w:r>
      <w:r w:rsidR="00E71F3F">
        <w:t xml:space="preserve">A China foi também o principal destino, com US$ 1,41 bilhão, ou 18,0% do total exportado em carne de frango </w:t>
      </w:r>
      <w:r w:rsidR="00E71F3F">
        <w:rPr>
          <w:i/>
          <w:iCs/>
        </w:rPr>
        <w:t>in natura</w:t>
      </w:r>
      <w:r w:rsidR="00E71F3F">
        <w:t>.</w:t>
      </w:r>
      <w:r w:rsidR="003610DE">
        <w:t xml:space="preserve"> A c</w:t>
      </w:r>
      <w:r w:rsidR="009F0554" w:rsidRPr="009F0554">
        <w:t xml:space="preserve">arne </w:t>
      </w:r>
      <w:r w:rsidR="003610DE">
        <w:t>s</w:t>
      </w:r>
      <w:r w:rsidR="009F0554" w:rsidRPr="009F0554">
        <w:t xml:space="preserve">uína </w:t>
      </w:r>
      <w:r w:rsidR="003610DE" w:rsidRPr="003610DE">
        <w:rPr>
          <w:i/>
          <w:iCs/>
        </w:rPr>
        <w:t>in natura</w:t>
      </w:r>
      <w:r w:rsidR="009F0554">
        <w:t xml:space="preserve"> </w:t>
      </w:r>
      <w:r w:rsidR="003610DE">
        <w:t>também observ</w:t>
      </w:r>
      <w:r w:rsidR="007A73AA">
        <w:t>ou recordes históricos: US$ 2,21 bilhões e 900,92</w:t>
      </w:r>
      <w:r w:rsidR="003610DE">
        <w:t xml:space="preserve"> milhões de toneladas.</w:t>
      </w:r>
      <w:r w:rsidR="00744C57">
        <w:t xml:space="preserve"> A China também foi o principal destino, somando US$ 776,93 milhões, ou 35,2% do to</w:t>
      </w:r>
      <w:r w:rsidR="00D458EA">
        <w:t>t</w:t>
      </w:r>
      <w:r w:rsidR="00744C57">
        <w:t>al.</w:t>
      </w:r>
      <w:r w:rsidR="00D458EA">
        <w:t xml:space="preserve"> Entretanto, houve queda nas vendas para o mercado chinês na comparação com o ano anterior (-US$ 28,06 milhões)</w:t>
      </w:r>
      <w:r w:rsidR="009E3A84">
        <w:t>, além do mercado tailandês (-US$ 52,33 milhões)</w:t>
      </w:r>
      <w:r w:rsidR="00D458EA">
        <w:t>, que fo</w:t>
      </w:r>
      <w:r w:rsidR="009E3A84">
        <w:t>ram</w:t>
      </w:r>
      <w:r w:rsidR="00D458EA">
        <w:t xml:space="preserve"> compensada</w:t>
      </w:r>
      <w:r w:rsidR="009E3A84">
        <w:t>s</w:t>
      </w:r>
      <w:r w:rsidR="00D458EA">
        <w:t xml:space="preserve"> pelo crescimento para os principais destinos, como por exemplo: </w:t>
      </w:r>
      <w:r w:rsidR="00EB6086">
        <w:t>Filipinas (+US$ 66,48 milhões); México (+US$ 57,10 milhões); Hong Kong (+US$ 53,40 milhões); Chile (+US$ 53,27 milhões); Japão (+US$ 23,28 milhões) e Singapura (+US$ 23,16 milhões).</w:t>
      </w:r>
    </w:p>
    <w:p w14:paraId="1EDB5BBA" w14:textId="348BAA25" w:rsidR="009F0554" w:rsidRDefault="00787ED4" w:rsidP="006D51BC">
      <w:pPr>
        <w:jc w:val="both"/>
      </w:pPr>
      <w:r>
        <w:t xml:space="preserve">O complexo sucroalcooleiro ocupou a terceira posição no </w:t>
      </w:r>
      <w:r w:rsidR="00D238A3">
        <w:rPr>
          <w:i/>
          <w:iCs/>
        </w:rPr>
        <w:t xml:space="preserve">ranking </w:t>
      </w:r>
      <w:r w:rsidR="00D238A3">
        <w:t>de</w:t>
      </w:r>
      <w:r>
        <w:t xml:space="preserve"> setores exportadores, somando, US$ </w:t>
      </w:r>
      <w:r w:rsidR="00745DD0">
        <w:t>13,07</w:t>
      </w:r>
      <w:r>
        <w:t xml:space="preserve"> bilhões</w:t>
      </w:r>
      <w:r w:rsidR="00745DD0">
        <w:t xml:space="preserve">, isto é, 30,1% acima do que havia sido registrado em 2022. As vendas de açúcar representaram 89,7% das vendas do complexo, somando US$ 11,73 bilhões. </w:t>
      </w:r>
      <w:r w:rsidR="009F0554">
        <w:t>As exportações de açúcar de cana em bruto foram recorde</w:t>
      </w:r>
      <w:r w:rsidR="008C3154">
        <w:t>s em valor</w:t>
      </w:r>
      <w:r w:rsidR="009F0554">
        <w:t>: US$ 9,92 bilhões</w:t>
      </w:r>
      <w:r w:rsidR="00745DD0">
        <w:t>, o que re</w:t>
      </w:r>
      <w:r w:rsidR="00C56EE9">
        <w:t>presentou um crescimento de 31,7</w:t>
      </w:r>
      <w:r w:rsidR="00745DD0">
        <w:t>% em relação a 2022.</w:t>
      </w:r>
      <w:r w:rsidR="005A61B3">
        <w:t xml:space="preserve"> Apesar de ser o principal destino, com US$ 1,21 bilhão, ou 12,2% do total, a China não foi o mercado responsável pelo crescimento das exportações brasileiras, uma vez que registrou queda de 11,7% em relação ao ano anterior. A Índia foi o destino que mais contribuiu para a expansão, com aumento de US$ 683,18 milhões em termos absolutos, tendo sido o segundo principal destino do produto (US$ 845,08 milhões</w:t>
      </w:r>
      <w:r w:rsidR="00F97016">
        <w:t>, ou 8,5% do total</w:t>
      </w:r>
      <w:r w:rsidR="005A61B3">
        <w:t>).</w:t>
      </w:r>
      <w:r w:rsidR="00D14226">
        <w:t xml:space="preserve"> As exportações de álcool etílico somaram US$ 1,32 bilhão (-2,6%) e 1,62 milhão de toneladas</w:t>
      </w:r>
      <w:r w:rsidR="00C54061">
        <w:t xml:space="preserve"> (+8,8%)</w:t>
      </w:r>
      <w:r w:rsidR="00D14226">
        <w:t>.</w:t>
      </w:r>
      <w:r w:rsidR="004C790B">
        <w:t xml:space="preserve"> O principal mercado de destino foi a Coreia do Sul, com US$ 478,47 milhões, seguida pela União Europeia (US$ 306,41 milhões) e Estados Unidos (US$ 201,32 milhões).</w:t>
      </w:r>
    </w:p>
    <w:p w14:paraId="6C75910E" w14:textId="4BEA01FA" w:rsidR="00695D78" w:rsidRDefault="004636E4" w:rsidP="00695D78">
      <w:pPr>
        <w:jc w:val="both"/>
      </w:pPr>
      <w:r>
        <w:t>O</w:t>
      </w:r>
      <w:r w:rsidR="00695D78">
        <w:t xml:space="preserve"> setor de cereais, farinhas e preparações registrou a cifra de US$ </w:t>
      </w:r>
      <w:r>
        <w:t>12,28</w:t>
      </w:r>
      <w:r w:rsidR="00695D78">
        <w:t xml:space="preserve"> bilhões no período. O milho representou </w:t>
      </w:r>
      <w:r>
        <w:t>85,2%</w:t>
      </w:r>
      <w:r w:rsidR="00695D78">
        <w:t xml:space="preserve"> das vendas do setor, alcançando a cifra recorde de US$ 10,47 bilhões. Na comparação com 2022 houve crescimento de </w:t>
      </w:r>
      <w:r w:rsidR="004475A7">
        <w:t>21,4</w:t>
      </w:r>
      <w:r w:rsidR="00695D78">
        <w:t xml:space="preserve">%, em função da ampliação do </w:t>
      </w:r>
      <w:r w:rsidR="00695D78">
        <w:rPr>
          <w:i/>
          <w:iCs/>
        </w:rPr>
        <w:t>quantum</w:t>
      </w:r>
      <w:r w:rsidR="004475A7">
        <w:rPr>
          <w:i/>
          <w:iCs/>
        </w:rPr>
        <w:t xml:space="preserve"> </w:t>
      </w:r>
      <w:r w:rsidR="00695D78">
        <w:t>(+</w:t>
      </w:r>
      <w:r w:rsidR="004475A7">
        <w:t>36,8</w:t>
      </w:r>
      <w:r w:rsidR="00695D78">
        <w:t xml:space="preserve">%), uma vez que o preço caiu </w:t>
      </w:r>
      <w:r w:rsidR="004475A7">
        <w:t>11,2</w:t>
      </w:r>
      <w:r w:rsidR="00695D78">
        <w:t>%. A quantidade exportada de milho também foi recorde, com 42,45 milhões de toneladas.</w:t>
      </w:r>
      <w:r w:rsidR="00D61FA4">
        <w:t xml:space="preserve"> A quantidade exportada do grão brasileiro entre janeiro e outubro de 2023 já supera a quantidade prevista pelo Departamento de Agricultura dos Estados Unidos (USDA) a ser exportada pelos Estados Unidos </w:t>
      </w:r>
      <w:r w:rsidR="00074CE5">
        <w:t>em toda a</w:t>
      </w:r>
      <w:r w:rsidR="00D61FA4">
        <w:t xml:space="preserve"> safra 2022/23, que seria de 42,20 milhões de toneladas</w:t>
      </w:r>
      <w:r w:rsidR="002E23C4">
        <w:rPr>
          <w:rStyle w:val="Refdenotaderodap"/>
        </w:rPr>
        <w:footnoteReference w:id="10"/>
      </w:r>
      <w:r w:rsidR="00D61FA4">
        <w:t>.</w:t>
      </w:r>
      <w:r w:rsidR="00074CE5">
        <w:t xml:space="preserve"> </w:t>
      </w:r>
      <w:r w:rsidR="00CD49D6">
        <w:t>O excedente produtivo possibilitado pela</w:t>
      </w:r>
      <w:r w:rsidR="00074CE5">
        <w:t xml:space="preserve"> safra recorde </w:t>
      </w:r>
      <w:r w:rsidR="00CD49D6">
        <w:t xml:space="preserve">brasileira </w:t>
      </w:r>
      <w:r w:rsidR="00074CE5">
        <w:t xml:space="preserve">de 131,76 milhões de toneladas, bem como a abertura do mercado chinês </w:t>
      </w:r>
      <w:r w:rsidR="00CD49D6">
        <w:t xml:space="preserve">ao Brasil em 2023 </w:t>
      </w:r>
      <w:r w:rsidR="00F32FF8">
        <w:t xml:space="preserve">e a seca que prejudicou a produção dos Estados Unidos </w:t>
      </w:r>
      <w:r w:rsidR="00CD49D6">
        <w:t>torn</w:t>
      </w:r>
      <w:r w:rsidR="00F32FF8">
        <w:t>aram</w:t>
      </w:r>
      <w:r w:rsidR="00CD49D6">
        <w:t xml:space="preserve"> possível esse desempenho do milho, de modo que o Brasil deverá voltar a ser o maior exportador mundial do cereal em 2023. A China foi o destino de </w:t>
      </w:r>
      <w:r w:rsidR="00B736AA">
        <w:t>25,0% do milho brasileiro exportado em 2023, somando US$ 2,62 bilhões (11,39 milhões de toneladas). Outros destinos que se destacaram foram: Japão (</w:t>
      </w:r>
      <w:r w:rsidR="00862D09">
        <w:t xml:space="preserve">US$ </w:t>
      </w:r>
      <w:r w:rsidR="00F32FF8">
        <w:t>1,27 bilhão</w:t>
      </w:r>
      <w:r w:rsidR="00862D09">
        <w:t xml:space="preserve">, ou </w:t>
      </w:r>
      <w:r w:rsidR="00F32FF8">
        <w:t>12,2</w:t>
      </w:r>
      <w:r w:rsidR="00862D09">
        <w:t>% do total e +</w:t>
      </w:r>
      <w:r w:rsidR="00F32FF8">
        <w:t>28,7</w:t>
      </w:r>
      <w:r w:rsidR="00862D09">
        <w:t>% em relação a 2022</w:t>
      </w:r>
      <w:r w:rsidR="00B736AA">
        <w:t>); Vietnã (</w:t>
      </w:r>
      <w:r w:rsidR="00F32FF8">
        <w:t>US$ 741,19 milhões, ou 7,1% do total e +252,1% em relação a 2022</w:t>
      </w:r>
      <w:r w:rsidR="00B736AA">
        <w:t>); União Europeia (</w:t>
      </w:r>
      <w:r w:rsidR="00F32FF8">
        <w:t>US$ 719,11 milhões, ou 6,9% do total e -59,1% em relação a 2022</w:t>
      </w:r>
      <w:r w:rsidR="00B736AA">
        <w:t>); Coreia do Sul (</w:t>
      </w:r>
      <w:r w:rsidR="00F32FF8">
        <w:t>US$ 691,21 milhões, ou 6,6% do total e +72,7% em relação a 2022</w:t>
      </w:r>
      <w:r w:rsidR="00B736AA">
        <w:t>) e Irã (</w:t>
      </w:r>
      <w:r w:rsidR="00F32FF8">
        <w:t>US$ 611,44 milhões, ou 5,8% do total e -60,9% em relação a 2022</w:t>
      </w:r>
      <w:r w:rsidR="00B736AA">
        <w:t xml:space="preserve">). </w:t>
      </w:r>
    </w:p>
    <w:p w14:paraId="754AB13B" w14:textId="75C165E1" w:rsidR="00695D78" w:rsidRDefault="00A56D5B" w:rsidP="00695D78">
      <w:pPr>
        <w:jc w:val="both"/>
      </w:pPr>
      <w:r>
        <w:t>Outro produto do setor de cereais, farinhas e preparações que cabe ser destacado é o a</w:t>
      </w:r>
      <w:r w:rsidR="00695D78" w:rsidRPr="009F0554">
        <w:t>rroz</w:t>
      </w:r>
      <w:r>
        <w:t>, cujas exportações registraram recorde em valor: US$ 546,0</w:t>
      </w:r>
      <w:r w:rsidR="00281E1C">
        <w:t xml:space="preserve">2 milhões (+6,4%). </w:t>
      </w:r>
      <w:r>
        <w:t>O aumento nas vendas para a Costa Rica (+US$ 38,98 milhões) foi o principal fator para o crescimento observado.</w:t>
      </w:r>
      <w:r w:rsidR="00281E1C" w:rsidRPr="00281E1C">
        <w:t xml:space="preserve"> </w:t>
      </w:r>
      <w:r w:rsidR="00281E1C">
        <w:t>O maior importador do arroz brasileiro foi o México, que adquiriu US$ 119,66 milhões (+5,5%) ou o equivalente a 21,9% do valor exportado pelo Brasil.</w:t>
      </w:r>
    </w:p>
    <w:p w14:paraId="1D28C239" w14:textId="11BC7088" w:rsidR="00787ED4" w:rsidRDefault="00695D78" w:rsidP="006D51BC">
      <w:pPr>
        <w:jc w:val="both"/>
      </w:pPr>
      <w:r>
        <w:t>Por fim a</w:t>
      </w:r>
      <w:r w:rsidR="00787ED4">
        <w:t>s exportações do</w:t>
      </w:r>
      <w:r w:rsidR="0055421C">
        <w:t xml:space="preserve">s produtos florestais somaram US$ </w:t>
      </w:r>
      <w:r w:rsidR="00955DCB">
        <w:t>11,88</w:t>
      </w:r>
      <w:r w:rsidR="0055421C">
        <w:t xml:space="preserve"> bilhões (</w:t>
      </w:r>
      <w:r w:rsidR="00955DCB">
        <w:t>-15,2</w:t>
      </w:r>
      <w:r w:rsidR="0055421C">
        <w:t>% sobre 2022).</w:t>
      </w:r>
      <w:r w:rsidR="00955DCB">
        <w:t xml:space="preserve"> </w:t>
      </w:r>
      <w:r w:rsidR="00C008F8">
        <w:t xml:space="preserve">A celulose representou 55,2% das vendas externas do setor, somando US$ 6,56 bilhões. Na comparação com o ano prévio houve queda de 5,5%, </w:t>
      </w:r>
      <w:r w:rsidR="00B34BFE">
        <w:t xml:space="preserve">principalmente </w:t>
      </w:r>
      <w:r w:rsidR="00C008F8">
        <w:t xml:space="preserve">em função da redução das exportações brasileiras para </w:t>
      </w:r>
      <w:r w:rsidR="00B34BFE">
        <w:t xml:space="preserve">a União Europeia (-US$ 570,39 milhões) e Japão (-US$ 163,72 milhões), que não foram </w:t>
      </w:r>
      <w:r w:rsidR="00EE5057">
        <w:t>totalmente compensadas pelo aumento nas vendas para a China (+US$ 433,90 milhões), principal destino do produto, nem pela expansão aos demais mercados de destino.</w:t>
      </w:r>
      <w:r w:rsidR="005E5F59">
        <w:t xml:space="preserve"> Em seguida destacam-se, em valor, as exportações de madeiras e suas obras</w:t>
      </w:r>
      <w:r w:rsidR="003A5A77">
        <w:t xml:space="preserve"> (28,0% das vendas externas do setor)</w:t>
      </w:r>
      <w:r w:rsidR="005E5F59">
        <w:t>, que alcançaram US$ 3,33 bilhões, ou seja, 29,9% inferiores ao que havia sido registrado em 2022.</w:t>
      </w:r>
      <w:r w:rsidR="00A27D19">
        <w:t xml:space="preserve"> Assim como a celulose e a madeira, as vendas externas de papel registraram queda (-14,4%), somando US$ 1,98 bilhão entre janeiro e outubro de 2023.</w:t>
      </w:r>
      <w:r w:rsidR="00E31E55">
        <w:t xml:space="preserve"> O papel foi o único item dos três que obteve ganho de preço (+3,2%), porém assim como os demais registrou queda na quantidade (-17,1%).</w:t>
      </w:r>
    </w:p>
    <w:p w14:paraId="3F443241" w14:textId="559C1801" w:rsidR="008B4435" w:rsidRDefault="008B4435" w:rsidP="006D51BC">
      <w:pPr>
        <w:jc w:val="both"/>
      </w:pPr>
      <w:r>
        <w:t xml:space="preserve">Como foi observado previamente, </w:t>
      </w:r>
      <w:r w:rsidR="000A7342">
        <w:t>o aumento d</w:t>
      </w:r>
      <w:r>
        <w:t xml:space="preserve">a quantidade embarcada foi responsável pelo crescimento nas exportações </w:t>
      </w:r>
      <w:r w:rsidR="000A7342">
        <w:t>do agronegócio</w:t>
      </w:r>
      <w:r w:rsidR="00C02807">
        <w:t xml:space="preserve"> entre janeiro e outubro</w:t>
      </w:r>
      <w:r>
        <w:t>, compensando a queda geral nos preços médios. No caso dos grãos</w:t>
      </w:r>
      <w:r w:rsidR="000A7342">
        <w:t xml:space="preserve"> </w:t>
      </w:r>
      <w:r>
        <w:t>(</w:t>
      </w:r>
      <w:r w:rsidRPr="008B4435">
        <w:t>soja em grãos, milho, farelo de soja</w:t>
      </w:r>
      <w:r w:rsidR="000A7342">
        <w:rPr>
          <w:rStyle w:val="Refdenotaderodap"/>
        </w:rPr>
        <w:footnoteReference w:id="11"/>
      </w:r>
      <w:r w:rsidRPr="008B4435">
        <w:t>, trigo, arroz, algodão não cardado nem penteado, feijão, aveia</w:t>
      </w:r>
      <w:r w:rsidR="000A7342">
        <w:t xml:space="preserve"> e</w:t>
      </w:r>
      <w:r w:rsidRPr="008B4435">
        <w:t xml:space="preserve"> centeio</w:t>
      </w:r>
      <w:r w:rsidR="000A7342">
        <w:t xml:space="preserve">), por exemplo, a quantidade exportada foi de 164,08 milhões de toneladas entre janeiro e outubro de 2023, enquanto no mesmo período em 2022 a quantidade havia sido 22,9% inferior, isto é, 133,52 milhões de toneladas. </w:t>
      </w:r>
      <w:r w:rsidR="00E53E07">
        <w:t>As exportações de grãos</w:t>
      </w:r>
      <w:r w:rsidR="00E53E07" w:rsidRPr="00E53E07">
        <w:t xml:space="preserve"> </w:t>
      </w:r>
      <w:r w:rsidR="00E53E07">
        <w:t xml:space="preserve">representaram mais da metade da safra produzida no período 2022/2023, que correspondeu a </w:t>
      </w:r>
      <w:r w:rsidR="007840AD">
        <w:t>321,41</w:t>
      </w:r>
      <w:r w:rsidR="00E53E07">
        <w:t xml:space="preserve"> milhões de toneladas</w:t>
      </w:r>
      <w:r w:rsidR="007840AD">
        <w:rPr>
          <w:rStyle w:val="Refdenotaderodap"/>
        </w:rPr>
        <w:footnoteReference w:id="12"/>
      </w:r>
      <w:r w:rsidR="00E53E07">
        <w:t>.</w:t>
      </w:r>
    </w:p>
    <w:p w14:paraId="5169CD53" w14:textId="53DE3AA8" w:rsidR="009F0554" w:rsidRPr="0055421C" w:rsidRDefault="0087247F" w:rsidP="006D51BC">
      <w:pPr>
        <w:jc w:val="both"/>
      </w:pPr>
      <w:r>
        <w:t>As vendas externas de s</w:t>
      </w:r>
      <w:r w:rsidR="009F0554" w:rsidRPr="009F0554">
        <w:t xml:space="preserve">uco </w:t>
      </w:r>
      <w:r>
        <w:t>de</w:t>
      </w:r>
      <w:r w:rsidR="009F0554" w:rsidRPr="009F0554">
        <w:t xml:space="preserve"> </w:t>
      </w:r>
      <w:r>
        <w:t>l</w:t>
      </w:r>
      <w:r w:rsidR="009F0554" w:rsidRPr="009F0554">
        <w:t>aranja</w:t>
      </w:r>
      <w:r>
        <w:t>, apesar de não figurar</w:t>
      </w:r>
      <w:r w:rsidR="002C5DE5">
        <w:t>em</w:t>
      </w:r>
      <w:r>
        <w:t xml:space="preserve"> entre os cinco setores destacados acima, merece</w:t>
      </w:r>
      <w:r w:rsidR="002C5DE5">
        <w:t>m</w:t>
      </w:r>
      <w:r>
        <w:t xml:space="preserve"> menção, em função do recorde observado na quantidade embarcada: 2,21 milhões de toneladas.</w:t>
      </w:r>
      <w:r w:rsidR="00C8062F">
        <w:t xml:space="preserve"> União Europeia e Estados Unidos foram os principais destinos do produto, representando, conjuntamente, 93,6% da quantidade exportada pelo Brasil.</w:t>
      </w:r>
    </w:p>
    <w:p w14:paraId="43CCEED9" w14:textId="16372136" w:rsidR="0055421C" w:rsidRDefault="0055421C" w:rsidP="006D51BC">
      <w:pPr>
        <w:jc w:val="both"/>
      </w:pPr>
      <w:r>
        <w:t xml:space="preserve">As importações </w:t>
      </w:r>
      <w:r w:rsidR="002C5DE5">
        <w:t xml:space="preserve">de produtos do agronegócio </w:t>
      </w:r>
      <w:r w:rsidR="00712E84">
        <w:t xml:space="preserve">somaram US$ 13,86 bilhões e </w:t>
      </w:r>
      <w:r w:rsidR="002C5DE5">
        <w:t>sofreram redução de 3,2% em 2023 em relação ao ano anterior.</w:t>
      </w:r>
      <w:r w:rsidR="00712E84">
        <w:t xml:space="preserve"> </w:t>
      </w:r>
      <w:r w:rsidR="00E37F71">
        <w:t xml:space="preserve">Os principais produtos importados pelo Brasil foram: </w:t>
      </w:r>
      <w:r w:rsidR="000533C4">
        <w:t xml:space="preserve">trigo (US$ </w:t>
      </w:r>
      <w:r w:rsidR="00CB746D">
        <w:t>1,11</w:t>
      </w:r>
      <w:r w:rsidR="000533C4">
        <w:t xml:space="preserve"> </w:t>
      </w:r>
      <w:r w:rsidR="00CB746D">
        <w:t xml:space="preserve">bilhão </w:t>
      </w:r>
      <w:r w:rsidR="000533C4">
        <w:t xml:space="preserve">e </w:t>
      </w:r>
      <w:r w:rsidR="00CB746D">
        <w:t>-37,0</w:t>
      </w:r>
      <w:r w:rsidR="000533C4">
        <w:t xml:space="preserve">%); papel (US$ </w:t>
      </w:r>
      <w:r w:rsidR="00CB746D">
        <w:t>754,04</w:t>
      </w:r>
      <w:r w:rsidR="000533C4">
        <w:t xml:space="preserve"> milhões e +</w:t>
      </w:r>
      <w:r w:rsidR="00CB746D">
        <w:t>2,1</w:t>
      </w:r>
      <w:r w:rsidR="000533C4">
        <w:t xml:space="preserve">%); malte (US$ </w:t>
      </w:r>
      <w:r w:rsidR="00CB746D">
        <w:t>695,56</w:t>
      </w:r>
      <w:r w:rsidR="000533C4">
        <w:t xml:space="preserve"> milhões e +</w:t>
      </w:r>
      <w:r w:rsidR="00CB746D">
        <w:t>17,9</w:t>
      </w:r>
      <w:r w:rsidR="000533C4">
        <w:t xml:space="preserve">%); salmões frescos ou refrigerados (US$ </w:t>
      </w:r>
      <w:r w:rsidR="00CB746D">
        <w:t>647,56</w:t>
      </w:r>
      <w:r w:rsidR="000533C4">
        <w:t xml:space="preserve"> milhões e +</w:t>
      </w:r>
      <w:r w:rsidR="00CB746D">
        <w:t>4,7</w:t>
      </w:r>
      <w:r w:rsidR="000533C4">
        <w:t xml:space="preserve">%); leite em pó (US$ </w:t>
      </w:r>
      <w:r w:rsidR="00CB746D">
        <w:t>613,06</w:t>
      </w:r>
      <w:r w:rsidR="000533C4">
        <w:t xml:space="preserve"> milhões e +</w:t>
      </w:r>
      <w:r w:rsidR="00CB746D">
        <w:t>86,0</w:t>
      </w:r>
      <w:r w:rsidR="000533C4">
        <w:t xml:space="preserve">%); </w:t>
      </w:r>
      <w:r w:rsidR="000533C4" w:rsidRPr="000533C4">
        <w:t>vestuário e outros produtos têxteis de algodão</w:t>
      </w:r>
      <w:r w:rsidR="000533C4">
        <w:t xml:space="preserve"> (US$ </w:t>
      </w:r>
      <w:r w:rsidR="00CB746D">
        <w:t>527,36</w:t>
      </w:r>
      <w:r w:rsidR="000533C4">
        <w:t xml:space="preserve"> milhões e +</w:t>
      </w:r>
      <w:r w:rsidR="00CB746D">
        <w:t>18,7</w:t>
      </w:r>
      <w:r w:rsidR="000533C4">
        <w:t xml:space="preserve">%); azeite de oliva (US$ </w:t>
      </w:r>
      <w:r w:rsidR="00CB746D">
        <w:t>465,41</w:t>
      </w:r>
      <w:r w:rsidR="000533C4">
        <w:t xml:space="preserve"> milhões e +</w:t>
      </w:r>
      <w:r w:rsidR="00CB746D">
        <w:t>10,0</w:t>
      </w:r>
      <w:r w:rsidR="000533C4">
        <w:t xml:space="preserve">%); arroz (US$ </w:t>
      </w:r>
      <w:r w:rsidR="00CB746D">
        <w:t>445,78</w:t>
      </w:r>
      <w:r w:rsidR="000533C4">
        <w:t xml:space="preserve"> milhões e +</w:t>
      </w:r>
      <w:r w:rsidR="00CB746D">
        <w:t>52,8</w:t>
      </w:r>
      <w:r w:rsidR="00ED292E">
        <w:t xml:space="preserve">%); óleo </w:t>
      </w:r>
      <w:r w:rsidR="000533C4">
        <w:t xml:space="preserve">de palma (US$ </w:t>
      </w:r>
      <w:r w:rsidR="00CB746D">
        <w:t>421,08</w:t>
      </w:r>
      <w:r w:rsidR="000533C4">
        <w:t xml:space="preserve"> milhões e </w:t>
      </w:r>
      <w:r w:rsidR="00CB746D">
        <w:t>-41,5</w:t>
      </w:r>
      <w:r w:rsidR="000533C4">
        <w:t xml:space="preserve">%) e vinho (US$ </w:t>
      </w:r>
      <w:r w:rsidR="00CB746D">
        <w:t>386,33</w:t>
      </w:r>
      <w:r w:rsidR="000533C4">
        <w:t xml:space="preserve"> milhões e +</w:t>
      </w:r>
      <w:r w:rsidR="00CB746D">
        <w:t>0,9</w:t>
      </w:r>
      <w:r w:rsidR="000533C4">
        <w:t>%).</w:t>
      </w:r>
    </w:p>
    <w:p w14:paraId="2AE0C0A7" w14:textId="77777777" w:rsidR="000533C4" w:rsidRPr="00787ED4" w:rsidRDefault="000533C4" w:rsidP="006D51BC">
      <w:pPr>
        <w:jc w:val="both"/>
      </w:pPr>
    </w:p>
    <w:p w14:paraId="05C52EE2" w14:textId="6CA5B352" w:rsidR="00C51F2D" w:rsidRDefault="005F13C6" w:rsidP="00C51F2D">
      <w:pPr>
        <w:jc w:val="both"/>
      </w:pPr>
      <w:r w:rsidRPr="005F13C6">
        <w:rPr>
          <w:noProof/>
          <w:lang w:eastAsia="pt-BR"/>
        </w:rPr>
        <w:drawing>
          <wp:inline distT="0" distB="0" distL="0" distR="0" wp14:anchorId="2BDD4993" wp14:editId="16DD1F53">
            <wp:extent cx="6188710" cy="3927475"/>
            <wp:effectExtent l="0" t="0" r="2540" b="0"/>
            <wp:docPr id="10221641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16410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D235D" w14:textId="77777777" w:rsidR="002074D7" w:rsidRPr="00535CFB" w:rsidRDefault="002074D7" w:rsidP="00C51F2D">
      <w:pPr>
        <w:jc w:val="both"/>
      </w:pPr>
    </w:p>
    <w:p w14:paraId="78A4361E" w14:textId="77777777" w:rsidR="00C51F2D" w:rsidRPr="00535CFB" w:rsidRDefault="00C51F2D" w:rsidP="00C51F2D">
      <w:pPr>
        <w:jc w:val="both"/>
        <w:rPr>
          <w:b/>
          <w:bCs/>
        </w:rPr>
      </w:pPr>
      <w:proofErr w:type="spellStart"/>
      <w:r w:rsidRPr="00535CFB">
        <w:rPr>
          <w:b/>
          <w:bCs/>
        </w:rPr>
        <w:t>II.b</w:t>
      </w:r>
      <w:proofErr w:type="spellEnd"/>
      <w:r w:rsidRPr="00535CFB">
        <w:rPr>
          <w:b/>
          <w:bCs/>
        </w:rPr>
        <w:t xml:space="preserve"> – Blocos Econômicos e Regiões Geográficas</w:t>
      </w:r>
    </w:p>
    <w:p w14:paraId="7ABCDE28" w14:textId="0F9FDE8C" w:rsidR="006D51BC" w:rsidRPr="00BA2ED0" w:rsidRDefault="007172BB" w:rsidP="006D51BC">
      <w:pPr>
        <w:jc w:val="both"/>
      </w:pPr>
      <w:r>
        <w:t>Entre os blocos econômicos e regiões geográficas a Ásia foi o principal destino do agronegócio brasileiro entre janeiro e outubro de 2023.</w:t>
      </w:r>
      <w:r w:rsidR="00DF3DD6">
        <w:t xml:space="preserve"> Foram exportados US$ 74,60 bilhões, o que correspondeu a um crescimento de 8,8% em relação aos US$ 68,58 bilhões exportados no mesmo período em 2022. O </w:t>
      </w:r>
      <w:proofErr w:type="spellStart"/>
      <w:r w:rsidR="00DF3DD6">
        <w:rPr>
          <w:i/>
          <w:iCs/>
        </w:rPr>
        <w:t>market</w:t>
      </w:r>
      <w:proofErr w:type="spellEnd"/>
      <w:r w:rsidR="00DF3DD6">
        <w:rPr>
          <w:i/>
          <w:iCs/>
        </w:rPr>
        <w:t xml:space="preserve"> </w:t>
      </w:r>
      <w:proofErr w:type="spellStart"/>
      <w:r w:rsidR="00DF3DD6">
        <w:rPr>
          <w:i/>
          <w:iCs/>
        </w:rPr>
        <w:t>share</w:t>
      </w:r>
      <w:proofErr w:type="spellEnd"/>
      <w:r w:rsidR="00DF3DD6">
        <w:t xml:space="preserve"> da região </w:t>
      </w:r>
      <w:r w:rsidR="00A07610">
        <w:t>aumentou quase 3%, passando</w:t>
      </w:r>
      <w:r w:rsidR="00DF3DD6">
        <w:t xml:space="preserve"> de 50,6% em 2022 para 53,4% no ano corrente.</w:t>
      </w:r>
      <w:r w:rsidR="00665091">
        <w:t xml:space="preserve"> </w:t>
      </w:r>
      <w:r w:rsidR="00BA2ED0">
        <w:t xml:space="preserve">Os principais produtos exportados </w:t>
      </w:r>
      <w:r w:rsidR="001B76A4">
        <w:t xml:space="preserve">pelo Brasil </w:t>
      </w:r>
      <w:r w:rsidR="00BA2ED0">
        <w:t xml:space="preserve">foram: soja em grãos (US$ 38,24 bilhões, ou 51,3% do total); milho (US$ 6,11 bilhões, ou 8,2% do total); carne bovina </w:t>
      </w:r>
      <w:r w:rsidR="00BA2ED0">
        <w:rPr>
          <w:i/>
          <w:iCs/>
        </w:rPr>
        <w:t>in natura</w:t>
      </w:r>
      <w:r w:rsidR="00BA2ED0">
        <w:t xml:space="preserve"> (US$ 5,15 bilhões, ou </w:t>
      </w:r>
      <w:r w:rsidR="00CA0458">
        <w:t>6,9% do total); farelo de soja (US$ 4,44 bilhões, ou 5,9% do total) e celulose (US$ 3,54 bilhões, ou 4,7% do total).</w:t>
      </w:r>
    </w:p>
    <w:p w14:paraId="2527C8CF" w14:textId="67CEC03C" w:rsidR="00C32424" w:rsidRDefault="00BB75B2" w:rsidP="006D51BC">
      <w:pPr>
        <w:jc w:val="both"/>
      </w:pPr>
      <w:r>
        <w:t>Em seguida destacam-se as exportações para a União Europeia, cujo montante alcançou US$ 18,43 bilhões. Na comparação com o ano prévio houve queda de 14,7%, em função, principalmente, da redução nas vendas de soja em grãos (-US$ 1,23 bilhão); milho (-US$ 1,04 bilhão); café verde (-US$ 945,63 milhões) e celulose (-US$ 570,39 milhões).</w:t>
      </w:r>
      <w:r w:rsidR="0038295D">
        <w:t xml:space="preserve"> A queda nesses itens foi parcialmente compensada pelo </w:t>
      </w:r>
      <w:r w:rsidR="00EF1E61">
        <w:t>aumento</w:t>
      </w:r>
      <w:r w:rsidR="0038295D">
        <w:t xml:space="preserve"> nas </w:t>
      </w:r>
      <w:r w:rsidR="00EF1E61">
        <w:t>vendas</w:t>
      </w:r>
      <w:r w:rsidR="0038295D">
        <w:t xml:space="preserve"> de farelo de soja, principal produto exportado ao bloco europeu, que adquiriu US$ 549,11 milhões acima do que havia sido registrado em 2022.</w:t>
      </w:r>
    </w:p>
    <w:p w14:paraId="5DE94C29" w14:textId="5FCDE789" w:rsidR="00D95DF1" w:rsidRPr="00DF3DD6" w:rsidRDefault="00D95DF1" w:rsidP="006D51BC">
      <w:pPr>
        <w:jc w:val="both"/>
      </w:pPr>
      <w:r>
        <w:t>Além da Ásia, outro bloco que impactou positivamente as exportações do agronegócio foi o Mercosul. Foram exportados US$ 1,69 bilhão acima do que foi registrado em 2022. Em termos relativos o crescimento foi de 43,8% e a participação do bloco passou de 2,8% em 2022 para 4,0% em 2023.</w:t>
      </w:r>
    </w:p>
    <w:p w14:paraId="6A96C10E" w14:textId="742BDAD8" w:rsidR="005673BE" w:rsidRPr="00535CFB" w:rsidRDefault="00B57B00" w:rsidP="00753D0C">
      <w:pPr>
        <w:jc w:val="both"/>
      </w:pPr>
      <w:r w:rsidRPr="00B57B00">
        <w:rPr>
          <w:noProof/>
          <w:lang w:eastAsia="pt-BR"/>
        </w:rPr>
        <w:drawing>
          <wp:inline distT="0" distB="0" distL="0" distR="0" wp14:anchorId="517794DE" wp14:editId="0BB0D4DE">
            <wp:extent cx="6188710" cy="2414905"/>
            <wp:effectExtent l="0" t="0" r="2540" b="4445"/>
            <wp:docPr id="5294160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41602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EBD8F" w14:textId="77777777" w:rsidR="00C84569" w:rsidRDefault="00C84569" w:rsidP="00753D0C">
      <w:pPr>
        <w:jc w:val="both"/>
        <w:rPr>
          <w:b/>
          <w:bCs/>
        </w:rPr>
      </w:pPr>
    </w:p>
    <w:p w14:paraId="544D4C4F" w14:textId="55B5E493" w:rsidR="00ED77D5" w:rsidRPr="00535CFB" w:rsidRDefault="00ED77D5" w:rsidP="00753D0C">
      <w:pPr>
        <w:jc w:val="both"/>
        <w:rPr>
          <w:b/>
          <w:bCs/>
        </w:rPr>
      </w:pPr>
      <w:proofErr w:type="spellStart"/>
      <w:r w:rsidRPr="00535CFB">
        <w:rPr>
          <w:b/>
          <w:bCs/>
        </w:rPr>
        <w:t>II.c</w:t>
      </w:r>
      <w:proofErr w:type="spellEnd"/>
      <w:r w:rsidRPr="00535CFB">
        <w:rPr>
          <w:b/>
          <w:bCs/>
        </w:rPr>
        <w:t xml:space="preserve"> – Países</w:t>
      </w:r>
    </w:p>
    <w:p w14:paraId="391AF39A" w14:textId="399790E1" w:rsidR="006D51BC" w:rsidRDefault="00406F34" w:rsidP="006D51BC">
      <w:pPr>
        <w:jc w:val="both"/>
      </w:pPr>
      <w:r>
        <w:t xml:space="preserve">A China se mantém em destaque entre os países de destino do agro brasileiro, com US$ 51,10 bilhões (+13,3%). A participação do mercado foi de 36,6% em 2023, </w:t>
      </w:r>
      <w:r w:rsidR="00F81DBE">
        <w:t>enquanto</w:t>
      </w:r>
      <w:r>
        <w:t xml:space="preserve"> no ano anterior havia sido de 33,3%.</w:t>
      </w:r>
      <w:r w:rsidR="00F81DBE">
        <w:t xml:space="preserve"> Como pode ser observado na análise dos setores acima, o mercado chinês foi o principal destino de </w:t>
      </w:r>
      <w:r w:rsidR="003061A4">
        <w:t>sete entre os dez principais</w:t>
      </w:r>
      <w:r w:rsidR="00F81DBE">
        <w:t xml:space="preserve"> produtos do agronegócio brasileiro</w:t>
      </w:r>
      <w:r w:rsidR="003061A4">
        <w:t xml:space="preserve">: </w:t>
      </w:r>
      <w:r w:rsidR="00F81DBE">
        <w:t xml:space="preserve">soja em grãos, </w:t>
      </w:r>
      <w:r w:rsidR="00BE3885">
        <w:t xml:space="preserve">milho, açúcar de cana em bruto, carne de frango </w:t>
      </w:r>
      <w:r w:rsidR="00BE3885">
        <w:rPr>
          <w:i/>
          <w:iCs/>
        </w:rPr>
        <w:t>in natura</w:t>
      </w:r>
      <w:r w:rsidR="00BE3885">
        <w:t xml:space="preserve">, </w:t>
      </w:r>
      <w:r w:rsidR="0030729F">
        <w:t xml:space="preserve">carne bovina </w:t>
      </w:r>
      <w:r w:rsidR="0030729F">
        <w:rPr>
          <w:i/>
          <w:iCs/>
        </w:rPr>
        <w:t>in natura</w:t>
      </w:r>
      <w:r w:rsidR="0030729F">
        <w:t xml:space="preserve">, </w:t>
      </w:r>
      <w:r w:rsidR="00BE3885">
        <w:t>celulose</w:t>
      </w:r>
      <w:r w:rsidR="003061A4">
        <w:t xml:space="preserve"> e </w:t>
      </w:r>
      <w:r w:rsidR="00172CA5">
        <w:t xml:space="preserve">carne suína </w:t>
      </w:r>
      <w:r w:rsidR="00172CA5">
        <w:rPr>
          <w:i/>
          <w:iCs/>
        </w:rPr>
        <w:t>in natura</w:t>
      </w:r>
      <w:r w:rsidR="003061A4">
        <w:t>.</w:t>
      </w:r>
      <w:r w:rsidR="00F46B86">
        <w:t xml:space="preserve"> As exportações de soja em grãos e milho foram as que mais contribuíram para a elevação nas vendas brasileiras para </w:t>
      </w:r>
      <w:r w:rsidR="005567BE">
        <w:t>o país</w:t>
      </w:r>
      <w:r w:rsidR="00F46B86">
        <w:t>. Em conjunto</w:t>
      </w:r>
      <w:r w:rsidR="005567BE">
        <w:t>,</w:t>
      </w:r>
      <w:r w:rsidR="00F46B86">
        <w:t xml:space="preserve"> os dois produtos acrescentaram US$ 7,67 bilhões em 2023.</w:t>
      </w:r>
      <w:r w:rsidR="00E90E4A">
        <w:t xml:space="preserve"> Por outro lado, a queda nas exportações de carne bovina </w:t>
      </w:r>
      <w:r w:rsidR="00E90E4A">
        <w:rPr>
          <w:i/>
          <w:iCs/>
        </w:rPr>
        <w:t>in natura</w:t>
      </w:r>
      <w:r w:rsidR="00E90E4A">
        <w:t xml:space="preserve"> foi o que mais impactou negativamente, com redução de US$ 2,25 bilhões.</w:t>
      </w:r>
    </w:p>
    <w:p w14:paraId="363D917D" w14:textId="0FE3FEA0" w:rsidR="004A45E3" w:rsidRPr="00AA6B6C" w:rsidRDefault="004A45E3" w:rsidP="006D51BC">
      <w:pPr>
        <w:jc w:val="both"/>
      </w:pPr>
      <w:r>
        <w:t xml:space="preserve">Os Estados Unidos foram o segundo principal país de destino do agronegócio brasileiro, somando US$ 7,96 bilhões. Porém houve queda de 9,0% em relação a 2022, sobretudo em função da redução nas exportações </w:t>
      </w:r>
      <w:r w:rsidRPr="00F67D55">
        <w:t xml:space="preserve">de </w:t>
      </w:r>
      <w:r w:rsidR="005573E6" w:rsidRPr="00F67D55">
        <w:t xml:space="preserve">madeiras </w:t>
      </w:r>
      <w:r w:rsidR="008D5801" w:rsidRPr="00F67D55">
        <w:t xml:space="preserve">e suas obras </w:t>
      </w:r>
      <w:r w:rsidR="005573E6" w:rsidRPr="00F67D55">
        <w:t xml:space="preserve">(-US$ </w:t>
      </w:r>
      <w:r w:rsidR="00F67D55" w:rsidRPr="00F67D55">
        <w:t>951,98</w:t>
      </w:r>
      <w:r w:rsidR="005573E6" w:rsidRPr="00F67D55">
        <w:t xml:space="preserve"> milhões) e </w:t>
      </w:r>
      <w:r w:rsidRPr="00F67D55">
        <w:t>café verde (-US$ 462,99 milhões)</w:t>
      </w:r>
      <w:r w:rsidR="005573E6" w:rsidRPr="00F67D55">
        <w:t>.</w:t>
      </w:r>
      <w:r w:rsidR="00AA6B6C" w:rsidRPr="00F67D55">
        <w:t xml:space="preserve"> Como resultado, o </w:t>
      </w:r>
      <w:proofErr w:type="spellStart"/>
      <w:r w:rsidR="00AA6B6C" w:rsidRPr="00F67D55">
        <w:rPr>
          <w:i/>
          <w:iCs/>
        </w:rPr>
        <w:t>share</w:t>
      </w:r>
      <w:proofErr w:type="spellEnd"/>
      <w:r w:rsidR="00AA6B6C">
        <w:t xml:space="preserve"> do país caiu de 6,5% em 2022 para 5,7% em 2023.</w:t>
      </w:r>
    </w:p>
    <w:p w14:paraId="7A1FA7E5" w14:textId="1C046A8F" w:rsidR="00BB4068" w:rsidRPr="00493CD6" w:rsidRDefault="005567BE" w:rsidP="006D51BC">
      <w:pPr>
        <w:jc w:val="both"/>
      </w:pPr>
      <w:r>
        <w:t xml:space="preserve">Além da China (+US$ </w:t>
      </w:r>
      <w:r w:rsidR="00580B0D">
        <w:t>6,00 bilhões), os países que mais contribuíram para o crescimento das exportações do agronegócio brasileiro em 2023 foram: Argentina (+US$ 1,65 bilhão); México (+US$ 817,45 milhões) e Iraque (+US$ 656,81 bilhões).</w:t>
      </w:r>
    </w:p>
    <w:p w14:paraId="4954ABE9" w14:textId="6CCBAE55" w:rsidR="004F6523" w:rsidRDefault="00B57B00" w:rsidP="00C51F2D">
      <w:pPr>
        <w:jc w:val="both"/>
      </w:pPr>
      <w:r w:rsidRPr="00B57B00">
        <w:rPr>
          <w:noProof/>
          <w:lang w:eastAsia="pt-BR"/>
        </w:rPr>
        <w:drawing>
          <wp:inline distT="0" distB="0" distL="0" distR="0" wp14:anchorId="5CEBD316" wp14:editId="198D54BF">
            <wp:extent cx="6188710" cy="4018280"/>
            <wp:effectExtent l="0" t="0" r="2540" b="1270"/>
            <wp:docPr id="10311964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19642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7F08B" w14:textId="77777777" w:rsidR="00535CFB" w:rsidRDefault="00535CFB" w:rsidP="00A836F2">
      <w:pPr>
        <w:jc w:val="both"/>
        <w:rPr>
          <w:b/>
          <w:bCs/>
        </w:rPr>
      </w:pPr>
    </w:p>
    <w:p w14:paraId="249A85F2" w14:textId="0A7F1DDD" w:rsidR="00A836F2" w:rsidRPr="00691557" w:rsidRDefault="00A836F2" w:rsidP="00A836F2">
      <w:pPr>
        <w:jc w:val="both"/>
        <w:rPr>
          <w:b/>
          <w:bCs/>
        </w:rPr>
      </w:pPr>
      <w:r w:rsidRPr="00691557">
        <w:rPr>
          <w:b/>
          <w:bCs/>
        </w:rPr>
        <w:t xml:space="preserve">III – Resultados de </w:t>
      </w:r>
      <w:r w:rsidR="006D51BC">
        <w:rPr>
          <w:b/>
          <w:bCs/>
        </w:rPr>
        <w:t>Novembro</w:t>
      </w:r>
      <w:r w:rsidRPr="00691557">
        <w:rPr>
          <w:b/>
          <w:bCs/>
        </w:rPr>
        <w:t xml:space="preserve"> de </w:t>
      </w:r>
      <w:r w:rsidR="00AA396D">
        <w:rPr>
          <w:b/>
          <w:bCs/>
        </w:rPr>
        <w:t>2022</w:t>
      </w:r>
      <w:r w:rsidRPr="00691557">
        <w:rPr>
          <w:b/>
          <w:bCs/>
        </w:rPr>
        <w:t xml:space="preserve"> a </w:t>
      </w:r>
      <w:proofErr w:type="gramStart"/>
      <w:r w:rsidR="006D51BC">
        <w:rPr>
          <w:b/>
          <w:bCs/>
        </w:rPr>
        <w:t>Outubro</w:t>
      </w:r>
      <w:proofErr w:type="gramEnd"/>
      <w:r w:rsidRPr="00691557">
        <w:rPr>
          <w:b/>
          <w:bCs/>
        </w:rPr>
        <w:t xml:space="preserve"> de </w:t>
      </w:r>
      <w:r w:rsidR="00AA396D">
        <w:rPr>
          <w:b/>
          <w:bCs/>
        </w:rPr>
        <w:t>2023</w:t>
      </w:r>
      <w:r w:rsidRPr="00691557">
        <w:rPr>
          <w:b/>
          <w:bCs/>
        </w:rPr>
        <w:t xml:space="preserve"> (Acumulado 12 meses)</w:t>
      </w:r>
    </w:p>
    <w:p w14:paraId="596FA0CE" w14:textId="77777777" w:rsidR="00ED1236" w:rsidRDefault="00ED1236" w:rsidP="007E0DC4">
      <w:pPr>
        <w:jc w:val="both"/>
      </w:pPr>
      <w:r w:rsidRPr="00ED1236">
        <w:t>Nos últimos doze meses, entre novembro de 2022 e outubro de 2023, as exportações do agronegócio brasileiro alcançaram a cifra de US$ 162,90 bilhões, o que significou elevação de 6,0% em comparação aos US$ 153,72 bilhões exportados nos doze meses imediatamente anteriores. Com tais valores, a participação do agronegócio no total das exportações brasileiras no período foi de 48,4%, 1,1 ponto percentual acima da participação verificada no período anterior. Pelo lado das importações, entre novembro de 2022 e outubro de 2023, registrou-se um total de US$ 16,79 bilhões, ante US$ 17,20 bilhões adquiridos entre novembro de 2021 e outubro de 2022, o que representou declínio de 2,4% no período. Como resultado, a balança comercial do agronegócio, no acumulado dos últimos doze meses, foi superavitária em US$ 146,11 bilhões (+7,0%). No entanto, cabe destacar que, no conceito aqui utilizado, não constam os valores de diversos insumos utilizados na agropecuária nacional, tais como máquinas, equipamentos, defensivos, fertilizantes e combustíveis.</w:t>
      </w:r>
    </w:p>
    <w:p w14:paraId="70CAA6FE" w14:textId="2DA8D566" w:rsidR="00F020E5" w:rsidRPr="00691557" w:rsidRDefault="00A836F2" w:rsidP="007E0DC4">
      <w:pPr>
        <w:jc w:val="both"/>
        <w:rPr>
          <w:b/>
          <w:bCs/>
        </w:rPr>
      </w:pPr>
      <w:proofErr w:type="spellStart"/>
      <w:r w:rsidRPr="00691557">
        <w:rPr>
          <w:b/>
          <w:bCs/>
        </w:rPr>
        <w:t>III.a</w:t>
      </w:r>
      <w:proofErr w:type="spellEnd"/>
      <w:r w:rsidRPr="00691557">
        <w:rPr>
          <w:b/>
          <w:bCs/>
        </w:rPr>
        <w:t xml:space="preserve"> – Setores do Agronegócio</w:t>
      </w:r>
    </w:p>
    <w:p w14:paraId="77AD31CC" w14:textId="77777777" w:rsidR="00ED1236" w:rsidRDefault="00ED1236" w:rsidP="00ED1236">
      <w:pPr>
        <w:jc w:val="both"/>
      </w:pPr>
      <w:r>
        <w:t xml:space="preserve">Os cinco principais setores do agronegócio brasileiro em valor exportado entre novembro de 2022 e outubro de 2023 foram: complexo soja, com vendas externas de US$ 65,18 bilhões e participação de 40,0%; as carnes, com US$ 23,33 bilhões e 14,3%; cereais, farinhas e preparações, com US$ 16,20 bilhões e 9,9%; complexo sucroalcooleiro, com exportações totais de US$ 15,80 bilhões e participação de 9,7%; e produtos florestais, com US$ 14,36 bilhões e 8,8%. Em conjunto, os cinco setores foram responsáveis por 82,8% de todas as exportações do agronegócio brasileiro nos últimos doze meses. </w:t>
      </w:r>
    </w:p>
    <w:p w14:paraId="4A5C490F" w14:textId="77777777" w:rsidR="00ED1236" w:rsidRDefault="00ED1236" w:rsidP="00ED1236">
      <w:pPr>
        <w:jc w:val="both"/>
      </w:pPr>
      <w:r>
        <w:t xml:space="preserve">Como já mencionado, o complexo soja foi o principal setor do agronegócio brasileiro, em valor exportado, entre novembro de 2022 e outubro de 2023, com US$ 65,18 bilhões e 121,28 milhões de toneladas comercializadas, o que significou expansão de 7,9% e de 18,1%, respectivamente. O principal produto exportado pelo segmento foi a soja em grãos, com a soma de US$ 51,23 bilhões e elevação de 10,2% em comparação aos US$ 46,49 bilhões negociados nos doze meses imediatamente anteriores. Em quantidade, houve avanço de 22,2%, com 97,24 milhões de toneladas embarcadas. Já o preço médio do produto brasileiro vendido no mercado internacional caiu 9,8% no período, chegando a US$ 527 por tonelada. Os principais destinos da soja em grãos brasileira nos últimos doze meses foram: China, com US$ 36,84 bilhões e 71,9% de participação; União Europeia, com US$ 2,94 bilhões e 5,7%; Argentina, com US$ 1,98 bilhão e 3,9%; e Tailândia, com US$ 1,46 bilhão e 2,8% de participação. As vendas externas de farelo de soja totalizaram US$ 11,03 bilhões, com crescimento de 8,4% em função da alta de 4,3% no preço médio no período e da elevação de 4,0% no </w:t>
      </w:r>
      <w:r w:rsidRPr="00396874">
        <w:rPr>
          <w:i/>
        </w:rPr>
        <w:t>quantum</w:t>
      </w:r>
      <w:r>
        <w:t xml:space="preserve"> comercializado. Os principais mercados compradores no período foram: União Europeia (US$ 5,19 bilhões, +13,8% em comparação aos doze meses anteriores), Indonésia (US$ 1,78 bilhão, +27,3%), Tailândia (US$ 1,56 bilhão, +25,8%) e Vietnã (US$ 697,0 milhões, -20,7%).  Já as exportações de óleo de soja atingiram a cifra de US$ 2,93 bilhões (-21,5%), refletindo a retração da cotação média do produto no período (-25,5%) apesar da expansão da quantidade negociada (+5,4%). O principal comprador do óleo de soja em bruto do Brasil nos últimos doze meses foi a Índia, com participação de 61,6% (US$ 1,63 bilhão) e queda de 23,9% em relação a novembro de 2021 e outubro de 2022.</w:t>
      </w:r>
    </w:p>
    <w:p w14:paraId="516B984B" w14:textId="77777777" w:rsidR="00ED1236" w:rsidRDefault="00ED1236" w:rsidP="00ED1236">
      <w:pPr>
        <w:jc w:val="both"/>
      </w:pPr>
      <w:r>
        <w:t xml:space="preserve">O setor de carnes foi o segundo colocado entre os maiores exportadores do agronegócio brasileiro nos últimos doze meses, com a cifra de US$ 23,33 bilhões e participação de 14,3% de todas as exportações agropecuárias brasileiras no período. A diminuição observada foi resultado da queda da cotação média dos produtos do setor (-10,2%), enquanto a quantidade embarcada cresceu 4,7% no mesmo período. O principal produto exportado foi a carne bovina, cujas vendas externas totalizaram US$ 10,26 bilhões (-17,8%). O volume negociado da mercadoria cresceu 0,9%, atingindo 2,19 milhões de toneladas, e o preço médio diminuiu 18,5%, totalizando US$ 4.689 por tonelada. Os mercados que mais diminuíram as suas compras de carne bovina </w:t>
      </w:r>
      <w:r w:rsidRPr="00396874">
        <w:rPr>
          <w:i/>
        </w:rPr>
        <w:t>in natura</w:t>
      </w:r>
      <w:r>
        <w:t xml:space="preserve"> brasileira nos últimos doze meses foram: China (-US$ 1,30 bilhão), Egito (-US$ 184,55 milhões), Israel (-US$ 143,11 milhões), Estados Unidos (-US$ 128,52 milhões) e Indonésia (-US$ 113,90 milhões).</w:t>
      </w:r>
    </w:p>
    <w:p w14:paraId="27BE58E7" w14:textId="77777777" w:rsidR="00ED1236" w:rsidRDefault="00ED1236" w:rsidP="00ED1236">
      <w:pPr>
        <w:jc w:val="both"/>
      </w:pPr>
      <w:r>
        <w:t xml:space="preserve">Em seguida destacaram-se as vendas de carne de frango, com o montante de US$ 9,68 bilhões (+4,2%) para um total de 4,92 milhões de toneladas (+6,0%), com retração do preço médio no período de 1,7%. Os principais mercados de destino da carne de frango </w:t>
      </w:r>
      <w:r w:rsidRPr="00396874">
        <w:rPr>
          <w:i/>
        </w:rPr>
        <w:t>in natura</w:t>
      </w:r>
      <w:r>
        <w:t xml:space="preserve"> foram: China, com US$ 1,65 bilhão e +27,1% sobre os doze meses anteriores; Japão, com US$ 931,74 milhões e -2,2%; Emirados Árabes Unidos, com US$ 883,43 milhões e -7,7%; Arábia Saudita, com US$ 824,03 milhões e +3,5%; União Europeia, com US$ 481,13 milhões e -2,1%; e Coreia do Sul, com US$ 419,33 milhões e +12,2%. Já as exportações de carne suína totalizaram US$ 2,81 bilhões entre novembro de 2022 e outubro de 2023. O incremento de 16,3% no valor exportado foi resultado da elevação de 10,4% na quantidade negociada (1,18 milhão de toneladas) e da alta de 5,3% na cotação média do produto brasileiro comercializado no mercado internacional. </w:t>
      </w:r>
    </w:p>
    <w:p w14:paraId="4C655FB9" w14:textId="77777777" w:rsidR="00ED1236" w:rsidRDefault="00ED1236" w:rsidP="00ED1236">
      <w:pPr>
        <w:jc w:val="both"/>
      </w:pPr>
      <w:r>
        <w:t>O terceiro principal setor do agronegócio nos últimos doze meses, em valor de exportação, foi o de cereais, farinhas e preparações, com o montante de US$ 16,20 bilhões, participação de 9,9% e expansão de 35,0% em valor. O principal produto negociado pelo setor foi o milho, com a cifra de US$ 13,92 bilhões, o que representou 86% das vendas do segmento entre novembro de 2022 e outubro de 2023. A quantidade comercializada do grão foi recorde, com 54,58 milhões de toneladas (+48,2%), enquanto o preço médio apresentou queda de 4,7%. Os mercados que mais aumentaram as suas aquisições do milho brasileiro no período foram: China (+US$ 2,94 bilhões), Vietnã (+US$ 736,80 milhões), Japão (+US$ 593,55 milhões), México (+US$ 416,23 milhões) e Coreia do Sul (+US$ 414,99 milhões).</w:t>
      </w:r>
    </w:p>
    <w:p w14:paraId="681612D2" w14:textId="77777777" w:rsidR="00ED1236" w:rsidRDefault="00ED1236" w:rsidP="00ED1236">
      <w:pPr>
        <w:jc w:val="both"/>
      </w:pPr>
      <w:r>
        <w:t xml:space="preserve">Na quarta posição, o setor sucroalcooleiro auferiu receita de US$ 15,80 bilhões (+32,8%), resultado da elevação de 18,4% no preço médio dos produtos do setor e do incremento de 12,2% no </w:t>
      </w:r>
      <w:r w:rsidRPr="00396874">
        <w:rPr>
          <w:i/>
        </w:rPr>
        <w:t>quantum</w:t>
      </w:r>
      <w:r>
        <w:t xml:space="preserve"> comercializado. O açúcar foi o principal item comercializado no período, com vendas de US$ 14,07 bilhões e crescimento de 36,4% em relação aos valores de novembro de 2021 e outubro de 2022 (US$ 10,32 bilhões). A quantidade negociada cresceu 11,8% no período, atingindo 29,40 milhões de toneladas, enquanto o preço do produto apresentou alta de 22,0%. As vendas de açúcar de cana em bruto alcançaram recorde nos últimos doze meses, com a cifra de US$ 11,92 bilhões. Seus principais compradores foram: China (US$ 1,54 bilhão, -1,6%), Argélia (US$ 915,70 milhões, +14,6%), Índia (US$ 902,21 milhões, +457,3%), Arábia Saudita (US$ 806,59 milhões, +133,9%), Marrocos (US$ 722,29 milhões, +16,7%) e Nigéria (US$ 706,08 milhões, +9,7%). Já as exportações de álcool totalizaram US$ 1,70 bilhão, com incremento de 9,7%, em virtude do aumento de 19,7% na quantidade embarcada do produto (2,08 milhões de toneladas), enquanto o preço sofreu queda de 8,3%.</w:t>
      </w:r>
    </w:p>
    <w:p w14:paraId="31DD0198" w14:textId="77777777" w:rsidR="00ED1236" w:rsidRDefault="00ED1236" w:rsidP="00ED1236">
      <w:pPr>
        <w:jc w:val="both"/>
      </w:pPr>
      <w:r>
        <w:t xml:space="preserve">Na quinta colocação em valor exportado, destacou-se o setor de produtos florestais, com a cifra de US$ 14,36 bilhões e diminuição de 13,8% em relação aos valores registrados entre novembro de 2021 e outubro de 2022 (US$ 16,65 bilhões). Tais números foram consequência da queda de 9,1% no </w:t>
      </w:r>
      <w:r w:rsidRPr="00396874">
        <w:rPr>
          <w:i/>
        </w:rPr>
        <w:t>quantum</w:t>
      </w:r>
      <w:r>
        <w:t xml:space="preserve"> negociado e da retração de 5,1% no preço médio dos produtos do setor. O principal produto comercializado pelo segmento foi a celulose, com US$ 8,00 bilhões (-2,8%) para um volume comercializado de 19,04 milhões de toneladas (-3,1%) a um preço médio de US$ 420 por toneladas (+0,4%). Os principais mercados compradores de celulose do Brasil no período foram: China (US$ 3,76 bilhões, +18,9%), União Europeia (US$ 1,63 bilhão, -26,5%) e Estados Unidos (US$ 1,24 bilhão, +4,6%). As vendas externas de madeiras e suas obras somaram US$ 3,97 bilhões no período (-30,3%), com declínio em volume (-18,8%) e no preço médio (-14,2%). No que se refere aos mercados, o destaque negativo ficou com os Estados Unidos, que diminuíram suas aquisições e mais de um bilhão (-US$ 1,09 bilhão). Por fim, as vendas externas de papel alcançaram o montante de US$ 2,37 bilhões (-12,6%), em virtude da retração no </w:t>
      </w:r>
      <w:bookmarkStart w:id="0" w:name="_GoBack"/>
      <w:r w:rsidRPr="00396874">
        <w:rPr>
          <w:i/>
        </w:rPr>
        <w:t>quantum</w:t>
      </w:r>
      <w:bookmarkEnd w:id="0"/>
      <w:r>
        <w:t xml:space="preserve"> comercializado (2,15 milhões de toneladas, -17,2%).</w:t>
      </w:r>
    </w:p>
    <w:p w14:paraId="0692EF00" w14:textId="77777777" w:rsidR="00ED1236" w:rsidRDefault="00ED1236" w:rsidP="00ED1236">
      <w:pPr>
        <w:jc w:val="both"/>
      </w:pPr>
    </w:p>
    <w:p w14:paraId="2569F843" w14:textId="4DE7911D" w:rsidR="004F6523" w:rsidRPr="009942B1" w:rsidRDefault="00ED1236" w:rsidP="00ED1236">
      <w:pPr>
        <w:jc w:val="both"/>
      </w:pPr>
      <w:r>
        <w:t>No que tange às importações do agronegócio entre novembro de 2022 e outubro de 2023, totalizaram US$ 16,79 bilhões e decresceram 2,4% em comparação aos doze meses imediatamente precedentes, representando 6,8% do total importado pelo Brasil no período. Os produtos que se destacaram foram: trigo (US$ 1,40 bilhão e -29,8%); papel (US$ 922,84 milhões e +5,3%); malte (US$ 844,70 milhões e +16,9%); salmões frescos ou refrigerados (US$ 775,16 milhões e +6,0%); leite em pó (US$ 723,74 milhões e +97,3%); vestuário e outros produtos têxteis de algodão (US$ 609,72 milhões e +15,0%); azeite de oliva (US$ 583,08 milhões e +16,3%); arroz (US$ 502,03 milhões e +53,6%); óleo de dendê ou de palma (US$ 500,34 milhões e -42,8%); e vinho (US$ 464,36 milhões e +0,5%).</w:t>
      </w:r>
      <w:r w:rsidR="00B57B00" w:rsidRPr="00B57B00">
        <w:rPr>
          <w:noProof/>
          <w:lang w:eastAsia="pt-BR"/>
        </w:rPr>
        <w:drawing>
          <wp:inline distT="0" distB="0" distL="0" distR="0" wp14:anchorId="2FF7579F" wp14:editId="505DBCE5">
            <wp:extent cx="6188710" cy="3927475"/>
            <wp:effectExtent l="0" t="0" r="2540" b="0"/>
            <wp:docPr id="17847039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70395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7C4CF" w14:textId="69481EBF" w:rsidR="00A836F2" w:rsidRDefault="00A836F2" w:rsidP="00A836F2">
      <w:pPr>
        <w:jc w:val="both"/>
        <w:rPr>
          <w:b/>
          <w:bCs/>
        </w:rPr>
      </w:pPr>
      <w:proofErr w:type="spellStart"/>
      <w:r w:rsidRPr="009942B1">
        <w:rPr>
          <w:b/>
          <w:bCs/>
        </w:rPr>
        <w:t>III.b</w:t>
      </w:r>
      <w:proofErr w:type="spellEnd"/>
      <w:r w:rsidRPr="009942B1">
        <w:rPr>
          <w:b/>
          <w:bCs/>
        </w:rPr>
        <w:t xml:space="preserve"> – Blocos Econômicos e Regiões Geográficas</w:t>
      </w:r>
    </w:p>
    <w:p w14:paraId="5C8068EC" w14:textId="77777777" w:rsidR="00ED1236" w:rsidRDefault="00ED1236" w:rsidP="00ED1236">
      <w:pPr>
        <w:jc w:val="both"/>
      </w:pPr>
      <w:r>
        <w:t xml:space="preserve">No que se refere às exportações do agronegócio por blocos econômicos e regiões geográficas, a Ásia permanece como principal destino brasileiro, com a soma de US$ 84,88 bilhões e incremento de 12,1% em comparação aos valores registrados entre novembro de 2021 e outubro de 2022 (US$ 75,74 bilhões). Em função da expansão verificada, a participação do continente asiático nas exportações do agronegócio brasileiro cresceu de 49,3% para 52,1% nos últimos doze meses. Os principais produtos exportados para o mercado asiático no período foram: soja em grãos (US$ 40,57 bilhões, +10,3%), milho (US$ 7,57 bilhões, +203,2%), carne bovina </w:t>
      </w:r>
      <w:r w:rsidRPr="00396874">
        <w:rPr>
          <w:i/>
        </w:rPr>
        <w:t>in natura</w:t>
      </w:r>
      <w:r>
        <w:t xml:space="preserve"> (US$ 6,21 bilhões, -20,2%), farelo de soja (US$ 5,0 bilhões, +4,9%), celulose (US$ 4,28 bilhões, +11,3%), açúcar de cana em bruto (US$ 4,16 bilhões, +38,9%), carne de frango </w:t>
      </w:r>
      <w:r w:rsidRPr="00396874">
        <w:rPr>
          <w:i/>
        </w:rPr>
        <w:t>in natura</w:t>
      </w:r>
      <w:r>
        <w:t xml:space="preserve"> (US$ 3,69 bilhões, +6,5%), algodão não cardado nem penteado (US$ 2,46 bilhões, -20,0%), óleo de soja em bruto (US$ 2,35 bilhões, -18,1%) e carne suína </w:t>
      </w:r>
      <w:r w:rsidRPr="00396874">
        <w:rPr>
          <w:i/>
        </w:rPr>
        <w:t>in natura</w:t>
      </w:r>
      <w:r>
        <w:t xml:space="preserve"> (US$ 1,95 bilhão, +14,5%).</w:t>
      </w:r>
    </w:p>
    <w:p w14:paraId="4545FBAD" w14:textId="77777777" w:rsidR="00ED1236" w:rsidRDefault="00ED1236" w:rsidP="00ED1236">
      <w:pPr>
        <w:jc w:val="both"/>
      </w:pPr>
      <w:r>
        <w:t>O segundo principal parceiro da agropecuária nacional foi a União Europeia, com vendas externas de US$ 22,36 bilhões e redução de 8,8% em relação a novembro de 2021 e outubro de 2022 (US$ 24,52 bilhões). Com o declínio dos valores adquiridos em produtos agropecuários no período, a participação do bloco europeu nas exportações brasileiras decresceu, de 16,0% para 13,7%. Os principais produtos responsáveis por tal retração nas vendas para o mercado europeu foram: soja em grãos (-US$ 1,20 bilhão), café verde (-US$ 810,11 milhões), milho (-US$ 669,01 milhões) e celulose (-US$ 588,74 milhões). Pelo lado positivo, os destaques ficaram por conta das vendas de farelo de soja (+US$ 627,58 milhões), açúcar de cana em bruto (+US$ 298,47 milhões) e fumo não manufaturado (+US$ 264,69 milhões).</w:t>
      </w:r>
    </w:p>
    <w:p w14:paraId="4E8BF075" w14:textId="28D502CD" w:rsidR="00EB538D" w:rsidRPr="00204E89" w:rsidRDefault="00ED1236" w:rsidP="00ED1236">
      <w:pPr>
        <w:jc w:val="both"/>
      </w:pPr>
      <w:r>
        <w:t xml:space="preserve">Os outros destaques no acumulado dos últimos doze meses, conforme observado na Tabela 8, foram os países do Mercosul, com aumento de 36,6% nas vendas agropecuárias brasileiras (US$ 6,27 bilhões); a ALADI, com exportações de US$ 8,23 bilhões e incremento de 19,2%; e Europa oriental, com expansão de 14,1% (US$ 3,40 bilhões milhões). </w:t>
      </w:r>
      <w:r w:rsidR="00B57B00" w:rsidRPr="00B57B00">
        <w:rPr>
          <w:noProof/>
          <w:lang w:eastAsia="pt-BR"/>
        </w:rPr>
        <w:drawing>
          <wp:inline distT="0" distB="0" distL="0" distR="0" wp14:anchorId="220C65EC" wp14:editId="3E30A0FF">
            <wp:extent cx="6188710" cy="2414905"/>
            <wp:effectExtent l="0" t="0" r="2540" b="4445"/>
            <wp:docPr id="3099453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94532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6AA2B" w14:textId="77777777" w:rsidR="00ED1236" w:rsidRDefault="00ED1236" w:rsidP="00ED1236">
      <w:pPr>
        <w:jc w:val="both"/>
      </w:pPr>
      <w:r>
        <w:t xml:space="preserve">No que tange às exportações do agronegócio brasileiro por países de destino nos últimos doze meses, a China permanece como destaque, adquirindo 34,8% de tudo que foi exportado pelo setor. Com vendas externas de US$ 56,72 bilhões e incremento de 15,9% sobre os valores dos doze meses imediatamente anteriores, a participação chinesa cresceu 3,0 pontos percentuais. Os principais produtos comercializados com o mercado chinês foram: soja em grãos (US$ 36,84 bilhões, +15,4%), carne bovina </w:t>
      </w:r>
      <w:r w:rsidRPr="00396874">
        <w:rPr>
          <w:i/>
        </w:rPr>
        <w:t>in natura</w:t>
      </w:r>
      <w:r>
        <w:t xml:space="preserve"> (US$ 5,70 bilhões, -18,6%), celulose (US$ 3,76 bilhões, +18,9%), milho (US$ 2,94 bilhões), carne de frango </w:t>
      </w:r>
      <w:r w:rsidRPr="00396874">
        <w:rPr>
          <w:i/>
        </w:rPr>
        <w:t>in natura</w:t>
      </w:r>
      <w:r>
        <w:t xml:space="preserve"> (US$ 1,65 bilhão, +27,1%), açúcar de cana em bruto (US$ 1,54 bilhão, -1,6%), algodão não cardado nem penteado (US$ 1,06 bilhão, -1,3%) e carne suína </w:t>
      </w:r>
      <w:r w:rsidRPr="00396874">
        <w:rPr>
          <w:i/>
        </w:rPr>
        <w:t>in natura</w:t>
      </w:r>
      <w:r>
        <w:t xml:space="preserve"> (US$ 1,03 bilhão, +13,0%).</w:t>
      </w:r>
    </w:p>
    <w:p w14:paraId="47AB1075" w14:textId="77777777" w:rsidR="00ED1236" w:rsidRDefault="00ED1236" w:rsidP="00ED1236">
      <w:pPr>
        <w:jc w:val="both"/>
      </w:pPr>
      <w:r>
        <w:t xml:space="preserve">O segundo principal destino dos produtos do agronegócio brasileiro nos últimos doze meses foram os Estados Unidos, com a soma de US$ 9,72 bilhões e redução de 8,7%, o que acarretou perda de participação de 6,9% para 6,0%. As principais mercadorias exportadas para o mercado norte-americano no período foram: café verde (US$ 1,25 bilhão, -24,4%), celulose (US$ 1,24 bilhão, +4,6%), suco de laranja (US$ 760,83 milhões, +62,1%), madeira perfilada (US$ 455,83 milhões, -40,3%), carne bovina </w:t>
      </w:r>
      <w:r w:rsidRPr="00396874">
        <w:rPr>
          <w:i/>
        </w:rPr>
        <w:t>in natura</w:t>
      </w:r>
      <w:r>
        <w:t xml:space="preserve"> (US$ 411,56 milhões, -23,8%) e carne bovina industrializada (US$ 377,88 milhões, -22,3%).</w:t>
      </w:r>
    </w:p>
    <w:p w14:paraId="08A3345F" w14:textId="77777777" w:rsidR="00ED1236" w:rsidRDefault="00ED1236" w:rsidP="00ED1236">
      <w:pPr>
        <w:jc w:val="both"/>
      </w:pPr>
      <w:r>
        <w:t xml:space="preserve">Os Países Baixos ficaram na terceira posição em valor exportado, com US$ 5,23 bilhões e decréscimo de 12,0%, o que ocasionou perda de </w:t>
      </w:r>
      <w:proofErr w:type="spellStart"/>
      <w:r w:rsidRPr="00396874">
        <w:rPr>
          <w:i/>
        </w:rPr>
        <w:t>market</w:t>
      </w:r>
      <w:proofErr w:type="spellEnd"/>
      <w:r w:rsidRPr="00396874">
        <w:rPr>
          <w:i/>
        </w:rPr>
        <w:t xml:space="preserve"> </w:t>
      </w:r>
      <w:proofErr w:type="spellStart"/>
      <w:r w:rsidRPr="00396874">
        <w:rPr>
          <w:i/>
        </w:rPr>
        <w:t>share</w:t>
      </w:r>
      <w:proofErr w:type="spellEnd"/>
      <w:r>
        <w:t xml:space="preserve"> de 3,9% para 3,2%. </w:t>
      </w:r>
    </w:p>
    <w:p w14:paraId="781CC825" w14:textId="77777777" w:rsidR="00ED1236" w:rsidRDefault="00ED1236" w:rsidP="00ED1236">
      <w:pPr>
        <w:jc w:val="both"/>
      </w:pPr>
      <w:r>
        <w:t>Outros destaques quanto ao dinamismo das exportações entre outubro de 2022 e setembro de 2023 foram: Argentina, com vendas de US$ 3,51 bilhões e crescimento absoluto de US$ 1,61 bilhão em comparação aos doze meses anteriores (+84,2%), destacadamente em virtude da expansão das exportações de soja em grãos, que passaram de US$ 181,47 milhões entre outubro de 2021 e setembro de 2022 para US$ 1,98 bilhão entre outubro de 2022 e setembro de 2023 (+US$ 1,80 bilhão).</w:t>
      </w:r>
    </w:p>
    <w:p w14:paraId="03373705" w14:textId="77777777" w:rsidR="00ED1236" w:rsidRDefault="00ED1236" w:rsidP="00ED1236">
      <w:pPr>
        <w:jc w:val="both"/>
      </w:pPr>
      <w:r>
        <w:t>México, com o montante de US$ 3,06 bilhões e crescimento de 53,2% (+US$ 1,06 bilhão), com destaque para a elevação das vendas de milho (+US$ 416,23 milhões) e de soja em grãos (+US$ 384,85 milhões).</w:t>
      </w:r>
    </w:p>
    <w:p w14:paraId="68035606" w14:textId="77777777" w:rsidR="00ED1236" w:rsidRDefault="00ED1236" w:rsidP="00ED1236">
      <w:pPr>
        <w:jc w:val="both"/>
      </w:pPr>
      <w:r>
        <w:t>Argélia, com vendas de US$ 2,13 bilhões e variação de 23,2% (+US$ 401,70 milhões) e Indonésia, com o montante de US$ 3,30 bilhões e alta de 20,0% (+US$ 550,04 milhões).</w:t>
      </w:r>
    </w:p>
    <w:p w14:paraId="473B19DF" w14:textId="77777777" w:rsidR="00ED1236" w:rsidRDefault="00ED1236" w:rsidP="00ED1236">
      <w:pPr>
        <w:jc w:val="both"/>
      </w:pPr>
    </w:p>
    <w:p w14:paraId="55B9471C" w14:textId="63080F2D" w:rsidR="00B2346B" w:rsidRPr="00C33E56" w:rsidRDefault="00B57B00" w:rsidP="00ED1236">
      <w:pPr>
        <w:jc w:val="both"/>
      </w:pPr>
      <w:r w:rsidRPr="00B57B00">
        <w:rPr>
          <w:noProof/>
          <w:lang w:eastAsia="pt-BR"/>
        </w:rPr>
        <w:drawing>
          <wp:inline distT="0" distB="0" distL="0" distR="0" wp14:anchorId="65B2B756" wp14:editId="4C506379">
            <wp:extent cx="6188710" cy="4018280"/>
            <wp:effectExtent l="0" t="0" r="2540" b="1270"/>
            <wp:docPr id="18265986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59861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B06D4" w14:textId="5CE424A7" w:rsidR="00A836F2" w:rsidRDefault="00A836F2" w:rsidP="00A836F2">
      <w:pPr>
        <w:jc w:val="both"/>
      </w:pPr>
    </w:p>
    <w:p w14:paraId="2C9B1A55" w14:textId="77777777" w:rsidR="00A836F2" w:rsidRDefault="00A836F2" w:rsidP="00A836F2">
      <w:pPr>
        <w:jc w:val="both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4DCDE637" wp14:editId="6F059EEC">
                <wp:extent cx="6238875" cy="2314575"/>
                <wp:effectExtent l="0" t="0" r="28575" b="28575"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A9544" w14:textId="77777777" w:rsidR="00A836F2" w:rsidRPr="009A094C" w:rsidRDefault="00A836F2" w:rsidP="00A836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094C">
                              <w:rPr>
                                <w:b/>
                                <w:bCs/>
                              </w:rPr>
                              <w:t>NOTA METODOLÓGICA</w:t>
                            </w:r>
                          </w:p>
                          <w:p w14:paraId="2F3D1F41" w14:textId="77777777" w:rsidR="00A836F2" w:rsidRDefault="00A836F2" w:rsidP="00A836F2">
                            <w:r>
                              <w:t>A classificação de produtos do agronegócio utilizada nesta nota foi atualizada de acordo com a Resolução CAMEX Nº 125, de 15/12/2016, que alterou a Nomenclatura Comum do MERCOSUL – NCM para adaptá-la em relação às modificações do Sistema Harmonizado de Designação e de Codificação de Mercadorias (SH-2017), que estabelece um método internacional para a classificação de mercadorias.</w:t>
                            </w:r>
                          </w:p>
                          <w:p w14:paraId="56E4DA60" w14:textId="17B695D6" w:rsidR="00A836F2" w:rsidRDefault="00A836F2" w:rsidP="00A836F2">
                            <w:r>
                              <w:t xml:space="preserve">A Balança Comercial do Agronegócio utiliza uma classificação dos produtos do agronegócio que reúne </w:t>
                            </w:r>
                            <w:r w:rsidR="002F0E59">
                              <w:t>3.0</w:t>
                            </w:r>
                            <w:r w:rsidR="00F744D7">
                              <w:t>73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NCM’s</w:t>
                            </w:r>
                            <w:proofErr w:type="spellEnd"/>
                            <w:r>
                              <w:t xml:space="preserve"> em 25 setores. Essa é a mesma classificação utilizada no </w:t>
                            </w:r>
                            <w:r w:rsidRPr="009A094C">
                              <w:t xml:space="preserve">Sistema de </w:t>
                            </w:r>
                            <w:r>
                              <w:t>E</w:t>
                            </w:r>
                            <w:r w:rsidRPr="009A094C">
                              <w:t xml:space="preserve">statísticas de </w:t>
                            </w:r>
                            <w:r>
                              <w:t>C</w:t>
                            </w:r>
                            <w:r w:rsidRPr="009A094C">
                              <w:t xml:space="preserve">omércio </w:t>
                            </w:r>
                            <w:r>
                              <w:t>E</w:t>
                            </w:r>
                            <w:r w:rsidRPr="009A094C">
                              <w:t xml:space="preserve">xterior do </w:t>
                            </w:r>
                            <w:r>
                              <w:t>A</w:t>
                            </w:r>
                            <w:r w:rsidRPr="009A094C">
                              <w:t xml:space="preserve">gronegócio </w:t>
                            </w:r>
                            <w:r>
                              <w:t>B</w:t>
                            </w:r>
                            <w:r w:rsidRPr="009A094C">
                              <w:t>rasileiro</w:t>
                            </w:r>
                            <w:r>
                              <w:t xml:space="preserve">, AGROSTAT BRASIL - base de dados </w:t>
                            </w:r>
                            <w:proofErr w:type="spellStart"/>
                            <w:r w:rsidRPr="009A094C">
                              <w:rPr>
                                <w:i/>
                                <w:iCs/>
                              </w:rPr>
                              <w:t>on</w:t>
                            </w:r>
                            <w:proofErr w:type="spellEnd"/>
                            <w:r w:rsidRPr="009A094C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9A094C">
                              <w:rPr>
                                <w:i/>
                                <w:iCs/>
                              </w:rPr>
                              <w:t>line</w:t>
                            </w:r>
                            <w:proofErr w:type="spellEnd"/>
                            <w:r>
                              <w:t xml:space="preserve"> que oferece uma visão detalhada e atualizada das exportações e importações brasileiras do agronegócio. Mais informações da metodologia e classificação podem ser consultadas no site: </w:t>
                            </w:r>
                            <w:hyperlink r:id="rId18" w:history="1">
                              <w:r w:rsidRPr="00274FE8">
                                <w:rPr>
                                  <w:rStyle w:val="Hyperlink"/>
                                </w:rPr>
                                <w:t>http://agrostat.agricultura.gov.br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CDE637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width:491.2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" fillcolor="white [3201]" strokeweight=".5pt">
                <v:textbox>
                  <w:txbxContent>
                    <w:p w14:paraId="33FA9544" w14:textId="77777777" w:rsidR="00A836F2" w:rsidRPr="009A094C" w:rsidRDefault="00A836F2" w:rsidP="00A836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094C">
                        <w:rPr>
                          <w:b/>
                          <w:bCs/>
                        </w:rPr>
                        <w:t>NOTA METODOLÓGICA</w:t>
                      </w:r>
                    </w:p>
                    <w:p w14:paraId="2F3D1F41" w14:textId="77777777" w:rsidR="00A836F2" w:rsidRDefault="00A836F2" w:rsidP="00A836F2">
                      <w:r>
                        <w:t>A classificação de produtos do agronegócio utilizada nesta nota foi atualizada de acordo com a Resolução CAMEX Nº 125, de 15/12/2016, que alterou a Nomenclatura Comum do MERCOSUL – NCM para adaptá-la em relação às modificações do Sistema Harmonizado de Designação e de Codificação de Mercadorias (SH-2017), que estabelece um método internacional para a classificação de mercadorias.</w:t>
                      </w:r>
                    </w:p>
                    <w:p w14:paraId="56E4DA60" w14:textId="17B695D6" w:rsidR="00A836F2" w:rsidRDefault="00A836F2" w:rsidP="00A836F2">
                      <w:r>
                        <w:t xml:space="preserve">A Balança Comercial do Agronegócio utiliza uma classificação dos produtos do agronegócio que reúne </w:t>
                      </w:r>
                      <w:r w:rsidR="002F0E59">
                        <w:t>3.0</w:t>
                      </w:r>
                      <w:r w:rsidR="00F744D7">
                        <w:t>73</w:t>
                      </w:r>
                      <w:r>
                        <w:t xml:space="preserve"> </w:t>
                      </w:r>
                      <w:proofErr w:type="spellStart"/>
                      <w:r>
                        <w:t>NCM’s</w:t>
                      </w:r>
                      <w:proofErr w:type="spellEnd"/>
                      <w:r>
                        <w:t xml:space="preserve"> em 25 setores. Essa é a mesma classificação utilizada no </w:t>
                      </w:r>
                      <w:r w:rsidRPr="009A094C">
                        <w:t xml:space="preserve">Sistema de </w:t>
                      </w:r>
                      <w:r>
                        <w:t>E</w:t>
                      </w:r>
                      <w:r w:rsidRPr="009A094C">
                        <w:t xml:space="preserve">statísticas de </w:t>
                      </w:r>
                      <w:r>
                        <w:t>C</w:t>
                      </w:r>
                      <w:r w:rsidRPr="009A094C">
                        <w:t xml:space="preserve">omércio </w:t>
                      </w:r>
                      <w:r>
                        <w:t>E</w:t>
                      </w:r>
                      <w:r w:rsidRPr="009A094C">
                        <w:t xml:space="preserve">xterior do </w:t>
                      </w:r>
                      <w:r>
                        <w:t>A</w:t>
                      </w:r>
                      <w:r w:rsidRPr="009A094C">
                        <w:t xml:space="preserve">gronegócio </w:t>
                      </w:r>
                      <w:r>
                        <w:t>B</w:t>
                      </w:r>
                      <w:r w:rsidRPr="009A094C">
                        <w:t>rasileiro</w:t>
                      </w:r>
                      <w:r>
                        <w:t xml:space="preserve">, AGROSTAT BRASIL - base de dados </w:t>
                      </w:r>
                      <w:proofErr w:type="spellStart"/>
                      <w:r w:rsidRPr="009A094C">
                        <w:rPr>
                          <w:i/>
                          <w:iCs/>
                        </w:rPr>
                        <w:t>on</w:t>
                      </w:r>
                      <w:proofErr w:type="spellEnd"/>
                      <w:r w:rsidRPr="009A094C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9A094C">
                        <w:rPr>
                          <w:i/>
                          <w:iCs/>
                        </w:rPr>
                        <w:t>line</w:t>
                      </w:r>
                      <w:proofErr w:type="spellEnd"/>
                      <w:r>
                        <w:t xml:space="preserve"> que oferece uma visão detalhada e atualizada das exportações e importações brasileiras do agronegócio. Mais informações da metodologia e classificação podem ser consultadas no site: </w:t>
                      </w:r>
                      <w:hyperlink r:id="rId19" w:history="1">
                        <w:r w:rsidRPr="00274FE8">
                          <w:rPr>
                            <w:rStyle w:val="Hyperlink"/>
                          </w:rPr>
                          <w:t>http://agrostat.agricultura.gov.br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54E0BCA" w14:textId="77777777" w:rsidR="00A836F2" w:rsidRDefault="00A836F2" w:rsidP="00A836F2">
      <w:pPr>
        <w:jc w:val="both"/>
      </w:pPr>
      <w:r w:rsidRPr="009A094C">
        <w:t>MAPA/SCRI/DN</w:t>
      </w:r>
      <w:r>
        <w:t>A</w:t>
      </w:r>
      <w:r w:rsidRPr="009A094C">
        <w:t>C</w:t>
      </w:r>
      <w:r>
        <w:t>/CGEA</w:t>
      </w:r>
    </w:p>
    <w:p w14:paraId="6AFCF99D" w14:textId="28C978E4" w:rsidR="00C21CE0" w:rsidRDefault="00A836F2" w:rsidP="00BA3003">
      <w:pPr>
        <w:jc w:val="both"/>
      </w:pPr>
      <w:r>
        <w:fldChar w:fldCharType="begin"/>
      </w:r>
      <w:r>
        <w:instrText xml:space="preserve"> TIME \@ "dd/MM/yyyy" </w:instrText>
      </w:r>
      <w:r>
        <w:fldChar w:fldCharType="separate"/>
      </w:r>
      <w:r w:rsidR="00EE5518">
        <w:rPr>
          <w:noProof/>
        </w:rPr>
        <w:t>13/11/2023</w:t>
      </w:r>
      <w:r>
        <w:fldChar w:fldCharType="end"/>
      </w:r>
    </w:p>
    <w:sectPr w:rsidR="00C21CE0" w:rsidSect="00C21C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7C9BA" w14:textId="77777777" w:rsidR="00CB2A6F" w:rsidRDefault="00CB2A6F" w:rsidP="00D036D2">
      <w:pPr>
        <w:spacing w:after="0" w:line="240" w:lineRule="auto"/>
      </w:pPr>
      <w:r>
        <w:separator/>
      </w:r>
    </w:p>
  </w:endnote>
  <w:endnote w:type="continuationSeparator" w:id="0">
    <w:p w14:paraId="368557CF" w14:textId="77777777" w:rsidR="00CB2A6F" w:rsidRDefault="00CB2A6F" w:rsidP="00D0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47471" w14:textId="77777777" w:rsidR="00CB2A6F" w:rsidRDefault="00CB2A6F" w:rsidP="00D036D2">
      <w:pPr>
        <w:spacing w:after="0" w:line="240" w:lineRule="auto"/>
      </w:pPr>
      <w:r>
        <w:separator/>
      </w:r>
    </w:p>
  </w:footnote>
  <w:footnote w:type="continuationSeparator" w:id="0">
    <w:p w14:paraId="0FD4AD02" w14:textId="77777777" w:rsidR="00CB2A6F" w:rsidRDefault="00CB2A6F" w:rsidP="00D036D2">
      <w:pPr>
        <w:spacing w:after="0" w:line="240" w:lineRule="auto"/>
      </w:pPr>
      <w:r>
        <w:continuationSeparator/>
      </w:r>
    </w:p>
  </w:footnote>
  <w:footnote w:id="1">
    <w:p w14:paraId="5B4A6C5A" w14:textId="77777777" w:rsidR="00EE5518" w:rsidRPr="00ED1236" w:rsidRDefault="00EE5518" w:rsidP="00EE5518">
      <w:pPr>
        <w:pStyle w:val="Textodenotaderodap"/>
      </w:pPr>
      <w:r w:rsidRPr="00ED1236">
        <w:rPr>
          <w:rStyle w:val="Refdenotaderodap"/>
        </w:rPr>
        <w:footnoteRef/>
      </w:r>
      <w:r w:rsidRPr="00ED1236">
        <w:t xml:space="preserve"> O Banco Mundial apurou que em maio de 2022 o índice de preços dos alimentos chegou a 159,04 pontos. Este é o maior número de toda a série de índice de preços dos alimentos do banco mundial.</w:t>
      </w:r>
    </w:p>
  </w:footnote>
  <w:footnote w:id="2">
    <w:p w14:paraId="512B94EE" w14:textId="77777777" w:rsidR="00EE5518" w:rsidRPr="00ED1236" w:rsidRDefault="00EE5518" w:rsidP="00EE5518">
      <w:pPr>
        <w:pStyle w:val="Textodenotaderodap"/>
      </w:pPr>
      <w:r w:rsidRPr="00ED1236">
        <w:rPr>
          <w:rStyle w:val="Refdenotaderodap"/>
        </w:rPr>
        <w:footnoteRef/>
      </w:r>
      <w:r w:rsidRPr="00ED1236">
        <w:t xml:space="preserve"> Estatísticas do Banco Mundial de preços de commodities: https://www.worldbank.org/en/research/commodity-markets</w:t>
      </w:r>
    </w:p>
  </w:footnote>
  <w:footnote w:id="3">
    <w:p w14:paraId="0FFD5F4E" w14:textId="77777777" w:rsidR="00EE5518" w:rsidRDefault="00EE5518" w:rsidP="00EE5518">
      <w:pPr>
        <w:pStyle w:val="Textodenotaderodap"/>
      </w:pPr>
      <w:r w:rsidRPr="00ED1236">
        <w:rPr>
          <w:rStyle w:val="Refdenotaderodap"/>
        </w:rPr>
        <w:footnoteRef/>
      </w:r>
      <w:r w:rsidRPr="00ED1236">
        <w:t xml:space="preserve"> Estatísticas de FAO dos índices de preços dos alimentos: https://www.fao.org/worldfoodsituation/foodpricesindex/en/</w:t>
      </w:r>
    </w:p>
  </w:footnote>
  <w:footnote w:id="4">
    <w:p w14:paraId="063DFBF2" w14:textId="77777777" w:rsidR="00EE5518" w:rsidRDefault="00EE5518" w:rsidP="00EE5518">
      <w:pPr>
        <w:pStyle w:val="Textodenotaderodap"/>
      </w:pPr>
      <w:r>
        <w:rPr>
          <w:rStyle w:val="Refdenotaderodap"/>
        </w:rPr>
        <w:footnoteRef/>
      </w:r>
      <w:r>
        <w:t xml:space="preserve"> De janeiro a outubro de 2022 a quantidade de grãos exportados foi de 133,5 milhões de toneladas, quando se computa soja em grãos, milho, farelo de soja (utilizando o coeficiente de 1,3 para se transformar o farelo na soja em grão necessária à sua produção), trigo, arroz, algodão não cardado nem penteado, feijão, aveia, centeio. No mesmo período de 2023, com a mesma seleção de grãos, o volume exportado atingiu 164,1 milhões de toneladas.</w:t>
      </w:r>
    </w:p>
  </w:footnote>
  <w:footnote w:id="5">
    <w:p w14:paraId="12F726C4" w14:textId="77777777" w:rsidR="00EE5518" w:rsidRDefault="00EE5518" w:rsidP="00EE5518">
      <w:pPr>
        <w:pStyle w:val="Textodenotaderodap"/>
      </w:pPr>
      <w:r>
        <w:rPr>
          <w:rStyle w:val="Refdenotaderodap"/>
        </w:rPr>
        <w:footnoteRef/>
      </w:r>
      <w:r>
        <w:t xml:space="preserve"> Os principais tipos de fertilizantes importados foram: cloreto de potássio para uso como fertilizante (US$ 391,85 milhões; -25,6%); ureia, mesmo em solução aquosa (US$ 291,98 milhões; -17,0%); </w:t>
      </w:r>
      <w:proofErr w:type="spellStart"/>
      <w:r>
        <w:t>diidrogeno-ortofosfato</w:t>
      </w:r>
      <w:proofErr w:type="spellEnd"/>
      <w:r>
        <w:t xml:space="preserve"> de amônio (US$ 216,13 milhões; +4,2%); sulfato de amônio (US$ 158,60 milhões; -7,5%); adubos ou fertilizantes contendo nitrogênio, fósforo e potássio (US$ 74,54 milhões; -13,7%).</w:t>
      </w:r>
    </w:p>
  </w:footnote>
  <w:footnote w:id="6">
    <w:p w14:paraId="2E96FB5B" w14:textId="77777777" w:rsidR="00EE5518" w:rsidRPr="00D568B6" w:rsidRDefault="00EE5518" w:rsidP="00EE5518">
      <w:pPr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>
        <w:rPr>
          <w:rStyle w:val="Refdenotaderodap"/>
        </w:rPr>
        <w:footnoteRef/>
      </w:r>
      <w:r>
        <w:t xml:space="preserve"> </w:t>
      </w:r>
      <w:r w:rsidRPr="00D568B6">
        <w:rPr>
          <w:sz w:val="20"/>
          <w:szCs w:val="20"/>
        </w:rPr>
        <w:t xml:space="preserve">A SH 4 3808 possui como descrição o seguinte texto: </w:t>
      </w:r>
      <w:proofErr w:type="spellStart"/>
      <w:r w:rsidRPr="00D568B6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Insecticidas</w:t>
      </w:r>
      <w:proofErr w:type="spellEnd"/>
      <w:r w:rsidRPr="00D568B6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, </w:t>
      </w:r>
      <w:proofErr w:type="spellStart"/>
      <w:r w:rsidRPr="00D568B6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rodenticidas</w:t>
      </w:r>
      <w:proofErr w:type="spellEnd"/>
      <w:r w:rsidRPr="00D568B6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, fungicidas, herbicidas, inibidores de germinação e reguladores de crescimento para plantas, </w:t>
      </w:r>
      <w:proofErr w:type="spellStart"/>
      <w:r w:rsidRPr="00D568B6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desinfectantes</w:t>
      </w:r>
      <w:proofErr w:type="spellEnd"/>
      <w:r w:rsidRPr="00D568B6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 e produtos semelhantes, apresentados em formas ou embalagens para venda a retalho ou como preparações.</w:t>
      </w:r>
    </w:p>
  </w:footnote>
  <w:footnote w:id="7">
    <w:p w14:paraId="713596D7" w14:textId="77777777" w:rsidR="00EE5518" w:rsidRDefault="00EE5518" w:rsidP="00EE5518">
      <w:pPr>
        <w:pStyle w:val="Textodenotaderodap"/>
      </w:pPr>
      <w:r>
        <w:rPr>
          <w:rStyle w:val="Refdenotaderodap"/>
        </w:rPr>
        <w:footnoteRef/>
      </w:r>
      <w:r>
        <w:t xml:space="preserve"> Os produtos apresentados não englobam todos os itens importados pelo agronegócio brasileiro no período e que foram necessários à produção. Como um exemplo, pode-se mencionar a importação de óleo diesel para de tratores e caminhões utilizados na produção do agronegócio brasileira e que não foi mencionada dentre os itens importados.</w:t>
      </w:r>
    </w:p>
    <w:p w14:paraId="2FE8AC92" w14:textId="77777777" w:rsidR="00EE5518" w:rsidRDefault="00EE5518" w:rsidP="00EE5518">
      <w:pPr>
        <w:pStyle w:val="Textodenotaderodap"/>
      </w:pPr>
    </w:p>
  </w:footnote>
  <w:footnote w:id="8">
    <w:p w14:paraId="59DF8374" w14:textId="77777777" w:rsidR="00EE5518" w:rsidRDefault="00EE5518" w:rsidP="00EE5518">
      <w:pPr>
        <w:pStyle w:val="Textodenotaderodap"/>
      </w:pPr>
      <w:r>
        <w:rPr>
          <w:rStyle w:val="Refdenotaderodap"/>
        </w:rPr>
        <w:footnoteRef/>
      </w:r>
      <w:r>
        <w:t xml:space="preserve"> Estatísticas obtidas no FAS/USDA</w:t>
      </w:r>
    </w:p>
  </w:footnote>
  <w:footnote w:id="9">
    <w:p w14:paraId="00D39048" w14:textId="77777777" w:rsidR="00EE5518" w:rsidRDefault="00EE5518" w:rsidP="00EE551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Cepea</w:t>
      </w:r>
      <w:proofErr w:type="spellEnd"/>
      <w:r>
        <w:t xml:space="preserve"> – </w:t>
      </w:r>
      <w:proofErr w:type="spellStart"/>
      <w:r>
        <w:t>AgroMensal</w:t>
      </w:r>
      <w:proofErr w:type="spellEnd"/>
      <w:r>
        <w:t xml:space="preserve"> do Açúcar (outubro/2023)</w:t>
      </w:r>
    </w:p>
  </w:footnote>
  <w:footnote w:id="10">
    <w:p w14:paraId="47A13BE4" w14:textId="420AE7B4" w:rsidR="002E23C4" w:rsidRPr="00ED1236" w:rsidRDefault="002E23C4">
      <w:pPr>
        <w:pStyle w:val="Textodenotaderodap"/>
        <w:rPr>
          <w:szCs w:val="16"/>
        </w:rPr>
      </w:pPr>
      <w:r w:rsidRPr="00ED1236">
        <w:rPr>
          <w:rStyle w:val="Refdenotaderodap"/>
          <w:szCs w:val="16"/>
        </w:rPr>
        <w:footnoteRef/>
      </w:r>
      <w:r w:rsidRPr="00ED1236">
        <w:rPr>
          <w:szCs w:val="16"/>
        </w:rPr>
        <w:t xml:space="preserve"> Fonte: USDA. Disponível em: https://apps.fas.usda.gov/psdonline/app/index.html#/app/advQuery</w:t>
      </w:r>
    </w:p>
  </w:footnote>
  <w:footnote w:id="11">
    <w:p w14:paraId="42254604" w14:textId="0C8939C8" w:rsidR="000A7342" w:rsidRPr="00ED1236" w:rsidRDefault="000A7342">
      <w:pPr>
        <w:pStyle w:val="Textodenotaderodap"/>
        <w:rPr>
          <w:szCs w:val="16"/>
        </w:rPr>
      </w:pPr>
      <w:r w:rsidRPr="00ED1236">
        <w:rPr>
          <w:rStyle w:val="Refdenotaderodap"/>
          <w:szCs w:val="16"/>
        </w:rPr>
        <w:footnoteRef/>
      </w:r>
      <w:r w:rsidRPr="00ED1236">
        <w:rPr>
          <w:szCs w:val="16"/>
        </w:rPr>
        <w:t xml:space="preserve"> Nota: utiliza-se o coeficiente de 1,3 para se transformar o farelo na soja em grão necessária à sua produção.</w:t>
      </w:r>
    </w:p>
  </w:footnote>
  <w:footnote w:id="12">
    <w:p w14:paraId="36484F34" w14:textId="514E84A2" w:rsidR="007840AD" w:rsidRPr="00ED1236" w:rsidRDefault="007840AD">
      <w:pPr>
        <w:pStyle w:val="Textodenotaderodap"/>
        <w:rPr>
          <w:szCs w:val="16"/>
        </w:rPr>
      </w:pPr>
      <w:r w:rsidRPr="00ED1236">
        <w:rPr>
          <w:rStyle w:val="Refdenotaderodap"/>
          <w:szCs w:val="16"/>
        </w:rPr>
        <w:footnoteRef/>
      </w:r>
      <w:r w:rsidRPr="00ED1236">
        <w:rPr>
          <w:szCs w:val="16"/>
        </w:rPr>
        <w:t xml:space="preserve"> Fonte: CONAB</w:t>
      </w:r>
      <w:r w:rsidR="00AE79DE" w:rsidRPr="00ED1236">
        <w:rPr>
          <w:szCs w:val="16"/>
        </w:rPr>
        <w:t xml:space="preserve"> – Boletim da Safra de Grãos de 09/11/2023</w:t>
      </w:r>
      <w:r w:rsidRPr="00ED1236">
        <w:rPr>
          <w:szCs w:val="16"/>
        </w:rPr>
        <w:t>. Disponível em: https://www.conab.gov.br/info-agro/safras/graos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104"/>
    <w:multiLevelType w:val="hybridMultilevel"/>
    <w:tmpl w:val="46C08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962DD"/>
    <w:multiLevelType w:val="hybridMultilevel"/>
    <w:tmpl w:val="60C859A8"/>
    <w:lvl w:ilvl="0" w:tplc="CC08CE64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E2F29"/>
    <w:multiLevelType w:val="hybridMultilevel"/>
    <w:tmpl w:val="6FDA80CC"/>
    <w:lvl w:ilvl="0" w:tplc="8B5A775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E0"/>
    <w:rsid w:val="00000D1F"/>
    <w:rsid w:val="0000131B"/>
    <w:rsid w:val="0000186B"/>
    <w:rsid w:val="00005669"/>
    <w:rsid w:val="000061DF"/>
    <w:rsid w:val="000072E0"/>
    <w:rsid w:val="000106E0"/>
    <w:rsid w:val="00012542"/>
    <w:rsid w:val="00013AAC"/>
    <w:rsid w:val="00021DFB"/>
    <w:rsid w:val="000224B0"/>
    <w:rsid w:val="00026FC9"/>
    <w:rsid w:val="00031914"/>
    <w:rsid w:val="000342E7"/>
    <w:rsid w:val="00035E37"/>
    <w:rsid w:val="00037E65"/>
    <w:rsid w:val="00041DF4"/>
    <w:rsid w:val="000440F9"/>
    <w:rsid w:val="00045170"/>
    <w:rsid w:val="000469BA"/>
    <w:rsid w:val="00053023"/>
    <w:rsid w:val="000533C4"/>
    <w:rsid w:val="000541BB"/>
    <w:rsid w:val="00054806"/>
    <w:rsid w:val="000548B4"/>
    <w:rsid w:val="000561C6"/>
    <w:rsid w:val="00056B3A"/>
    <w:rsid w:val="000574BB"/>
    <w:rsid w:val="00060AA0"/>
    <w:rsid w:val="0006208A"/>
    <w:rsid w:val="00063EAE"/>
    <w:rsid w:val="0006481B"/>
    <w:rsid w:val="00065535"/>
    <w:rsid w:val="00065736"/>
    <w:rsid w:val="00066D09"/>
    <w:rsid w:val="00067AA4"/>
    <w:rsid w:val="00071396"/>
    <w:rsid w:val="00071F11"/>
    <w:rsid w:val="00072550"/>
    <w:rsid w:val="0007381D"/>
    <w:rsid w:val="00074055"/>
    <w:rsid w:val="00074CE5"/>
    <w:rsid w:val="00075B5D"/>
    <w:rsid w:val="000809E5"/>
    <w:rsid w:val="00080C6A"/>
    <w:rsid w:val="00081736"/>
    <w:rsid w:val="00081BDF"/>
    <w:rsid w:val="00082772"/>
    <w:rsid w:val="0008349F"/>
    <w:rsid w:val="00084313"/>
    <w:rsid w:val="00084803"/>
    <w:rsid w:val="00085804"/>
    <w:rsid w:val="0008654E"/>
    <w:rsid w:val="00087329"/>
    <w:rsid w:val="0009422D"/>
    <w:rsid w:val="0009684F"/>
    <w:rsid w:val="00097AF5"/>
    <w:rsid w:val="00097DA7"/>
    <w:rsid w:val="000A00AC"/>
    <w:rsid w:val="000A2033"/>
    <w:rsid w:val="000A222E"/>
    <w:rsid w:val="000A2937"/>
    <w:rsid w:val="000A46E1"/>
    <w:rsid w:val="000A486D"/>
    <w:rsid w:val="000A4E80"/>
    <w:rsid w:val="000A5F17"/>
    <w:rsid w:val="000A7342"/>
    <w:rsid w:val="000A7365"/>
    <w:rsid w:val="000B3425"/>
    <w:rsid w:val="000B4AFE"/>
    <w:rsid w:val="000B5766"/>
    <w:rsid w:val="000B7B24"/>
    <w:rsid w:val="000C256D"/>
    <w:rsid w:val="000C2EA1"/>
    <w:rsid w:val="000C36B1"/>
    <w:rsid w:val="000C54C4"/>
    <w:rsid w:val="000C7C3D"/>
    <w:rsid w:val="000D31E1"/>
    <w:rsid w:val="000D36D9"/>
    <w:rsid w:val="000D3716"/>
    <w:rsid w:val="000D50A8"/>
    <w:rsid w:val="000D6EAE"/>
    <w:rsid w:val="000D7078"/>
    <w:rsid w:val="000D754C"/>
    <w:rsid w:val="000D79D6"/>
    <w:rsid w:val="000E241E"/>
    <w:rsid w:val="000E4875"/>
    <w:rsid w:val="000E6BC9"/>
    <w:rsid w:val="000E6E94"/>
    <w:rsid w:val="000E6FFF"/>
    <w:rsid w:val="000E7A49"/>
    <w:rsid w:val="000F105D"/>
    <w:rsid w:val="000F2159"/>
    <w:rsid w:val="000F2CF5"/>
    <w:rsid w:val="000F6056"/>
    <w:rsid w:val="000F6E77"/>
    <w:rsid w:val="000F6E89"/>
    <w:rsid w:val="000F741F"/>
    <w:rsid w:val="00100011"/>
    <w:rsid w:val="00100758"/>
    <w:rsid w:val="00102052"/>
    <w:rsid w:val="00102BAF"/>
    <w:rsid w:val="00103639"/>
    <w:rsid w:val="00105AE9"/>
    <w:rsid w:val="00107651"/>
    <w:rsid w:val="00114C69"/>
    <w:rsid w:val="001150D4"/>
    <w:rsid w:val="0011621D"/>
    <w:rsid w:val="00116D0C"/>
    <w:rsid w:val="00120E30"/>
    <w:rsid w:val="00120EA7"/>
    <w:rsid w:val="00121182"/>
    <w:rsid w:val="001217A9"/>
    <w:rsid w:val="001222CC"/>
    <w:rsid w:val="00122A68"/>
    <w:rsid w:val="001241F2"/>
    <w:rsid w:val="00125308"/>
    <w:rsid w:val="00125FDB"/>
    <w:rsid w:val="001275E8"/>
    <w:rsid w:val="00130349"/>
    <w:rsid w:val="00134206"/>
    <w:rsid w:val="0013427C"/>
    <w:rsid w:val="001346CE"/>
    <w:rsid w:val="00134F72"/>
    <w:rsid w:val="00135D1F"/>
    <w:rsid w:val="0014147F"/>
    <w:rsid w:val="0014204A"/>
    <w:rsid w:val="0014239D"/>
    <w:rsid w:val="00142656"/>
    <w:rsid w:val="00142A16"/>
    <w:rsid w:val="001453F9"/>
    <w:rsid w:val="0014641A"/>
    <w:rsid w:val="00146A7D"/>
    <w:rsid w:val="00150561"/>
    <w:rsid w:val="00151599"/>
    <w:rsid w:val="00151C7B"/>
    <w:rsid w:val="0015325E"/>
    <w:rsid w:val="00153559"/>
    <w:rsid w:val="00154314"/>
    <w:rsid w:val="00155698"/>
    <w:rsid w:val="00155B62"/>
    <w:rsid w:val="0015781D"/>
    <w:rsid w:val="0016166C"/>
    <w:rsid w:val="001630B1"/>
    <w:rsid w:val="001638F9"/>
    <w:rsid w:val="00165CAE"/>
    <w:rsid w:val="00165EED"/>
    <w:rsid w:val="00172B7F"/>
    <w:rsid w:val="00172CA5"/>
    <w:rsid w:val="0017417F"/>
    <w:rsid w:val="001744AE"/>
    <w:rsid w:val="001748B0"/>
    <w:rsid w:val="00176A18"/>
    <w:rsid w:val="00181E33"/>
    <w:rsid w:val="00183584"/>
    <w:rsid w:val="001843F4"/>
    <w:rsid w:val="001847E7"/>
    <w:rsid w:val="0019099C"/>
    <w:rsid w:val="00192305"/>
    <w:rsid w:val="0019428E"/>
    <w:rsid w:val="00194400"/>
    <w:rsid w:val="00194FD0"/>
    <w:rsid w:val="00195324"/>
    <w:rsid w:val="00195DF9"/>
    <w:rsid w:val="00195F39"/>
    <w:rsid w:val="00197211"/>
    <w:rsid w:val="00197BC6"/>
    <w:rsid w:val="001A09C4"/>
    <w:rsid w:val="001A1562"/>
    <w:rsid w:val="001A1E04"/>
    <w:rsid w:val="001A26B8"/>
    <w:rsid w:val="001A2B52"/>
    <w:rsid w:val="001A2B92"/>
    <w:rsid w:val="001A5547"/>
    <w:rsid w:val="001A59D3"/>
    <w:rsid w:val="001A615F"/>
    <w:rsid w:val="001B17A0"/>
    <w:rsid w:val="001B192A"/>
    <w:rsid w:val="001B2356"/>
    <w:rsid w:val="001B24F2"/>
    <w:rsid w:val="001B2ECE"/>
    <w:rsid w:val="001B31E4"/>
    <w:rsid w:val="001B4796"/>
    <w:rsid w:val="001B5ED3"/>
    <w:rsid w:val="001B6BDE"/>
    <w:rsid w:val="001B76A4"/>
    <w:rsid w:val="001B7C24"/>
    <w:rsid w:val="001C1C40"/>
    <w:rsid w:val="001C3F48"/>
    <w:rsid w:val="001C4C14"/>
    <w:rsid w:val="001C5096"/>
    <w:rsid w:val="001C7B3D"/>
    <w:rsid w:val="001C7BA1"/>
    <w:rsid w:val="001D2DF5"/>
    <w:rsid w:val="001D4197"/>
    <w:rsid w:val="001D4951"/>
    <w:rsid w:val="001D5274"/>
    <w:rsid w:val="001D73EF"/>
    <w:rsid w:val="001E3583"/>
    <w:rsid w:val="001E46C6"/>
    <w:rsid w:val="001E5703"/>
    <w:rsid w:val="001F02EE"/>
    <w:rsid w:val="001F0F62"/>
    <w:rsid w:val="001F1AA3"/>
    <w:rsid w:val="001F466A"/>
    <w:rsid w:val="001F52AD"/>
    <w:rsid w:val="00202EE1"/>
    <w:rsid w:val="00203D60"/>
    <w:rsid w:val="00203FF3"/>
    <w:rsid w:val="002047C5"/>
    <w:rsid w:val="00204CAD"/>
    <w:rsid w:val="00204E89"/>
    <w:rsid w:val="00206B3E"/>
    <w:rsid w:val="002074D7"/>
    <w:rsid w:val="00210920"/>
    <w:rsid w:val="00210BAE"/>
    <w:rsid w:val="002119B8"/>
    <w:rsid w:val="00214515"/>
    <w:rsid w:val="002156BE"/>
    <w:rsid w:val="002160B4"/>
    <w:rsid w:val="00216EC4"/>
    <w:rsid w:val="00217161"/>
    <w:rsid w:val="0021751B"/>
    <w:rsid w:val="00220AAF"/>
    <w:rsid w:val="00220C3C"/>
    <w:rsid w:val="00221B9A"/>
    <w:rsid w:val="002226D1"/>
    <w:rsid w:val="00231BCF"/>
    <w:rsid w:val="00231FC8"/>
    <w:rsid w:val="00232926"/>
    <w:rsid w:val="00234626"/>
    <w:rsid w:val="002357F1"/>
    <w:rsid w:val="00240C1B"/>
    <w:rsid w:val="00244AEA"/>
    <w:rsid w:val="0024516D"/>
    <w:rsid w:val="00245717"/>
    <w:rsid w:val="00246461"/>
    <w:rsid w:val="0024680D"/>
    <w:rsid w:val="00246D55"/>
    <w:rsid w:val="00250F1E"/>
    <w:rsid w:val="00255A58"/>
    <w:rsid w:val="002571FF"/>
    <w:rsid w:val="00260457"/>
    <w:rsid w:val="00262E62"/>
    <w:rsid w:val="00264127"/>
    <w:rsid w:val="002656E4"/>
    <w:rsid w:val="002671B5"/>
    <w:rsid w:val="002677D3"/>
    <w:rsid w:val="0027122C"/>
    <w:rsid w:val="00272708"/>
    <w:rsid w:val="00273B93"/>
    <w:rsid w:val="00273F37"/>
    <w:rsid w:val="00274068"/>
    <w:rsid w:val="002766D3"/>
    <w:rsid w:val="0027756F"/>
    <w:rsid w:val="00280491"/>
    <w:rsid w:val="002808F5"/>
    <w:rsid w:val="00281E1C"/>
    <w:rsid w:val="00283B9D"/>
    <w:rsid w:val="002853E4"/>
    <w:rsid w:val="00285B11"/>
    <w:rsid w:val="002862CD"/>
    <w:rsid w:val="00290AFF"/>
    <w:rsid w:val="00290B04"/>
    <w:rsid w:val="0029295A"/>
    <w:rsid w:val="002952D0"/>
    <w:rsid w:val="00295D42"/>
    <w:rsid w:val="002A1E25"/>
    <w:rsid w:val="002A27C3"/>
    <w:rsid w:val="002A3825"/>
    <w:rsid w:val="002A5358"/>
    <w:rsid w:val="002A5730"/>
    <w:rsid w:val="002A78A4"/>
    <w:rsid w:val="002B0659"/>
    <w:rsid w:val="002B1DDA"/>
    <w:rsid w:val="002B6487"/>
    <w:rsid w:val="002C58C3"/>
    <w:rsid w:val="002C5DE5"/>
    <w:rsid w:val="002C6580"/>
    <w:rsid w:val="002D0BE0"/>
    <w:rsid w:val="002D168C"/>
    <w:rsid w:val="002D1C89"/>
    <w:rsid w:val="002D3639"/>
    <w:rsid w:val="002D4475"/>
    <w:rsid w:val="002D5A30"/>
    <w:rsid w:val="002D67B7"/>
    <w:rsid w:val="002D7CB7"/>
    <w:rsid w:val="002D7CBB"/>
    <w:rsid w:val="002E1BF2"/>
    <w:rsid w:val="002E23C4"/>
    <w:rsid w:val="002E30C8"/>
    <w:rsid w:val="002E3917"/>
    <w:rsid w:val="002E496A"/>
    <w:rsid w:val="002E5418"/>
    <w:rsid w:val="002E5BEE"/>
    <w:rsid w:val="002E7520"/>
    <w:rsid w:val="002F0AE0"/>
    <w:rsid w:val="002F0E59"/>
    <w:rsid w:val="002F13CF"/>
    <w:rsid w:val="002F1F5F"/>
    <w:rsid w:val="002F2CC6"/>
    <w:rsid w:val="002F317D"/>
    <w:rsid w:val="002F3EBF"/>
    <w:rsid w:val="002F5381"/>
    <w:rsid w:val="00301851"/>
    <w:rsid w:val="00302144"/>
    <w:rsid w:val="0030234A"/>
    <w:rsid w:val="0030368C"/>
    <w:rsid w:val="003051C6"/>
    <w:rsid w:val="00305427"/>
    <w:rsid w:val="00305F6D"/>
    <w:rsid w:val="003061A4"/>
    <w:rsid w:val="0030633C"/>
    <w:rsid w:val="0030677E"/>
    <w:rsid w:val="0030729F"/>
    <w:rsid w:val="00310E49"/>
    <w:rsid w:val="00311ECB"/>
    <w:rsid w:val="003126BA"/>
    <w:rsid w:val="00312DDD"/>
    <w:rsid w:val="00313574"/>
    <w:rsid w:val="00314014"/>
    <w:rsid w:val="00315000"/>
    <w:rsid w:val="00315B3B"/>
    <w:rsid w:val="00316B44"/>
    <w:rsid w:val="003176EA"/>
    <w:rsid w:val="00320002"/>
    <w:rsid w:val="0032120C"/>
    <w:rsid w:val="00321445"/>
    <w:rsid w:val="003225B9"/>
    <w:rsid w:val="00324A08"/>
    <w:rsid w:val="00326FC3"/>
    <w:rsid w:val="00327782"/>
    <w:rsid w:val="00327DF1"/>
    <w:rsid w:val="0033008D"/>
    <w:rsid w:val="00332711"/>
    <w:rsid w:val="00333623"/>
    <w:rsid w:val="00334C8D"/>
    <w:rsid w:val="003352C4"/>
    <w:rsid w:val="0033617A"/>
    <w:rsid w:val="00336227"/>
    <w:rsid w:val="0034017C"/>
    <w:rsid w:val="003407FF"/>
    <w:rsid w:val="00341D8E"/>
    <w:rsid w:val="00344211"/>
    <w:rsid w:val="003463CA"/>
    <w:rsid w:val="00350C23"/>
    <w:rsid w:val="0035252E"/>
    <w:rsid w:val="003531FA"/>
    <w:rsid w:val="00354831"/>
    <w:rsid w:val="003557CB"/>
    <w:rsid w:val="00355BE3"/>
    <w:rsid w:val="0035624A"/>
    <w:rsid w:val="00357FE0"/>
    <w:rsid w:val="003610DE"/>
    <w:rsid w:val="0036210B"/>
    <w:rsid w:val="003632C3"/>
    <w:rsid w:val="00365592"/>
    <w:rsid w:val="00365650"/>
    <w:rsid w:val="00366A9C"/>
    <w:rsid w:val="00370186"/>
    <w:rsid w:val="003714F7"/>
    <w:rsid w:val="00372DB7"/>
    <w:rsid w:val="00374BEC"/>
    <w:rsid w:val="00374D38"/>
    <w:rsid w:val="0038295D"/>
    <w:rsid w:val="0038336A"/>
    <w:rsid w:val="0038482E"/>
    <w:rsid w:val="003962CA"/>
    <w:rsid w:val="00396874"/>
    <w:rsid w:val="00397E4E"/>
    <w:rsid w:val="003A42E7"/>
    <w:rsid w:val="003A5A77"/>
    <w:rsid w:val="003A5B8E"/>
    <w:rsid w:val="003A789F"/>
    <w:rsid w:val="003B1A1B"/>
    <w:rsid w:val="003B5E09"/>
    <w:rsid w:val="003B6C2C"/>
    <w:rsid w:val="003B7571"/>
    <w:rsid w:val="003B7791"/>
    <w:rsid w:val="003C0F8B"/>
    <w:rsid w:val="003C3617"/>
    <w:rsid w:val="003C39C6"/>
    <w:rsid w:val="003C3F1A"/>
    <w:rsid w:val="003C6C44"/>
    <w:rsid w:val="003D3F6B"/>
    <w:rsid w:val="003D5C0C"/>
    <w:rsid w:val="003D613F"/>
    <w:rsid w:val="003D61A7"/>
    <w:rsid w:val="003D6841"/>
    <w:rsid w:val="003D6991"/>
    <w:rsid w:val="003E063B"/>
    <w:rsid w:val="003E4783"/>
    <w:rsid w:val="003E59F4"/>
    <w:rsid w:val="003E6907"/>
    <w:rsid w:val="003E7BE5"/>
    <w:rsid w:val="003F0DB9"/>
    <w:rsid w:val="003F14D4"/>
    <w:rsid w:val="003F6798"/>
    <w:rsid w:val="003F6C4D"/>
    <w:rsid w:val="00403E87"/>
    <w:rsid w:val="00406F34"/>
    <w:rsid w:val="00406F63"/>
    <w:rsid w:val="004116E0"/>
    <w:rsid w:val="00412FE6"/>
    <w:rsid w:val="00413379"/>
    <w:rsid w:val="004137D8"/>
    <w:rsid w:val="004155B8"/>
    <w:rsid w:val="004160AD"/>
    <w:rsid w:val="0041682D"/>
    <w:rsid w:val="00417061"/>
    <w:rsid w:val="00417077"/>
    <w:rsid w:val="00417EB4"/>
    <w:rsid w:val="0042132F"/>
    <w:rsid w:val="00423AFF"/>
    <w:rsid w:val="00424590"/>
    <w:rsid w:val="00424E86"/>
    <w:rsid w:val="00424E96"/>
    <w:rsid w:val="00425118"/>
    <w:rsid w:val="0042577F"/>
    <w:rsid w:val="004278A7"/>
    <w:rsid w:val="00427F87"/>
    <w:rsid w:val="00431096"/>
    <w:rsid w:val="00433A20"/>
    <w:rsid w:val="00434587"/>
    <w:rsid w:val="00435B92"/>
    <w:rsid w:val="0043627D"/>
    <w:rsid w:val="0043734A"/>
    <w:rsid w:val="004376DB"/>
    <w:rsid w:val="00437929"/>
    <w:rsid w:val="0044345A"/>
    <w:rsid w:val="004438CD"/>
    <w:rsid w:val="00443BEA"/>
    <w:rsid w:val="004444AD"/>
    <w:rsid w:val="00444FEC"/>
    <w:rsid w:val="00445AAA"/>
    <w:rsid w:val="004475A7"/>
    <w:rsid w:val="00450A15"/>
    <w:rsid w:val="00453530"/>
    <w:rsid w:val="00453841"/>
    <w:rsid w:val="00454E87"/>
    <w:rsid w:val="004562B3"/>
    <w:rsid w:val="00457C43"/>
    <w:rsid w:val="00462C65"/>
    <w:rsid w:val="004636E4"/>
    <w:rsid w:val="004644BA"/>
    <w:rsid w:val="00464F6C"/>
    <w:rsid w:val="00467E19"/>
    <w:rsid w:val="0047047D"/>
    <w:rsid w:val="00472CE6"/>
    <w:rsid w:val="004737E7"/>
    <w:rsid w:val="0047625A"/>
    <w:rsid w:val="00476CD0"/>
    <w:rsid w:val="004774AA"/>
    <w:rsid w:val="00480110"/>
    <w:rsid w:val="00480748"/>
    <w:rsid w:val="004807A4"/>
    <w:rsid w:val="004810DD"/>
    <w:rsid w:val="00483619"/>
    <w:rsid w:val="004840A4"/>
    <w:rsid w:val="0048579F"/>
    <w:rsid w:val="00487E03"/>
    <w:rsid w:val="00490A99"/>
    <w:rsid w:val="00491763"/>
    <w:rsid w:val="004921DC"/>
    <w:rsid w:val="004922A9"/>
    <w:rsid w:val="004927F9"/>
    <w:rsid w:val="00493CD6"/>
    <w:rsid w:val="004940B4"/>
    <w:rsid w:val="00497435"/>
    <w:rsid w:val="004A1A50"/>
    <w:rsid w:val="004A291D"/>
    <w:rsid w:val="004A2BC6"/>
    <w:rsid w:val="004A32EB"/>
    <w:rsid w:val="004A345C"/>
    <w:rsid w:val="004A3E3F"/>
    <w:rsid w:val="004A45E3"/>
    <w:rsid w:val="004A6FE6"/>
    <w:rsid w:val="004B1222"/>
    <w:rsid w:val="004B1504"/>
    <w:rsid w:val="004B2130"/>
    <w:rsid w:val="004B2DF4"/>
    <w:rsid w:val="004B2EF2"/>
    <w:rsid w:val="004B48C7"/>
    <w:rsid w:val="004B55F8"/>
    <w:rsid w:val="004B78B8"/>
    <w:rsid w:val="004C0DC5"/>
    <w:rsid w:val="004C2307"/>
    <w:rsid w:val="004C606E"/>
    <w:rsid w:val="004C790B"/>
    <w:rsid w:val="004D20D7"/>
    <w:rsid w:val="004D2985"/>
    <w:rsid w:val="004D2BE7"/>
    <w:rsid w:val="004D4EB3"/>
    <w:rsid w:val="004D56E9"/>
    <w:rsid w:val="004D6C2C"/>
    <w:rsid w:val="004D6D94"/>
    <w:rsid w:val="004D7CA2"/>
    <w:rsid w:val="004E4B95"/>
    <w:rsid w:val="004E5648"/>
    <w:rsid w:val="004E6174"/>
    <w:rsid w:val="004E6276"/>
    <w:rsid w:val="004E63E2"/>
    <w:rsid w:val="004F1F98"/>
    <w:rsid w:val="004F1F9E"/>
    <w:rsid w:val="004F3361"/>
    <w:rsid w:val="004F4746"/>
    <w:rsid w:val="004F6523"/>
    <w:rsid w:val="0050493D"/>
    <w:rsid w:val="00510410"/>
    <w:rsid w:val="005115EA"/>
    <w:rsid w:val="00514839"/>
    <w:rsid w:val="00515044"/>
    <w:rsid w:val="00516223"/>
    <w:rsid w:val="00517DFA"/>
    <w:rsid w:val="00520276"/>
    <w:rsid w:val="00520D46"/>
    <w:rsid w:val="00521A0C"/>
    <w:rsid w:val="00522267"/>
    <w:rsid w:val="00522BA3"/>
    <w:rsid w:val="005269F4"/>
    <w:rsid w:val="00530BDE"/>
    <w:rsid w:val="00530E55"/>
    <w:rsid w:val="00534521"/>
    <w:rsid w:val="00535CFB"/>
    <w:rsid w:val="00535E65"/>
    <w:rsid w:val="00535E7B"/>
    <w:rsid w:val="005362BB"/>
    <w:rsid w:val="00537614"/>
    <w:rsid w:val="00540543"/>
    <w:rsid w:val="00542A3D"/>
    <w:rsid w:val="00546AEA"/>
    <w:rsid w:val="005474AD"/>
    <w:rsid w:val="00547BF6"/>
    <w:rsid w:val="00547E5C"/>
    <w:rsid w:val="005500B5"/>
    <w:rsid w:val="00550C8F"/>
    <w:rsid w:val="0055421C"/>
    <w:rsid w:val="0055493A"/>
    <w:rsid w:val="005567BE"/>
    <w:rsid w:val="00556A98"/>
    <w:rsid w:val="005573E6"/>
    <w:rsid w:val="00560623"/>
    <w:rsid w:val="00561E9E"/>
    <w:rsid w:val="005620FD"/>
    <w:rsid w:val="00562C7E"/>
    <w:rsid w:val="00562CCE"/>
    <w:rsid w:val="00564445"/>
    <w:rsid w:val="005654C5"/>
    <w:rsid w:val="00565558"/>
    <w:rsid w:val="00565DA0"/>
    <w:rsid w:val="005673BE"/>
    <w:rsid w:val="005700D4"/>
    <w:rsid w:val="0057107B"/>
    <w:rsid w:val="0057176D"/>
    <w:rsid w:val="00571AF9"/>
    <w:rsid w:val="00571E36"/>
    <w:rsid w:val="00572347"/>
    <w:rsid w:val="00572914"/>
    <w:rsid w:val="00572A37"/>
    <w:rsid w:val="00572FCD"/>
    <w:rsid w:val="00575BEB"/>
    <w:rsid w:val="00580B0D"/>
    <w:rsid w:val="00581B2C"/>
    <w:rsid w:val="00584BF1"/>
    <w:rsid w:val="0058577F"/>
    <w:rsid w:val="00585C7C"/>
    <w:rsid w:val="005869F5"/>
    <w:rsid w:val="0058745D"/>
    <w:rsid w:val="00587715"/>
    <w:rsid w:val="005878E2"/>
    <w:rsid w:val="0059011B"/>
    <w:rsid w:val="00590169"/>
    <w:rsid w:val="005913B9"/>
    <w:rsid w:val="00594E8D"/>
    <w:rsid w:val="00597E30"/>
    <w:rsid w:val="005A010B"/>
    <w:rsid w:val="005A0DA1"/>
    <w:rsid w:val="005A0E68"/>
    <w:rsid w:val="005A2352"/>
    <w:rsid w:val="005A3D2B"/>
    <w:rsid w:val="005A3F2F"/>
    <w:rsid w:val="005A4002"/>
    <w:rsid w:val="005A43D8"/>
    <w:rsid w:val="005A52BD"/>
    <w:rsid w:val="005A5F38"/>
    <w:rsid w:val="005A61B3"/>
    <w:rsid w:val="005A63AF"/>
    <w:rsid w:val="005B294B"/>
    <w:rsid w:val="005B4036"/>
    <w:rsid w:val="005C3778"/>
    <w:rsid w:val="005C4ABE"/>
    <w:rsid w:val="005C6794"/>
    <w:rsid w:val="005C693B"/>
    <w:rsid w:val="005C6C1D"/>
    <w:rsid w:val="005D018E"/>
    <w:rsid w:val="005D200B"/>
    <w:rsid w:val="005D3434"/>
    <w:rsid w:val="005D4E24"/>
    <w:rsid w:val="005D55F9"/>
    <w:rsid w:val="005D61A6"/>
    <w:rsid w:val="005D71A3"/>
    <w:rsid w:val="005E21FC"/>
    <w:rsid w:val="005E4251"/>
    <w:rsid w:val="005E4F63"/>
    <w:rsid w:val="005E5E1E"/>
    <w:rsid w:val="005E5F59"/>
    <w:rsid w:val="005E7FAB"/>
    <w:rsid w:val="005F0AEE"/>
    <w:rsid w:val="005F13C6"/>
    <w:rsid w:val="005F28CD"/>
    <w:rsid w:val="005F3B4A"/>
    <w:rsid w:val="005F4C39"/>
    <w:rsid w:val="00600CB1"/>
    <w:rsid w:val="006032AB"/>
    <w:rsid w:val="00605AD2"/>
    <w:rsid w:val="00610265"/>
    <w:rsid w:val="00610A33"/>
    <w:rsid w:val="00611146"/>
    <w:rsid w:val="006121CB"/>
    <w:rsid w:val="00613779"/>
    <w:rsid w:val="0061486B"/>
    <w:rsid w:val="00623898"/>
    <w:rsid w:val="00625857"/>
    <w:rsid w:val="00627C49"/>
    <w:rsid w:val="006303A0"/>
    <w:rsid w:val="0063099B"/>
    <w:rsid w:val="00630FB3"/>
    <w:rsid w:val="00634110"/>
    <w:rsid w:val="00635169"/>
    <w:rsid w:val="006357DE"/>
    <w:rsid w:val="00636E0E"/>
    <w:rsid w:val="00640EA2"/>
    <w:rsid w:val="00642F32"/>
    <w:rsid w:val="00644E67"/>
    <w:rsid w:val="0064584E"/>
    <w:rsid w:val="006512B8"/>
    <w:rsid w:val="00653106"/>
    <w:rsid w:val="006547AC"/>
    <w:rsid w:val="00656294"/>
    <w:rsid w:val="006602EE"/>
    <w:rsid w:val="006619D4"/>
    <w:rsid w:val="00661B64"/>
    <w:rsid w:val="00661FAC"/>
    <w:rsid w:val="00665091"/>
    <w:rsid w:val="00665DD7"/>
    <w:rsid w:val="0066725D"/>
    <w:rsid w:val="0067370B"/>
    <w:rsid w:val="006821A0"/>
    <w:rsid w:val="00682B9A"/>
    <w:rsid w:val="0068425D"/>
    <w:rsid w:val="00684FFC"/>
    <w:rsid w:val="0068511B"/>
    <w:rsid w:val="00686893"/>
    <w:rsid w:val="00687455"/>
    <w:rsid w:val="00690729"/>
    <w:rsid w:val="00691557"/>
    <w:rsid w:val="00692A0D"/>
    <w:rsid w:val="006933E5"/>
    <w:rsid w:val="006935EB"/>
    <w:rsid w:val="00695D78"/>
    <w:rsid w:val="00695FAD"/>
    <w:rsid w:val="0069696F"/>
    <w:rsid w:val="00696C6D"/>
    <w:rsid w:val="006976F2"/>
    <w:rsid w:val="006A02E8"/>
    <w:rsid w:val="006A1416"/>
    <w:rsid w:val="006A199E"/>
    <w:rsid w:val="006A2005"/>
    <w:rsid w:val="006A244A"/>
    <w:rsid w:val="006A4E75"/>
    <w:rsid w:val="006A5719"/>
    <w:rsid w:val="006B08E1"/>
    <w:rsid w:val="006B0A14"/>
    <w:rsid w:val="006B0C02"/>
    <w:rsid w:val="006B12A8"/>
    <w:rsid w:val="006B2A27"/>
    <w:rsid w:val="006B4078"/>
    <w:rsid w:val="006B4665"/>
    <w:rsid w:val="006B4AAC"/>
    <w:rsid w:val="006B53E9"/>
    <w:rsid w:val="006B67E1"/>
    <w:rsid w:val="006B6BB7"/>
    <w:rsid w:val="006C0192"/>
    <w:rsid w:val="006C073C"/>
    <w:rsid w:val="006C0DCD"/>
    <w:rsid w:val="006C1BBA"/>
    <w:rsid w:val="006C1F42"/>
    <w:rsid w:val="006C286D"/>
    <w:rsid w:val="006C2AD4"/>
    <w:rsid w:val="006C33A3"/>
    <w:rsid w:val="006C52A5"/>
    <w:rsid w:val="006C6800"/>
    <w:rsid w:val="006D02B7"/>
    <w:rsid w:val="006D0F5F"/>
    <w:rsid w:val="006D29FA"/>
    <w:rsid w:val="006D2CE3"/>
    <w:rsid w:val="006D51BC"/>
    <w:rsid w:val="006D60B3"/>
    <w:rsid w:val="006D6A9F"/>
    <w:rsid w:val="006E2F4A"/>
    <w:rsid w:val="006E4834"/>
    <w:rsid w:val="006E5294"/>
    <w:rsid w:val="006E6D42"/>
    <w:rsid w:val="006F078C"/>
    <w:rsid w:val="006F1F2E"/>
    <w:rsid w:val="006F35DD"/>
    <w:rsid w:val="006F3D69"/>
    <w:rsid w:val="006F3E45"/>
    <w:rsid w:val="006F3F44"/>
    <w:rsid w:val="006F4CA4"/>
    <w:rsid w:val="006F6BB2"/>
    <w:rsid w:val="006F7AB1"/>
    <w:rsid w:val="006F7ECD"/>
    <w:rsid w:val="00700C38"/>
    <w:rsid w:val="00700D06"/>
    <w:rsid w:val="00701E70"/>
    <w:rsid w:val="00702DC0"/>
    <w:rsid w:val="00703D52"/>
    <w:rsid w:val="007054D9"/>
    <w:rsid w:val="00705694"/>
    <w:rsid w:val="00706CC0"/>
    <w:rsid w:val="00712E84"/>
    <w:rsid w:val="00713448"/>
    <w:rsid w:val="00714EBE"/>
    <w:rsid w:val="007172BB"/>
    <w:rsid w:val="00721D65"/>
    <w:rsid w:val="0072678E"/>
    <w:rsid w:val="00727EC5"/>
    <w:rsid w:val="00730D60"/>
    <w:rsid w:val="00731FF4"/>
    <w:rsid w:val="00733129"/>
    <w:rsid w:val="0073427E"/>
    <w:rsid w:val="00734A5A"/>
    <w:rsid w:val="007350D8"/>
    <w:rsid w:val="00736BA8"/>
    <w:rsid w:val="00736E12"/>
    <w:rsid w:val="0074020D"/>
    <w:rsid w:val="00741372"/>
    <w:rsid w:val="00744C57"/>
    <w:rsid w:val="0074582E"/>
    <w:rsid w:val="00745DD0"/>
    <w:rsid w:val="0074658A"/>
    <w:rsid w:val="00750EB7"/>
    <w:rsid w:val="007511A8"/>
    <w:rsid w:val="00751DE0"/>
    <w:rsid w:val="00752CF8"/>
    <w:rsid w:val="00753D0C"/>
    <w:rsid w:val="0075688F"/>
    <w:rsid w:val="007568B1"/>
    <w:rsid w:val="00756CD9"/>
    <w:rsid w:val="00761112"/>
    <w:rsid w:val="0076112C"/>
    <w:rsid w:val="00762195"/>
    <w:rsid w:val="0076363C"/>
    <w:rsid w:val="007642E8"/>
    <w:rsid w:val="00765386"/>
    <w:rsid w:val="00766F56"/>
    <w:rsid w:val="007711CE"/>
    <w:rsid w:val="00773585"/>
    <w:rsid w:val="007744EA"/>
    <w:rsid w:val="00774A21"/>
    <w:rsid w:val="00776FF2"/>
    <w:rsid w:val="00777056"/>
    <w:rsid w:val="00782D6F"/>
    <w:rsid w:val="007839A9"/>
    <w:rsid w:val="007840AD"/>
    <w:rsid w:val="00785B9E"/>
    <w:rsid w:val="00786155"/>
    <w:rsid w:val="00787204"/>
    <w:rsid w:val="0078761B"/>
    <w:rsid w:val="007876A1"/>
    <w:rsid w:val="00787ED4"/>
    <w:rsid w:val="0079108F"/>
    <w:rsid w:val="00793BED"/>
    <w:rsid w:val="0079612E"/>
    <w:rsid w:val="007A1BAA"/>
    <w:rsid w:val="007A1F0E"/>
    <w:rsid w:val="007A2D1B"/>
    <w:rsid w:val="007A605D"/>
    <w:rsid w:val="007A64F9"/>
    <w:rsid w:val="007A73AA"/>
    <w:rsid w:val="007A7A8A"/>
    <w:rsid w:val="007A7ECC"/>
    <w:rsid w:val="007B1490"/>
    <w:rsid w:val="007B1EC1"/>
    <w:rsid w:val="007B69A8"/>
    <w:rsid w:val="007B7165"/>
    <w:rsid w:val="007C3676"/>
    <w:rsid w:val="007C45C5"/>
    <w:rsid w:val="007C57A7"/>
    <w:rsid w:val="007C5FD7"/>
    <w:rsid w:val="007C7417"/>
    <w:rsid w:val="007D064D"/>
    <w:rsid w:val="007D0F35"/>
    <w:rsid w:val="007D1C51"/>
    <w:rsid w:val="007D3B32"/>
    <w:rsid w:val="007D3D2B"/>
    <w:rsid w:val="007D77F7"/>
    <w:rsid w:val="007E0DC4"/>
    <w:rsid w:val="007E146F"/>
    <w:rsid w:val="007E4445"/>
    <w:rsid w:val="007E6575"/>
    <w:rsid w:val="007E7B08"/>
    <w:rsid w:val="007F0A8D"/>
    <w:rsid w:val="007F10E7"/>
    <w:rsid w:val="007F1CBB"/>
    <w:rsid w:val="007F2AC2"/>
    <w:rsid w:val="007F2BA5"/>
    <w:rsid w:val="007F2EE2"/>
    <w:rsid w:val="007F40B1"/>
    <w:rsid w:val="007F439B"/>
    <w:rsid w:val="007F44F3"/>
    <w:rsid w:val="007F48B2"/>
    <w:rsid w:val="007F5036"/>
    <w:rsid w:val="008002CC"/>
    <w:rsid w:val="0080166A"/>
    <w:rsid w:val="00806D2A"/>
    <w:rsid w:val="008075D0"/>
    <w:rsid w:val="008105CD"/>
    <w:rsid w:val="00811613"/>
    <w:rsid w:val="00812456"/>
    <w:rsid w:val="008148AE"/>
    <w:rsid w:val="00820160"/>
    <w:rsid w:val="0082405D"/>
    <w:rsid w:val="0082447E"/>
    <w:rsid w:val="00824720"/>
    <w:rsid w:val="00826BB9"/>
    <w:rsid w:val="00827EA5"/>
    <w:rsid w:val="00830F4E"/>
    <w:rsid w:val="00831A5C"/>
    <w:rsid w:val="00836A65"/>
    <w:rsid w:val="0084161A"/>
    <w:rsid w:val="00841E69"/>
    <w:rsid w:val="00841FE8"/>
    <w:rsid w:val="00842ED5"/>
    <w:rsid w:val="0084314C"/>
    <w:rsid w:val="00844930"/>
    <w:rsid w:val="00844D1B"/>
    <w:rsid w:val="00846C5E"/>
    <w:rsid w:val="008520B4"/>
    <w:rsid w:val="0085213A"/>
    <w:rsid w:val="0085348E"/>
    <w:rsid w:val="008541AA"/>
    <w:rsid w:val="00855311"/>
    <w:rsid w:val="00855B4F"/>
    <w:rsid w:val="00860F97"/>
    <w:rsid w:val="00861C2E"/>
    <w:rsid w:val="00862D08"/>
    <w:rsid w:val="00862D09"/>
    <w:rsid w:val="00863E26"/>
    <w:rsid w:val="00864514"/>
    <w:rsid w:val="00865DA5"/>
    <w:rsid w:val="00866EE5"/>
    <w:rsid w:val="0086759E"/>
    <w:rsid w:val="008676C5"/>
    <w:rsid w:val="00870340"/>
    <w:rsid w:val="00870F8C"/>
    <w:rsid w:val="008710B3"/>
    <w:rsid w:val="00871212"/>
    <w:rsid w:val="0087247F"/>
    <w:rsid w:val="00874EBF"/>
    <w:rsid w:val="00883F2C"/>
    <w:rsid w:val="00884478"/>
    <w:rsid w:val="008844D8"/>
    <w:rsid w:val="00885432"/>
    <w:rsid w:val="008865A0"/>
    <w:rsid w:val="00890064"/>
    <w:rsid w:val="00890580"/>
    <w:rsid w:val="00891FCD"/>
    <w:rsid w:val="008930DD"/>
    <w:rsid w:val="00893354"/>
    <w:rsid w:val="00893B25"/>
    <w:rsid w:val="00894383"/>
    <w:rsid w:val="00895399"/>
    <w:rsid w:val="00896B99"/>
    <w:rsid w:val="008A0002"/>
    <w:rsid w:val="008A0CD0"/>
    <w:rsid w:val="008A2671"/>
    <w:rsid w:val="008A2D49"/>
    <w:rsid w:val="008A3931"/>
    <w:rsid w:val="008A5E5F"/>
    <w:rsid w:val="008B244F"/>
    <w:rsid w:val="008B27C9"/>
    <w:rsid w:val="008B4435"/>
    <w:rsid w:val="008B5FD1"/>
    <w:rsid w:val="008B6137"/>
    <w:rsid w:val="008C0CAA"/>
    <w:rsid w:val="008C0F20"/>
    <w:rsid w:val="008C19A4"/>
    <w:rsid w:val="008C1C38"/>
    <w:rsid w:val="008C3154"/>
    <w:rsid w:val="008C3836"/>
    <w:rsid w:val="008D0A6A"/>
    <w:rsid w:val="008D389A"/>
    <w:rsid w:val="008D39FC"/>
    <w:rsid w:val="008D5801"/>
    <w:rsid w:val="008D6066"/>
    <w:rsid w:val="008D69D0"/>
    <w:rsid w:val="008D767F"/>
    <w:rsid w:val="008E02D8"/>
    <w:rsid w:val="008E2115"/>
    <w:rsid w:val="008F017B"/>
    <w:rsid w:val="008F12CF"/>
    <w:rsid w:val="008F2632"/>
    <w:rsid w:val="008F5219"/>
    <w:rsid w:val="008F7451"/>
    <w:rsid w:val="008F79D8"/>
    <w:rsid w:val="00900D0A"/>
    <w:rsid w:val="00905539"/>
    <w:rsid w:val="00906101"/>
    <w:rsid w:val="0090635E"/>
    <w:rsid w:val="00906939"/>
    <w:rsid w:val="009070B4"/>
    <w:rsid w:val="0091029A"/>
    <w:rsid w:val="0091091F"/>
    <w:rsid w:val="0091170E"/>
    <w:rsid w:val="009122E4"/>
    <w:rsid w:val="009128A4"/>
    <w:rsid w:val="00912F07"/>
    <w:rsid w:val="00917853"/>
    <w:rsid w:val="0092010F"/>
    <w:rsid w:val="00920644"/>
    <w:rsid w:val="00920E1E"/>
    <w:rsid w:val="00923033"/>
    <w:rsid w:val="00924541"/>
    <w:rsid w:val="00925152"/>
    <w:rsid w:val="00925693"/>
    <w:rsid w:val="00925BA9"/>
    <w:rsid w:val="009265F9"/>
    <w:rsid w:val="00927F42"/>
    <w:rsid w:val="00930548"/>
    <w:rsid w:val="00934AAD"/>
    <w:rsid w:val="00934D27"/>
    <w:rsid w:val="00935056"/>
    <w:rsid w:val="0093593E"/>
    <w:rsid w:val="0093607A"/>
    <w:rsid w:val="00941803"/>
    <w:rsid w:val="009441C6"/>
    <w:rsid w:val="0095159B"/>
    <w:rsid w:val="0095174F"/>
    <w:rsid w:val="00953141"/>
    <w:rsid w:val="00954475"/>
    <w:rsid w:val="00955159"/>
    <w:rsid w:val="0095565C"/>
    <w:rsid w:val="00955DCB"/>
    <w:rsid w:val="00957109"/>
    <w:rsid w:val="00960231"/>
    <w:rsid w:val="0096171C"/>
    <w:rsid w:val="00962792"/>
    <w:rsid w:val="00962D68"/>
    <w:rsid w:val="00965883"/>
    <w:rsid w:val="00967F88"/>
    <w:rsid w:val="009704C7"/>
    <w:rsid w:val="00970A01"/>
    <w:rsid w:val="00970FAF"/>
    <w:rsid w:val="0097338E"/>
    <w:rsid w:val="0097761F"/>
    <w:rsid w:val="00977F6C"/>
    <w:rsid w:val="009804E5"/>
    <w:rsid w:val="00980B54"/>
    <w:rsid w:val="0098254C"/>
    <w:rsid w:val="009827EE"/>
    <w:rsid w:val="009834C1"/>
    <w:rsid w:val="0098422D"/>
    <w:rsid w:val="00985D35"/>
    <w:rsid w:val="00985DBD"/>
    <w:rsid w:val="009908DD"/>
    <w:rsid w:val="00990CD2"/>
    <w:rsid w:val="00992156"/>
    <w:rsid w:val="00992330"/>
    <w:rsid w:val="00992B6F"/>
    <w:rsid w:val="00993D9E"/>
    <w:rsid w:val="009942B1"/>
    <w:rsid w:val="0099735B"/>
    <w:rsid w:val="009A0546"/>
    <w:rsid w:val="009A094C"/>
    <w:rsid w:val="009A28A2"/>
    <w:rsid w:val="009A30A7"/>
    <w:rsid w:val="009A36F7"/>
    <w:rsid w:val="009A5747"/>
    <w:rsid w:val="009A66BA"/>
    <w:rsid w:val="009B0364"/>
    <w:rsid w:val="009B1C64"/>
    <w:rsid w:val="009B43A5"/>
    <w:rsid w:val="009B4F9E"/>
    <w:rsid w:val="009B4FA6"/>
    <w:rsid w:val="009C1D26"/>
    <w:rsid w:val="009C2EA6"/>
    <w:rsid w:val="009C5151"/>
    <w:rsid w:val="009C740F"/>
    <w:rsid w:val="009D2EAB"/>
    <w:rsid w:val="009D428B"/>
    <w:rsid w:val="009D42A9"/>
    <w:rsid w:val="009D4FCF"/>
    <w:rsid w:val="009D50E9"/>
    <w:rsid w:val="009D53BB"/>
    <w:rsid w:val="009D5490"/>
    <w:rsid w:val="009D79AD"/>
    <w:rsid w:val="009E16D0"/>
    <w:rsid w:val="009E189A"/>
    <w:rsid w:val="009E2193"/>
    <w:rsid w:val="009E3A84"/>
    <w:rsid w:val="009E5B45"/>
    <w:rsid w:val="009E672F"/>
    <w:rsid w:val="009E7B3E"/>
    <w:rsid w:val="009F0554"/>
    <w:rsid w:val="009F16EA"/>
    <w:rsid w:val="009F1851"/>
    <w:rsid w:val="009F1A26"/>
    <w:rsid w:val="009F1EF7"/>
    <w:rsid w:val="009F2D9C"/>
    <w:rsid w:val="009F3960"/>
    <w:rsid w:val="009F572C"/>
    <w:rsid w:val="009F6E21"/>
    <w:rsid w:val="009F7436"/>
    <w:rsid w:val="009F79DD"/>
    <w:rsid w:val="00A00D39"/>
    <w:rsid w:val="00A01DF4"/>
    <w:rsid w:val="00A02693"/>
    <w:rsid w:val="00A0410D"/>
    <w:rsid w:val="00A068C8"/>
    <w:rsid w:val="00A07610"/>
    <w:rsid w:val="00A0771F"/>
    <w:rsid w:val="00A12B8E"/>
    <w:rsid w:val="00A13343"/>
    <w:rsid w:val="00A15485"/>
    <w:rsid w:val="00A15BDE"/>
    <w:rsid w:val="00A16366"/>
    <w:rsid w:val="00A1696E"/>
    <w:rsid w:val="00A16E50"/>
    <w:rsid w:val="00A2058B"/>
    <w:rsid w:val="00A215CE"/>
    <w:rsid w:val="00A21606"/>
    <w:rsid w:val="00A21889"/>
    <w:rsid w:val="00A25189"/>
    <w:rsid w:val="00A2580C"/>
    <w:rsid w:val="00A25968"/>
    <w:rsid w:val="00A26999"/>
    <w:rsid w:val="00A27808"/>
    <w:rsid w:val="00A27D19"/>
    <w:rsid w:val="00A30912"/>
    <w:rsid w:val="00A32D15"/>
    <w:rsid w:val="00A332A9"/>
    <w:rsid w:val="00A34761"/>
    <w:rsid w:val="00A36B13"/>
    <w:rsid w:val="00A379FE"/>
    <w:rsid w:val="00A37D66"/>
    <w:rsid w:val="00A4037E"/>
    <w:rsid w:val="00A4427C"/>
    <w:rsid w:val="00A44CE3"/>
    <w:rsid w:val="00A44E38"/>
    <w:rsid w:val="00A451E8"/>
    <w:rsid w:val="00A4523D"/>
    <w:rsid w:val="00A46C74"/>
    <w:rsid w:val="00A51A19"/>
    <w:rsid w:val="00A529C6"/>
    <w:rsid w:val="00A53FD6"/>
    <w:rsid w:val="00A5451E"/>
    <w:rsid w:val="00A54821"/>
    <w:rsid w:val="00A55FAE"/>
    <w:rsid w:val="00A56D5B"/>
    <w:rsid w:val="00A57F97"/>
    <w:rsid w:val="00A60F5A"/>
    <w:rsid w:val="00A61211"/>
    <w:rsid w:val="00A6263F"/>
    <w:rsid w:val="00A62B19"/>
    <w:rsid w:val="00A64755"/>
    <w:rsid w:val="00A65866"/>
    <w:rsid w:val="00A65EE9"/>
    <w:rsid w:val="00A67B51"/>
    <w:rsid w:val="00A701DE"/>
    <w:rsid w:val="00A728F3"/>
    <w:rsid w:val="00A73921"/>
    <w:rsid w:val="00A75501"/>
    <w:rsid w:val="00A755C7"/>
    <w:rsid w:val="00A75B72"/>
    <w:rsid w:val="00A773B6"/>
    <w:rsid w:val="00A80483"/>
    <w:rsid w:val="00A80DBA"/>
    <w:rsid w:val="00A814A2"/>
    <w:rsid w:val="00A836F2"/>
    <w:rsid w:val="00A83925"/>
    <w:rsid w:val="00A840FF"/>
    <w:rsid w:val="00A84A00"/>
    <w:rsid w:val="00A926E9"/>
    <w:rsid w:val="00A92723"/>
    <w:rsid w:val="00A97EAF"/>
    <w:rsid w:val="00AA04AF"/>
    <w:rsid w:val="00AA0D0A"/>
    <w:rsid w:val="00AA29D6"/>
    <w:rsid w:val="00AA2CDA"/>
    <w:rsid w:val="00AA36D2"/>
    <w:rsid w:val="00AA396D"/>
    <w:rsid w:val="00AA52C2"/>
    <w:rsid w:val="00AA5ACE"/>
    <w:rsid w:val="00AA5C9A"/>
    <w:rsid w:val="00AA6B6C"/>
    <w:rsid w:val="00AA6D0D"/>
    <w:rsid w:val="00AB0164"/>
    <w:rsid w:val="00AB0B8A"/>
    <w:rsid w:val="00AB1249"/>
    <w:rsid w:val="00AB3424"/>
    <w:rsid w:val="00AB49BB"/>
    <w:rsid w:val="00AB4AD6"/>
    <w:rsid w:val="00AB59F3"/>
    <w:rsid w:val="00AB6BB3"/>
    <w:rsid w:val="00AC02F4"/>
    <w:rsid w:val="00AC148F"/>
    <w:rsid w:val="00AC158B"/>
    <w:rsid w:val="00AC1B13"/>
    <w:rsid w:val="00AC3ECC"/>
    <w:rsid w:val="00AC46D4"/>
    <w:rsid w:val="00AC7422"/>
    <w:rsid w:val="00AC7818"/>
    <w:rsid w:val="00AD09D2"/>
    <w:rsid w:val="00AD1250"/>
    <w:rsid w:val="00AD72C9"/>
    <w:rsid w:val="00AD7833"/>
    <w:rsid w:val="00AE16EC"/>
    <w:rsid w:val="00AE4E16"/>
    <w:rsid w:val="00AE6850"/>
    <w:rsid w:val="00AE79DE"/>
    <w:rsid w:val="00AF1BCC"/>
    <w:rsid w:val="00AF3D74"/>
    <w:rsid w:val="00AF76E8"/>
    <w:rsid w:val="00B00991"/>
    <w:rsid w:val="00B009D9"/>
    <w:rsid w:val="00B0273C"/>
    <w:rsid w:val="00B02AC3"/>
    <w:rsid w:val="00B049E7"/>
    <w:rsid w:val="00B05E4A"/>
    <w:rsid w:val="00B069D6"/>
    <w:rsid w:val="00B10607"/>
    <w:rsid w:val="00B11F92"/>
    <w:rsid w:val="00B133F5"/>
    <w:rsid w:val="00B137B9"/>
    <w:rsid w:val="00B17635"/>
    <w:rsid w:val="00B21965"/>
    <w:rsid w:val="00B2346B"/>
    <w:rsid w:val="00B2377B"/>
    <w:rsid w:val="00B24B5F"/>
    <w:rsid w:val="00B25CAA"/>
    <w:rsid w:val="00B306C9"/>
    <w:rsid w:val="00B315CD"/>
    <w:rsid w:val="00B31748"/>
    <w:rsid w:val="00B34BFE"/>
    <w:rsid w:val="00B36D28"/>
    <w:rsid w:val="00B37FFB"/>
    <w:rsid w:val="00B41B72"/>
    <w:rsid w:val="00B43003"/>
    <w:rsid w:val="00B43598"/>
    <w:rsid w:val="00B44F87"/>
    <w:rsid w:val="00B46C30"/>
    <w:rsid w:val="00B506A8"/>
    <w:rsid w:val="00B537EA"/>
    <w:rsid w:val="00B5441D"/>
    <w:rsid w:val="00B545DC"/>
    <w:rsid w:val="00B56C67"/>
    <w:rsid w:val="00B57B00"/>
    <w:rsid w:val="00B602A1"/>
    <w:rsid w:val="00B618C1"/>
    <w:rsid w:val="00B61CC6"/>
    <w:rsid w:val="00B65245"/>
    <w:rsid w:val="00B6551C"/>
    <w:rsid w:val="00B728CE"/>
    <w:rsid w:val="00B734C0"/>
    <w:rsid w:val="00B736AA"/>
    <w:rsid w:val="00B74862"/>
    <w:rsid w:val="00B74E68"/>
    <w:rsid w:val="00B76292"/>
    <w:rsid w:val="00B767D9"/>
    <w:rsid w:val="00B7796C"/>
    <w:rsid w:val="00B8008B"/>
    <w:rsid w:val="00B8032F"/>
    <w:rsid w:val="00B8143D"/>
    <w:rsid w:val="00B818F4"/>
    <w:rsid w:val="00B81CD9"/>
    <w:rsid w:val="00B828E4"/>
    <w:rsid w:val="00B82A45"/>
    <w:rsid w:val="00B841D5"/>
    <w:rsid w:val="00B84979"/>
    <w:rsid w:val="00B9222D"/>
    <w:rsid w:val="00B9334E"/>
    <w:rsid w:val="00BA03D2"/>
    <w:rsid w:val="00BA0B11"/>
    <w:rsid w:val="00BA2ED0"/>
    <w:rsid w:val="00BA3003"/>
    <w:rsid w:val="00BA366B"/>
    <w:rsid w:val="00BA4739"/>
    <w:rsid w:val="00BA5368"/>
    <w:rsid w:val="00BA6F4A"/>
    <w:rsid w:val="00BB0612"/>
    <w:rsid w:val="00BB10F7"/>
    <w:rsid w:val="00BB1C10"/>
    <w:rsid w:val="00BB20A5"/>
    <w:rsid w:val="00BB30A2"/>
    <w:rsid w:val="00BB310A"/>
    <w:rsid w:val="00BB3DB6"/>
    <w:rsid w:val="00BB4068"/>
    <w:rsid w:val="00BB4BC1"/>
    <w:rsid w:val="00BB75B2"/>
    <w:rsid w:val="00BB7674"/>
    <w:rsid w:val="00BC0167"/>
    <w:rsid w:val="00BC0C5F"/>
    <w:rsid w:val="00BC23D3"/>
    <w:rsid w:val="00BC2806"/>
    <w:rsid w:val="00BC47F7"/>
    <w:rsid w:val="00BC4D49"/>
    <w:rsid w:val="00BC5324"/>
    <w:rsid w:val="00BC534A"/>
    <w:rsid w:val="00BC5ABF"/>
    <w:rsid w:val="00BC6AEE"/>
    <w:rsid w:val="00BC6FB3"/>
    <w:rsid w:val="00BC72AB"/>
    <w:rsid w:val="00BD0FDF"/>
    <w:rsid w:val="00BD16C3"/>
    <w:rsid w:val="00BD2894"/>
    <w:rsid w:val="00BD2F51"/>
    <w:rsid w:val="00BD442A"/>
    <w:rsid w:val="00BD4453"/>
    <w:rsid w:val="00BD6420"/>
    <w:rsid w:val="00BD6BD9"/>
    <w:rsid w:val="00BD7225"/>
    <w:rsid w:val="00BE0745"/>
    <w:rsid w:val="00BE18BD"/>
    <w:rsid w:val="00BE28F1"/>
    <w:rsid w:val="00BE2B5F"/>
    <w:rsid w:val="00BE2F0D"/>
    <w:rsid w:val="00BE369A"/>
    <w:rsid w:val="00BE3885"/>
    <w:rsid w:val="00BE3E97"/>
    <w:rsid w:val="00BE43C3"/>
    <w:rsid w:val="00BE4EF1"/>
    <w:rsid w:val="00BE56A0"/>
    <w:rsid w:val="00BF1072"/>
    <w:rsid w:val="00BF32C2"/>
    <w:rsid w:val="00BF43B0"/>
    <w:rsid w:val="00BF5A4D"/>
    <w:rsid w:val="00BF6912"/>
    <w:rsid w:val="00C001B5"/>
    <w:rsid w:val="00C008F8"/>
    <w:rsid w:val="00C02807"/>
    <w:rsid w:val="00C02FEE"/>
    <w:rsid w:val="00C061BB"/>
    <w:rsid w:val="00C12BCE"/>
    <w:rsid w:val="00C14AB5"/>
    <w:rsid w:val="00C14CEB"/>
    <w:rsid w:val="00C15F1E"/>
    <w:rsid w:val="00C200E9"/>
    <w:rsid w:val="00C208A2"/>
    <w:rsid w:val="00C21274"/>
    <w:rsid w:val="00C2167F"/>
    <w:rsid w:val="00C21CE0"/>
    <w:rsid w:val="00C23CE5"/>
    <w:rsid w:val="00C24945"/>
    <w:rsid w:val="00C2554F"/>
    <w:rsid w:val="00C30640"/>
    <w:rsid w:val="00C30AC6"/>
    <w:rsid w:val="00C31EBC"/>
    <w:rsid w:val="00C320AF"/>
    <w:rsid w:val="00C32424"/>
    <w:rsid w:val="00C341A3"/>
    <w:rsid w:val="00C35E7E"/>
    <w:rsid w:val="00C35ECA"/>
    <w:rsid w:val="00C369CA"/>
    <w:rsid w:val="00C36ADF"/>
    <w:rsid w:val="00C40F6A"/>
    <w:rsid w:val="00C411DD"/>
    <w:rsid w:val="00C41E18"/>
    <w:rsid w:val="00C50184"/>
    <w:rsid w:val="00C503A7"/>
    <w:rsid w:val="00C51F2D"/>
    <w:rsid w:val="00C52DCD"/>
    <w:rsid w:val="00C530A8"/>
    <w:rsid w:val="00C54061"/>
    <w:rsid w:val="00C5445C"/>
    <w:rsid w:val="00C550DC"/>
    <w:rsid w:val="00C56EE9"/>
    <w:rsid w:val="00C61481"/>
    <w:rsid w:val="00C615C0"/>
    <w:rsid w:val="00C62401"/>
    <w:rsid w:val="00C62B9C"/>
    <w:rsid w:val="00C716C9"/>
    <w:rsid w:val="00C7401F"/>
    <w:rsid w:val="00C74CD9"/>
    <w:rsid w:val="00C75BB5"/>
    <w:rsid w:val="00C7738E"/>
    <w:rsid w:val="00C77822"/>
    <w:rsid w:val="00C7787C"/>
    <w:rsid w:val="00C8062F"/>
    <w:rsid w:val="00C81D6D"/>
    <w:rsid w:val="00C82BF7"/>
    <w:rsid w:val="00C839D2"/>
    <w:rsid w:val="00C84569"/>
    <w:rsid w:val="00C84AAE"/>
    <w:rsid w:val="00C86DC8"/>
    <w:rsid w:val="00C87E1F"/>
    <w:rsid w:val="00C92455"/>
    <w:rsid w:val="00C93E82"/>
    <w:rsid w:val="00C96137"/>
    <w:rsid w:val="00CA0458"/>
    <w:rsid w:val="00CA0740"/>
    <w:rsid w:val="00CA115D"/>
    <w:rsid w:val="00CA1ADE"/>
    <w:rsid w:val="00CA2698"/>
    <w:rsid w:val="00CA2C57"/>
    <w:rsid w:val="00CA32CF"/>
    <w:rsid w:val="00CA5F01"/>
    <w:rsid w:val="00CA6067"/>
    <w:rsid w:val="00CA627E"/>
    <w:rsid w:val="00CA6ABC"/>
    <w:rsid w:val="00CB2A6F"/>
    <w:rsid w:val="00CB4BB1"/>
    <w:rsid w:val="00CB5609"/>
    <w:rsid w:val="00CB595D"/>
    <w:rsid w:val="00CB69DE"/>
    <w:rsid w:val="00CB746D"/>
    <w:rsid w:val="00CB753B"/>
    <w:rsid w:val="00CC1A0C"/>
    <w:rsid w:val="00CC2A23"/>
    <w:rsid w:val="00CC3819"/>
    <w:rsid w:val="00CC7B60"/>
    <w:rsid w:val="00CD0BCC"/>
    <w:rsid w:val="00CD0D03"/>
    <w:rsid w:val="00CD3560"/>
    <w:rsid w:val="00CD394A"/>
    <w:rsid w:val="00CD49D6"/>
    <w:rsid w:val="00CD5621"/>
    <w:rsid w:val="00CD56F8"/>
    <w:rsid w:val="00CE058A"/>
    <w:rsid w:val="00CE34D1"/>
    <w:rsid w:val="00CE3980"/>
    <w:rsid w:val="00CE53B8"/>
    <w:rsid w:val="00CE5437"/>
    <w:rsid w:val="00CE5B12"/>
    <w:rsid w:val="00CF1278"/>
    <w:rsid w:val="00CF1689"/>
    <w:rsid w:val="00CF4645"/>
    <w:rsid w:val="00CF5DE8"/>
    <w:rsid w:val="00CF7631"/>
    <w:rsid w:val="00CF7D88"/>
    <w:rsid w:val="00D003CF"/>
    <w:rsid w:val="00D0312E"/>
    <w:rsid w:val="00D036D2"/>
    <w:rsid w:val="00D04519"/>
    <w:rsid w:val="00D13F1E"/>
    <w:rsid w:val="00D14226"/>
    <w:rsid w:val="00D16124"/>
    <w:rsid w:val="00D2076F"/>
    <w:rsid w:val="00D2181B"/>
    <w:rsid w:val="00D2267D"/>
    <w:rsid w:val="00D2371B"/>
    <w:rsid w:val="00D238A3"/>
    <w:rsid w:val="00D2649D"/>
    <w:rsid w:val="00D27CC4"/>
    <w:rsid w:val="00D319B4"/>
    <w:rsid w:val="00D323AA"/>
    <w:rsid w:val="00D34024"/>
    <w:rsid w:val="00D35363"/>
    <w:rsid w:val="00D3699A"/>
    <w:rsid w:val="00D374D2"/>
    <w:rsid w:val="00D41354"/>
    <w:rsid w:val="00D42237"/>
    <w:rsid w:val="00D458EA"/>
    <w:rsid w:val="00D45FCA"/>
    <w:rsid w:val="00D47878"/>
    <w:rsid w:val="00D5092F"/>
    <w:rsid w:val="00D50D0D"/>
    <w:rsid w:val="00D50E93"/>
    <w:rsid w:val="00D50F7A"/>
    <w:rsid w:val="00D510B1"/>
    <w:rsid w:val="00D52176"/>
    <w:rsid w:val="00D533D7"/>
    <w:rsid w:val="00D536E0"/>
    <w:rsid w:val="00D54F89"/>
    <w:rsid w:val="00D55542"/>
    <w:rsid w:val="00D559CF"/>
    <w:rsid w:val="00D568C0"/>
    <w:rsid w:val="00D60738"/>
    <w:rsid w:val="00D618E2"/>
    <w:rsid w:val="00D61FA4"/>
    <w:rsid w:val="00D6235B"/>
    <w:rsid w:val="00D62632"/>
    <w:rsid w:val="00D64451"/>
    <w:rsid w:val="00D6559E"/>
    <w:rsid w:val="00D67A65"/>
    <w:rsid w:val="00D70CA5"/>
    <w:rsid w:val="00D710C6"/>
    <w:rsid w:val="00D71260"/>
    <w:rsid w:val="00D717B1"/>
    <w:rsid w:val="00D71EA2"/>
    <w:rsid w:val="00D746A4"/>
    <w:rsid w:val="00D7570E"/>
    <w:rsid w:val="00D75B8B"/>
    <w:rsid w:val="00D8016D"/>
    <w:rsid w:val="00D81789"/>
    <w:rsid w:val="00D82035"/>
    <w:rsid w:val="00D82440"/>
    <w:rsid w:val="00D82B57"/>
    <w:rsid w:val="00D833F3"/>
    <w:rsid w:val="00D83A04"/>
    <w:rsid w:val="00D83B0A"/>
    <w:rsid w:val="00D905AA"/>
    <w:rsid w:val="00D918C9"/>
    <w:rsid w:val="00D91C80"/>
    <w:rsid w:val="00D92609"/>
    <w:rsid w:val="00D92B7C"/>
    <w:rsid w:val="00D94594"/>
    <w:rsid w:val="00D947A7"/>
    <w:rsid w:val="00D94947"/>
    <w:rsid w:val="00D95026"/>
    <w:rsid w:val="00D95DF1"/>
    <w:rsid w:val="00D96B44"/>
    <w:rsid w:val="00D96DB3"/>
    <w:rsid w:val="00D96ED3"/>
    <w:rsid w:val="00DA36EA"/>
    <w:rsid w:val="00DA6BFA"/>
    <w:rsid w:val="00DA7967"/>
    <w:rsid w:val="00DA7B73"/>
    <w:rsid w:val="00DB020E"/>
    <w:rsid w:val="00DB15DE"/>
    <w:rsid w:val="00DB16C4"/>
    <w:rsid w:val="00DB2E1F"/>
    <w:rsid w:val="00DB3262"/>
    <w:rsid w:val="00DB579C"/>
    <w:rsid w:val="00DB5804"/>
    <w:rsid w:val="00DB7981"/>
    <w:rsid w:val="00DC1342"/>
    <w:rsid w:val="00DC4A05"/>
    <w:rsid w:val="00DC6031"/>
    <w:rsid w:val="00DC6B6E"/>
    <w:rsid w:val="00DD0E62"/>
    <w:rsid w:val="00DD1064"/>
    <w:rsid w:val="00DD19F7"/>
    <w:rsid w:val="00DD37C5"/>
    <w:rsid w:val="00DD3A1C"/>
    <w:rsid w:val="00DD3D89"/>
    <w:rsid w:val="00DD4950"/>
    <w:rsid w:val="00DD4BED"/>
    <w:rsid w:val="00DD4D97"/>
    <w:rsid w:val="00DD54E8"/>
    <w:rsid w:val="00DD5521"/>
    <w:rsid w:val="00DD6156"/>
    <w:rsid w:val="00DE011D"/>
    <w:rsid w:val="00DE03B1"/>
    <w:rsid w:val="00DE20CE"/>
    <w:rsid w:val="00DE5680"/>
    <w:rsid w:val="00DE6FE0"/>
    <w:rsid w:val="00DE72F4"/>
    <w:rsid w:val="00DE78DA"/>
    <w:rsid w:val="00DE7B00"/>
    <w:rsid w:val="00DF2291"/>
    <w:rsid w:val="00DF3DD6"/>
    <w:rsid w:val="00DF5470"/>
    <w:rsid w:val="00DF7A2C"/>
    <w:rsid w:val="00E0049E"/>
    <w:rsid w:val="00E01EFE"/>
    <w:rsid w:val="00E03681"/>
    <w:rsid w:val="00E04857"/>
    <w:rsid w:val="00E05274"/>
    <w:rsid w:val="00E054C1"/>
    <w:rsid w:val="00E0758F"/>
    <w:rsid w:val="00E11DFE"/>
    <w:rsid w:val="00E13628"/>
    <w:rsid w:val="00E13726"/>
    <w:rsid w:val="00E14BF2"/>
    <w:rsid w:val="00E152BC"/>
    <w:rsid w:val="00E1573C"/>
    <w:rsid w:val="00E17D97"/>
    <w:rsid w:val="00E218B6"/>
    <w:rsid w:val="00E25CE1"/>
    <w:rsid w:val="00E27A21"/>
    <w:rsid w:val="00E30321"/>
    <w:rsid w:val="00E31E55"/>
    <w:rsid w:val="00E32A4B"/>
    <w:rsid w:val="00E32B0A"/>
    <w:rsid w:val="00E32E32"/>
    <w:rsid w:val="00E3470A"/>
    <w:rsid w:val="00E36901"/>
    <w:rsid w:val="00E37973"/>
    <w:rsid w:val="00E37D6C"/>
    <w:rsid w:val="00E37F71"/>
    <w:rsid w:val="00E4117C"/>
    <w:rsid w:val="00E41C78"/>
    <w:rsid w:val="00E43C0F"/>
    <w:rsid w:val="00E44467"/>
    <w:rsid w:val="00E44963"/>
    <w:rsid w:val="00E4566C"/>
    <w:rsid w:val="00E46977"/>
    <w:rsid w:val="00E46B4B"/>
    <w:rsid w:val="00E50696"/>
    <w:rsid w:val="00E50801"/>
    <w:rsid w:val="00E51BBB"/>
    <w:rsid w:val="00E51CA8"/>
    <w:rsid w:val="00E53E07"/>
    <w:rsid w:val="00E54E84"/>
    <w:rsid w:val="00E5796C"/>
    <w:rsid w:val="00E57A2E"/>
    <w:rsid w:val="00E60B62"/>
    <w:rsid w:val="00E62F35"/>
    <w:rsid w:val="00E6323D"/>
    <w:rsid w:val="00E63BB6"/>
    <w:rsid w:val="00E6474E"/>
    <w:rsid w:val="00E67373"/>
    <w:rsid w:val="00E70802"/>
    <w:rsid w:val="00E71F3F"/>
    <w:rsid w:val="00E757F1"/>
    <w:rsid w:val="00E77125"/>
    <w:rsid w:val="00E803F3"/>
    <w:rsid w:val="00E80459"/>
    <w:rsid w:val="00E81714"/>
    <w:rsid w:val="00E82B8B"/>
    <w:rsid w:val="00E82E30"/>
    <w:rsid w:val="00E831C9"/>
    <w:rsid w:val="00E84436"/>
    <w:rsid w:val="00E859FC"/>
    <w:rsid w:val="00E87774"/>
    <w:rsid w:val="00E87E1A"/>
    <w:rsid w:val="00E905FB"/>
    <w:rsid w:val="00E908C3"/>
    <w:rsid w:val="00E90E4A"/>
    <w:rsid w:val="00E91AAE"/>
    <w:rsid w:val="00E91E5E"/>
    <w:rsid w:val="00E92502"/>
    <w:rsid w:val="00E934B4"/>
    <w:rsid w:val="00E93B95"/>
    <w:rsid w:val="00E94C30"/>
    <w:rsid w:val="00E9552C"/>
    <w:rsid w:val="00E97434"/>
    <w:rsid w:val="00EA0245"/>
    <w:rsid w:val="00EA1C88"/>
    <w:rsid w:val="00EA2E8B"/>
    <w:rsid w:val="00EA3325"/>
    <w:rsid w:val="00EA4480"/>
    <w:rsid w:val="00EA4AA6"/>
    <w:rsid w:val="00EA6D52"/>
    <w:rsid w:val="00EB1C93"/>
    <w:rsid w:val="00EB2968"/>
    <w:rsid w:val="00EB4AE7"/>
    <w:rsid w:val="00EB538D"/>
    <w:rsid w:val="00EB6086"/>
    <w:rsid w:val="00EB665F"/>
    <w:rsid w:val="00EB6766"/>
    <w:rsid w:val="00EC05BC"/>
    <w:rsid w:val="00EC2D31"/>
    <w:rsid w:val="00EC2F98"/>
    <w:rsid w:val="00EC745B"/>
    <w:rsid w:val="00ED0421"/>
    <w:rsid w:val="00ED0D81"/>
    <w:rsid w:val="00ED1236"/>
    <w:rsid w:val="00ED207F"/>
    <w:rsid w:val="00ED269A"/>
    <w:rsid w:val="00ED292E"/>
    <w:rsid w:val="00ED5D03"/>
    <w:rsid w:val="00ED6683"/>
    <w:rsid w:val="00ED7472"/>
    <w:rsid w:val="00ED77D5"/>
    <w:rsid w:val="00ED79C3"/>
    <w:rsid w:val="00EE014F"/>
    <w:rsid w:val="00EE0CC6"/>
    <w:rsid w:val="00EE1697"/>
    <w:rsid w:val="00EE1A5B"/>
    <w:rsid w:val="00EE205B"/>
    <w:rsid w:val="00EE5057"/>
    <w:rsid w:val="00EE5518"/>
    <w:rsid w:val="00EF0B4B"/>
    <w:rsid w:val="00EF1648"/>
    <w:rsid w:val="00EF1E61"/>
    <w:rsid w:val="00EF3DF0"/>
    <w:rsid w:val="00EF47B9"/>
    <w:rsid w:val="00EF55B7"/>
    <w:rsid w:val="00EF655A"/>
    <w:rsid w:val="00EF738C"/>
    <w:rsid w:val="00EF7F59"/>
    <w:rsid w:val="00F01660"/>
    <w:rsid w:val="00F016EF"/>
    <w:rsid w:val="00F01A4A"/>
    <w:rsid w:val="00F020E5"/>
    <w:rsid w:val="00F05B03"/>
    <w:rsid w:val="00F07395"/>
    <w:rsid w:val="00F12C4F"/>
    <w:rsid w:val="00F1484A"/>
    <w:rsid w:val="00F14B9B"/>
    <w:rsid w:val="00F15DD5"/>
    <w:rsid w:val="00F1778F"/>
    <w:rsid w:val="00F20305"/>
    <w:rsid w:val="00F22AF0"/>
    <w:rsid w:val="00F244FD"/>
    <w:rsid w:val="00F24D90"/>
    <w:rsid w:val="00F259F4"/>
    <w:rsid w:val="00F32FF8"/>
    <w:rsid w:val="00F33676"/>
    <w:rsid w:val="00F33F3D"/>
    <w:rsid w:val="00F344C2"/>
    <w:rsid w:val="00F3564C"/>
    <w:rsid w:val="00F3595B"/>
    <w:rsid w:val="00F35AA6"/>
    <w:rsid w:val="00F3728D"/>
    <w:rsid w:val="00F4054F"/>
    <w:rsid w:val="00F41612"/>
    <w:rsid w:val="00F41614"/>
    <w:rsid w:val="00F4196D"/>
    <w:rsid w:val="00F4200A"/>
    <w:rsid w:val="00F4341D"/>
    <w:rsid w:val="00F4420E"/>
    <w:rsid w:val="00F454FF"/>
    <w:rsid w:val="00F46778"/>
    <w:rsid w:val="00F46B86"/>
    <w:rsid w:val="00F500B8"/>
    <w:rsid w:val="00F502D8"/>
    <w:rsid w:val="00F509AE"/>
    <w:rsid w:val="00F51614"/>
    <w:rsid w:val="00F53465"/>
    <w:rsid w:val="00F53AA3"/>
    <w:rsid w:val="00F54426"/>
    <w:rsid w:val="00F57F49"/>
    <w:rsid w:val="00F60297"/>
    <w:rsid w:val="00F60A30"/>
    <w:rsid w:val="00F6194E"/>
    <w:rsid w:val="00F620AD"/>
    <w:rsid w:val="00F62135"/>
    <w:rsid w:val="00F6260A"/>
    <w:rsid w:val="00F62BD6"/>
    <w:rsid w:val="00F63D6A"/>
    <w:rsid w:val="00F63F7E"/>
    <w:rsid w:val="00F650B7"/>
    <w:rsid w:val="00F65440"/>
    <w:rsid w:val="00F656B6"/>
    <w:rsid w:val="00F65D41"/>
    <w:rsid w:val="00F66416"/>
    <w:rsid w:val="00F6739B"/>
    <w:rsid w:val="00F67467"/>
    <w:rsid w:val="00F67D55"/>
    <w:rsid w:val="00F70D1A"/>
    <w:rsid w:val="00F71355"/>
    <w:rsid w:val="00F72D1B"/>
    <w:rsid w:val="00F744D7"/>
    <w:rsid w:val="00F74CAB"/>
    <w:rsid w:val="00F756DF"/>
    <w:rsid w:val="00F80334"/>
    <w:rsid w:val="00F81067"/>
    <w:rsid w:val="00F81637"/>
    <w:rsid w:val="00F81DBE"/>
    <w:rsid w:val="00F82002"/>
    <w:rsid w:val="00F82598"/>
    <w:rsid w:val="00F82AE2"/>
    <w:rsid w:val="00F8410F"/>
    <w:rsid w:val="00F85244"/>
    <w:rsid w:val="00F8678B"/>
    <w:rsid w:val="00F8796C"/>
    <w:rsid w:val="00F902BC"/>
    <w:rsid w:val="00F92293"/>
    <w:rsid w:val="00F93B04"/>
    <w:rsid w:val="00F9505D"/>
    <w:rsid w:val="00F96588"/>
    <w:rsid w:val="00F96D5F"/>
    <w:rsid w:val="00F97016"/>
    <w:rsid w:val="00F97C11"/>
    <w:rsid w:val="00F97F6A"/>
    <w:rsid w:val="00FA3709"/>
    <w:rsid w:val="00FA3C0F"/>
    <w:rsid w:val="00FA5645"/>
    <w:rsid w:val="00FA59CC"/>
    <w:rsid w:val="00FB1944"/>
    <w:rsid w:val="00FB1987"/>
    <w:rsid w:val="00FB34AE"/>
    <w:rsid w:val="00FB5841"/>
    <w:rsid w:val="00FC0AED"/>
    <w:rsid w:val="00FC0DDA"/>
    <w:rsid w:val="00FC1029"/>
    <w:rsid w:val="00FC4134"/>
    <w:rsid w:val="00FC427F"/>
    <w:rsid w:val="00FC4517"/>
    <w:rsid w:val="00FC7970"/>
    <w:rsid w:val="00FC7FA7"/>
    <w:rsid w:val="00FD0699"/>
    <w:rsid w:val="00FD3144"/>
    <w:rsid w:val="00FE0919"/>
    <w:rsid w:val="00FE2D9E"/>
    <w:rsid w:val="00FE2FCF"/>
    <w:rsid w:val="00FE31A2"/>
    <w:rsid w:val="00FE45E5"/>
    <w:rsid w:val="00FF2141"/>
    <w:rsid w:val="00FF34D1"/>
    <w:rsid w:val="00FF51B0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487A"/>
  <w15:chartTrackingRefBased/>
  <w15:docId w15:val="{7DFEA4F7-97FD-4CD1-9A94-4AA2683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094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094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A0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036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036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036D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25CE1"/>
    <w:pPr>
      <w:ind w:left="720"/>
      <w:contextualSpacing/>
    </w:pPr>
  </w:style>
  <w:style w:type="paragraph" w:styleId="Reviso">
    <w:name w:val="Revision"/>
    <w:hidden/>
    <w:uiPriority w:val="99"/>
    <w:semiHidden/>
    <w:rsid w:val="009942B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A4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AA6"/>
  </w:style>
  <w:style w:type="paragraph" w:styleId="Rodap">
    <w:name w:val="footer"/>
    <w:basedOn w:val="Normal"/>
    <w:link w:val="RodapChar"/>
    <w:uiPriority w:val="99"/>
    <w:unhideWhenUsed/>
    <w:rsid w:val="00EA4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AA6"/>
  </w:style>
  <w:style w:type="paragraph" w:customStyle="1" w:styleId="xmsonormal">
    <w:name w:val="x_msonormal"/>
    <w:basedOn w:val="Normal"/>
    <w:rsid w:val="0066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5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agrostat.agricultura.gov.b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agrostat.agricultura.gov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4555E-CC33-41A7-A387-D861724B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18</Pages>
  <Words>7721</Words>
  <Characters>41694</Characters>
  <Application>Microsoft Office Word</Application>
  <DocSecurity>0</DocSecurity>
  <Lines>347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CGEA</dc:creator>
  <cp:keywords/>
  <dc:description/>
  <cp:lastModifiedBy>Aline Gomes de Almeida Gastardelo</cp:lastModifiedBy>
  <cp:revision>12</cp:revision>
  <dcterms:created xsi:type="dcterms:W3CDTF">2023-11-13T12:12:00Z</dcterms:created>
  <dcterms:modified xsi:type="dcterms:W3CDTF">2023-11-13T14:35:00Z</dcterms:modified>
</cp:coreProperties>
</file>