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02" w:rsidRPr="00826906" w:rsidRDefault="00C87B02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826906">
        <w:rPr>
          <w:rFonts w:ascii="Arial" w:hAnsi="Arial" w:cs="Arial"/>
          <w:b/>
        </w:rPr>
        <w:t>MINISTÉRIO DA AGRICULTURA, PECUÁRIA E ABASTECIMENTO</w:t>
      </w:r>
    </w:p>
    <w:p w:rsidR="00C87B02" w:rsidRPr="00826906" w:rsidRDefault="00C87B02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826906">
        <w:rPr>
          <w:rFonts w:ascii="Arial" w:hAnsi="Arial" w:cs="Arial"/>
          <w:b/>
        </w:rPr>
        <w:t>Secretaria de Relações Internacionais do Agronegócio</w:t>
      </w:r>
    </w:p>
    <w:p w:rsidR="00C87B02" w:rsidRPr="00826906" w:rsidRDefault="00C87B02">
      <w:pPr>
        <w:pStyle w:val="Ttulo1"/>
        <w:rPr>
          <w:rFonts w:ascii="Arial" w:hAnsi="Arial" w:cs="Arial"/>
          <w:sz w:val="20"/>
          <w:szCs w:val="20"/>
        </w:rPr>
      </w:pPr>
    </w:p>
    <w:p w:rsidR="00C87B02" w:rsidRPr="00826906" w:rsidRDefault="00C87B02">
      <w:pPr>
        <w:pStyle w:val="Ttulo1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Balança Comercial do Agronegócio – </w:t>
      </w:r>
      <w:r w:rsidR="00A87ED0">
        <w:rPr>
          <w:rFonts w:ascii="Arial" w:hAnsi="Arial" w:cs="Arial"/>
          <w:sz w:val="20"/>
          <w:szCs w:val="20"/>
        </w:rPr>
        <w:t>Maio</w:t>
      </w:r>
      <w:r w:rsidR="007763E5">
        <w:rPr>
          <w:rFonts w:ascii="Arial" w:hAnsi="Arial" w:cs="Arial"/>
          <w:sz w:val="20"/>
          <w:szCs w:val="20"/>
        </w:rPr>
        <w:t>/2018</w:t>
      </w:r>
    </w:p>
    <w:p w:rsidR="008035E6" w:rsidRPr="00826906" w:rsidRDefault="008035E6" w:rsidP="008035E6">
      <w:pPr>
        <w:rPr>
          <w:rFonts w:ascii="Arial" w:hAnsi="Arial" w:cs="Arial"/>
        </w:rPr>
      </w:pPr>
    </w:p>
    <w:p w:rsidR="008035E6" w:rsidRPr="00826906" w:rsidRDefault="00A87ED0" w:rsidP="008035E6">
      <w:pPr>
        <w:rPr>
          <w:rFonts w:ascii="Arial" w:hAnsi="Arial" w:cs="Arial"/>
        </w:rPr>
      </w:pPr>
      <w:r w:rsidRPr="00A87ED0">
        <w:rPr>
          <w:noProof/>
        </w:rPr>
        <w:drawing>
          <wp:inline distT="0" distB="0" distL="0" distR="0" wp14:anchorId="3AC1DAE8" wp14:editId="6CF72ACB">
            <wp:extent cx="6480175" cy="30518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B02" w:rsidRPr="00826906" w:rsidRDefault="00C87B02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E04FAF" w:rsidRPr="00826906" w:rsidRDefault="00E04FAF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C87B02" w:rsidRDefault="00C87B02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I </w:t>
      </w:r>
      <w:r w:rsidR="001D51EE" w:rsidRPr="00826906">
        <w:rPr>
          <w:rFonts w:ascii="Arial" w:hAnsi="Arial" w:cs="Arial"/>
          <w:sz w:val="20"/>
          <w:szCs w:val="20"/>
        </w:rPr>
        <w:t>–</w:t>
      </w:r>
      <w:r w:rsidRPr="00826906">
        <w:rPr>
          <w:rFonts w:ascii="Arial" w:hAnsi="Arial" w:cs="Arial"/>
          <w:sz w:val="20"/>
          <w:szCs w:val="20"/>
        </w:rPr>
        <w:t xml:space="preserve"> Resultados do mês</w:t>
      </w:r>
      <w:r w:rsidR="004215B4" w:rsidRPr="00826906">
        <w:rPr>
          <w:rFonts w:ascii="Arial" w:hAnsi="Arial" w:cs="Arial"/>
          <w:sz w:val="20"/>
          <w:szCs w:val="20"/>
        </w:rPr>
        <w:t xml:space="preserve"> (comparativo </w:t>
      </w:r>
      <w:r w:rsidR="00A87ED0">
        <w:rPr>
          <w:rFonts w:ascii="Arial" w:hAnsi="Arial" w:cs="Arial"/>
          <w:sz w:val="20"/>
          <w:szCs w:val="20"/>
        </w:rPr>
        <w:t>Maio</w:t>
      </w:r>
      <w:r w:rsidR="007763E5">
        <w:rPr>
          <w:rFonts w:ascii="Arial" w:hAnsi="Arial" w:cs="Arial"/>
          <w:sz w:val="20"/>
          <w:szCs w:val="20"/>
        </w:rPr>
        <w:t>/2018</w:t>
      </w:r>
      <w:r w:rsidR="00D50BB5" w:rsidRPr="00826906">
        <w:rPr>
          <w:rFonts w:ascii="Arial" w:hAnsi="Arial" w:cs="Arial"/>
          <w:sz w:val="20"/>
          <w:szCs w:val="20"/>
        </w:rPr>
        <w:t xml:space="preserve"> – </w:t>
      </w:r>
      <w:r w:rsidR="00A87ED0">
        <w:rPr>
          <w:rFonts w:ascii="Arial" w:hAnsi="Arial" w:cs="Arial"/>
          <w:sz w:val="20"/>
          <w:szCs w:val="20"/>
        </w:rPr>
        <w:t>Maio</w:t>
      </w:r>
      <w:r w:rsidR="00171A0D" w:rsidRPr="00826906">
        <w:rPr>
          <w:rFonts w:ascii="Arial" w:hAnsi="Arial" w:cs="Arial"/>
          <w:sz w:val="20"/>
          <w:szCs w:val="20"/>
        </w:rPr>
        <w:t>/</w:t>
      </w:r>
      <w:r w:rsidR="007763E5">
        <w:rPr>
          <w:rFonts w:ascii="Arial" w:hAnsi="Arial" w:cs="Arial"/>
          <w:sz w:val="20"/>
          <w:szCs w:val="20"/>
        </w:rPr>
        <w:t>2017</w:t>
      </w:r>
      <w:r w:rsidR="001D51EE" w:rsidRPr="00826906">
        <w:rPr>
          <w:rFonts w:ascii="Arial" w:hAnsi="Arial" w:cs="Arial"/>
          <w:sz w:val="20"/>
          <w:szCs w:val="20"/>
        </w:rPr>
        <w:t>)</w:t>
      </w:r>
    </w:p>
    <w:p w:rsidR="002101DA" w:rsidRDefault="002101DA" w:rsidP="002101DA"/>
    <w:p w:rsidR="002101DA" w:rsidRPr="000E47B8" w:rsidRDefault="002101DA" w:rsidP="002101DA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 xml:space="preserve">As exportações brasileiras de produtos do agronegócio atingiram US$ 9,97 bilhões em maio de 2018, cifra 3,0% superior ao valor registrado em igual mês do ano anterior. Esse aumento atribui-se à elevação de 1,3% no índice de preço e de 2,0% em </w:t>
      </w:r>
      <w:r w:rsidRPr="000E47B8">
        <w:rPr>
          <w:rFonts w:ascii="Arial" w:hAnsi="Arial" w:cs="Arial"/>
          <w:i/>
          <w:sz w:val="20"/>
          <w:szCs w:val="20"/>
        </w:rPr>
        <w:t>quantum</w:t>
      </w:r>
      <w:r w:rsidRPr="000E47B8">
        <w:rPr>
          <w:rFonts w:ascii="Arial" w:hAnsi="Arial" w:cs="Arial"/>
          <w:sz w:val="20"/>
          <w:szCs w:val="20"/>
        </w:rPr>
        <w:t>. Para meses de maio, esse foi o terceiro maior valor da série histórica iniciada em 1997, situando-se abaixo apenas de 2012 e 2013. O número representou 51,8% das exportações totais brasileiras, superando o percentual de maio de 2017, de 48,9%. A sazonalidade do escoamento da soja, cujo auge normalmente é atingido nesse período, explica o elevado montante registrado na exportação do mês.</w:t>
      </w:r>
    </w:p>
    <w:p w:rsidR="002101DA" w:rsidRPr="000E47B8" w:rsidRDefault="002101DA" w:rsidP="002101DA">
      <w:pPr>
        <w:pStyle w:val="Recuodecorpodetexto"/>
        <w:rPr>
          <w:rFonts w:ascii="Arial" w:hAnsi="Arial" w:cs="Arial"/>
          <w:sz w:val="20"/>
          <w:szCs w:val="20"/>
        </w:rPr>
      </w:pPr>
    </w:p>
    <w:p w:rsidR="002101DA" w:rsidRPr="000E47B8" w:rsidRDefault="002101DA" w:rsidP="002101DA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 xml:space="preserve">Já as importações assinalaram queda de 16,5%, recuando de US$ 1,30 bilhão em maio de 2017 para US$ 1,08 bilhão em maio deste ano. O decréscimo de 16,7% no índice de </w:t>
      </w:r>
      <w:r w:rsidRPr="000E47B8">
        <w:rPr>
          <w:rFonts w:ascii="Arial" w:hAnsi="Arial" w:cs="Arial"/>
          <w:i/>
          <w:sz w:val="20"/>
          <w:szCs w:val="20"/>
        </w:rPr>
        <w:t>quantum</w:t>
      </w:r>
      <w:r w:rsidRPr="000E47B8">
        <w:rPr>
          <w:rFonts w:ascii="Arial" w:hAnsi="Arial" w:cs="Arial"/>
          <w:sz w:val="20"/>
          <w:szCs w:val="20"/>
        </w:rPr>
        <w:t xml:space="preserve"> foi determinante para esse resultado, uma vez o índice de preço manteve-se praticamente estável (+0,2%).</w:t>
      </w:r>
    </w:p>
    <w:p w:rsidR="002101DA" w:rsidRPr="000E47B8" w:rsidRDefault="002101DA" w:rsidP="002101DA">
      <w:pPr>
        <w:pStyle w:val="Recuodecorpodetexto"/>
        <w:rPr>
          <w:rFonts w:ascii="Arial" w:hAnsi="Arial" w:cs="Arial"/>
          <w:sz w:val="20"/>
          <w:szCs w:val="20"/>
        </w:rPr>
      </w:pPr>
    </w:p>
    <w:p w:rsidR="002101DA" w:rsidRDefault="002101DA" w:rsidP="002101DA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Como consequência desses resultados, a balança comercial de produtos agropecuários registrou elevação no superávit comercial, passando de US$ 8,38 bilhões para US$ 8,88 bilhões, consolidando o segundo maior saldo da série histórica, para meses de maio, muito próximo do registrado em 2012, que chegou a US$ 8,92 bilhões</w:t>
      </w:r>
      <w:r>
        <w:rPr>
          <w:rFonts w:ascii="Arial" w:hAnsi="Arial" w:cs="Arial"/>
          <w:sz w:val="20"/>
          <w:szCs w:val="20"/>
        </w:rPr>
        <w:t>.</w:t>
      </w:r>
    </w:p>
    <w:p w:rsidR="001A1062" w:rsidRPr="00826906" w:rsidRDefault="001A1062" w:rsidP="002101DA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5F69F8" w:rsidRDefault="005F69F8" w:rsidP="005F69F8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I.a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Setores do Agronegócio</w:t>
      </w:r>
    </w:p>
    <w:p w:rsidR="005C1E38" w:rsidRPr="00522768" w:rsidRDefault="005C1E38" w:rsidP="00522768">
      <w:pPr>
        <w:pStyle w:val="Recuodecorpodetexto"/>
        <w:rPr>
          <w:rFonts w:ascii="Arial" w:hAnsi="Arial" w:cs="Arial"/>
          <w:color w:val="000000" w:themeColor="text1"/>
          <w:sz w:val="20"/>
          <w:szCs w:val="20"/>
        </w:rPr>
      </w:pPr>
    </w:p>
    <w:p w:rsidR="00153E37" w:rsidRPr="00A87ED0" w:rsidRDefault="00153E37" w:rsidP="000E2E78">
      <w:pPr>
        <w:pStyle w:val="Recuodecorpodetexto"/>
        <w:rPr>
          <w:rFonts w:ascii="Arial" w:hAnsi="Arial" w:cs="Arial"/>
          <w:color w:val="FF0000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O mês de maio marca o ápice dos embarques de soja ao longo do ano, fato que garantiu a liderança da pauta ao complexo soja em maio deste ano, cujas exportações atingiram US$ 5,81 bilhões, superando em 22,9% o valor contabilizado em igual mês do ano anterior e representa</w:t>
      </w:r>
      <w:r>
        <w:rPr>
          <w:rFonts w:ascii="Arial" w:hAnsi="Arial" w:cs="Arial"/>
          <w:sz w:val="20"/>
          <w:szCs w:val="20"/>
        </w:rPr>
        <w:t>n</w:t>
      </w:r>
      <w:r w:rsidRPr="000E47B8">
        <w:rPr>
          <w:rFonts w:ascii="Arial" w:hAnsi="Arial" w:cs="Arial"/>
          <w:sz w:val="20"/>
          <w:szCs w:val="20"/>
        </w:rPr>
        <w:t>do 58,2% de toda a exportação agrícola. As vendas de soja em grão tiveram aumento de 23,0% no período, alcançando US$ 5,00 bilhões e equivalendo ao embarque de 12,35 milhões de toneladas. O desempenho dessas vendas foi explicado pelos acréscimos de 12,7% no volume exportado e de 9,1% no preço médio. Frise-se que os números da soja em grão registrados em maio de 2018 significaram cifras mensais jamais atingidas, tanto em valor como em quantidade. Já as exportações de farelo somaram US$ 709,96 milhões, implicando acréscimo de 24,9% (+1,4% em quantidade e +23,2% no preço médio), e as de óleo, US$ 96,91 milhões, com aumento de 7,9% (+8,0% em quantidade e -0,1% no preço médio).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As exportações de produtos florestais, segundo setor da pauta em maio de 2018, atingiram US$ 1,1</w:t>
      </w:r>
      <w:r>
        <w:rPr>
          <w:rFonts w:ascii="Arial" w:hAnsi="Arial" w:cs="Arial"/>
          <w:sz w:val="20"/>
          <w:szCs w:val="20"/>
        </w:rPr>
        <w:t>1</w:t>
      </w:r>
      <w:r w:rsidRPr="000E47B8">
        <w:rPr>
          <w:rFonts w:ascii="Arial" w:hAnsi="Arial" w:cs="Arial"/>
          <w:sz w:val="20"/>
          <w:szCs w:val="20"/>
        </w:rPr>
        <w:t xml:space="preserve"> bilhão, suplantando em 14,2% o valor de igual mês do ano anterior. A celulose foi o grande destaque, cujas vendas chegaram a US$ 727,81 milhões (1,28 milhão de toneladas), significando aumento de 37,9% (+7,8% em volume e +27,9% no preço médio). Ressalte-se que essas exportações vêm registrando sucessivos recordes e neste mês não foi diferente, apontaram-se cifras inéditas em valor e quantidade. As exportações de madeiras e suas obras, contudo, recuaram 12,0% (+1,9% em quantidade e -13,6% no preço médio), caindo de US$ 278,31 milhões em maio de 201</w:t>
      </w:r>
      <w:r>
        <w:rPr>
          <w:rFonts w:ascii="Arial" w:hAnsi="Arial" w:cs="Arial"/>
          <w:sz w:val="20"/>
          <w:szCs w:val="20"/>
        </w:rPr>
        <w:t>7</w:t>
      </w:r>
      <w:r w:rsidRPr="000E47B8">
        <w:rPr>
          <w:rFonts w:ascii="Arial" w:hAnsi="Arial" w:cs="Arial"/>
          <w:sz w:val="20"/>
          <w:szCs w:val="20"/>
        </w:rPr>
        <w:t xml:space="preserve"> para US$ 244,94 milhões</w:t>
      </w:r>
      <w:r>
        <w:rPr>
          <w:rFonts w:ascii="Arial" w:hAnsi="Arial" w:cs="Arial"/>
          <w:sz w:val="20"/>
          <w:szCs w:val="20"/>
        </w:rPr>
        <w:t xml:space="preserve"> em maio de 2018</w:t>
      </w:r>
      <w:r w:rsidRPr="000E47B8">
        <w:rPr>
          <w:rFonts w:ascii="Arial" w:hAnsi="Arial" w:cs="Arial"/>
          <w:sz w:val="20"/>
          <w:szCs w:val="20"/>
        </w:rPr>
        <w:t>. Também exibiram queda as vendas de papel, com decréscimo de 17,1% (-26,8% em quantidade e +13,2% no preço médio), reduzindo de US$ 166,40 milhões para US$ 137,92 milhões no período em análise.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Na terceira posição da pauta, as exportações de carnes caíram 9,6% em maio de 2018, de US$ 1,22 bilhão para US$ 1,11 bilhão. A maior redução ocorreu nas vendas de carne frango (-US$ 77,28 milhões), motivada principalmente pela retração nos mercados da África e Oriente Médio. As vendas de carne suína recuaram em US$ 30,72 milhões, impactadas pelo embargo russo, e a</w:t>
      </w:r>
      <w:r>
        <w:rPr>
          <w:rFonts w:ascii="Arial" w:hAnsi="Arial" w:cs="Arial"/>
          <w:sz w:val="20"/>
          <w:szCs w:val="20"/>
        </w:rPr>
        <w:t>s</w:t>
      </w:r>
      <w:r w:rsidRPr="000E47B8">
        <w:rPr>
          <w:rFonts w:ascii="Arial" w:hAnsi="Arial" w:cs="Arial"/>
          <w:sz w:val="20"/>
          <w:szCs w:val="20"/>
        </w:rPr>
        <w:t xml:space="preserve"> de peru, em US$ 5,11 milhões. As exportações de carne bovina também recuaram, porém em menor medida (-US$ 2,46 milhões). Nesse caso, a interrupção das vendas à Rússia foi compensada principalmente pelo acréscimo das exportações à China (+US$ 49,86 milhões) e ao Chile (+US$ 10,53 milhões). 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O complexo sucroalcooleiro registrou queda de 36,4% nas exportações em maio de 2018, posicionando-se na quarta posição da pauta. A baixa de 38,8% nas vendas de açúcar foi responsável pelo desempenho negativo do setor, significando redução de US$ 401,73 milhões. As quedas foram de 14,1% no volume embarcado e de 28,7% no preço médio. Vale citar que desde abril do ano passado o açúcar em bruto enfrenta sucessivas quedas no preço médio de exportação, cenário que não difere muito do verificado para o açúcar refinado. A retração nas exportações brasileiras de açúcar ocorreu nos principais mercados: Ásia (-US$ 194,05 milhões), Oriente Médio (-US$ 121,41 milhões) e África (-US$ 103,77 milhões).</w:t>
      </w:r>
      <w:r>
        <w:rPr>
          <w:rFonts w:ascii="Arial" w:hAnsi="Arial" w:cs="Arial"/>
          <w:sz w:val="20"/>
          <w:szCs w:val="20"/>
        </w:rPr>
        <w:t xml:space="preserve"> Em contrapartida, as exportações de álcool tiveram incremento de 10,4%, de US$ 46,50 milhões para US$ 51,32 milhões.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O café, embora com queda de 42,3%, manteve-se como quinto principal setor na pauta em maio de 2018. As vendas de café verde caíram 44,5% (-38,4% em quantidade e -9,9% no preço médio), passando de US$ 386,25 milhões para US$ 214,49 milhões. Segundo o Conselho dos Exportadores de Café do Brasil (</w:t>
      </w:r>
      <w:proofErr w:type="spellStart"/>
      <w:r w:rsidRPr="000E47B8">
        <w:rPr>
          <w:rFonts w:ascii="Arial" w:hAnsi="Arial" w:cs="Arial"/>
          <w:sz w:val="20"/>
          <w:szCs w:val="20"/>
        </w:rPr>
        <w:t>Cecafé</w:t>
      </w:r>
      <w:proofErr w:type="spellEnd"/>
      <w:r w:rsidRPr="000E47B8">
        <w:rPr>
          <w:rFonts w:ascii="Arial" w:hAnsi="Arial" w:cs="Arial"/>
          <w:sz w:val="20"/>
          <w:szCs w:val="20"/>
        </w:rPr>
        <w:t>), a queda em maio teve influência da menor oferta em face do período de entressafra e de baixos estoques, agravada pela paralisação dos caminhoneiros que atrasou parte dos embarques. Contudo a entidade mantém a expectativa de aumento da exportação para o ano de 2018. No mês</w:t>
      </w:r>
      <w:r>
        <w:rPr>
          <w:rFonts w:ascii="Arial" w:hAnsi="Arial" w:cs="Arial"/>
          <w:sz w:val="20"/>
          <w:szCs w:val="20"/>
        </w:rPr>
        <w:t>,</w:t>
      </w:r>
      <w:r w:rsidRPr="000E47B8">
        <w:rPr>
          <w:rFonts w:ascii="Arial" w:hAnsi="Arial" w:cs="Arial"/>
          <w:sz w:val="20"/>
          <w:szCs w:val="20"/>
        </w:rPr>
        <w:t xml:space="preserve"> também caíram as vendas de café solúvel (-29,0%), de US$ 49,6 milhões em maio de 2017 para US$ 35,23 milhões em maio de 2018. O preço médio de exportação do produto segue em queda desde novembro de 2017. Comparativamente a igual mês de 2017, houve recuos de 17,3% na quantidade embarcada e de 14,1% no preço médio.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Os cinco setores descritos acima responderam por 89,9% das exportações totais do agronegócio em maio de 2018. No mesmo período do ano passado, a participação deles representou 87,2%, evidenciando maior concentração da pauta neste ano.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 xml:space="preserve">Vale apontar ainda alguns recordes de exportação registrados em maio deste ano frente a igual mês de anos passados. Além de soja em grão e celulose, já citados, mencionam-se os seguintes: suco de laranja (recorde em quantidade), arroz (em quantidade), bovinos vivos (em valor), mangas (em quantidade), castanha do </w:t>
      </w:r>
      <w:proofErr w:type="spellStart"/>
      <w:r w:rsidRPr="000E47B8">
        <w:rPr>
          <w:rFonts w:ascii="Arial" w:hAnsi="Arial" w:cs="Arial"/>
          <w:sz w:val="20"/>
          <w:szCs w:val="20"/>
        </w:rPr>
        <w:t>pará</w:t>
      </w:r>
      <w:proofErr w:type="spellEnd"/>
      <w:r w:rsidRPr="000E47B8">
        <w:rPr>
          <w:rFonts w:ascii="Arial" w:hAnsi="Arial" w:cs="Arial"/>
          <w:sz w:val="20"/>
          <w:szCs w:val="20"/>
        </w:rPr>
        <w:t xml:space="preserve"> (em valor) e melões (em valor e quantidade).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Do lado das importações, a pauta foi liderada por cereais, farinhas e preparações, cujas aquisições somaram US$ 183,87 milhões, cifra 20,4% abaixo da registrada em maio de 2017. Compuseram esse grupo, o trigo (queda de 10,8%, atingindo US$ 83,51 milhões), o malte (-27,1%; US$ 27,86 milhões), o arroz (-53,9%; US$ 13,83 milhões) e a farinha de trigo (+0,4%; US$ 10,66 milhões). O segundo setor da pauta foi o de produtos florestais (-8,2%; US$ 122,19 milhões), seguido por produtos oleaginosos – exclusive soja (+31,9%; US$ 98,70 milhões), pescados (-19,0%; US$ 85,29 milhões) e lácteos (-27,6%; US$ 43,98 milhões).</w:t>
      </w:r>
    </w:p>
    <w:p w:rsidR="00153E37" w:rsidRDefault="00153E37" w:rsidP="000E2E78">
      <w:pPr>
        <w:pStyle w:val="Recuodecorpodetexto"/>
        <w:rPr>
          <w:rFonts w:ascii="Arial" w:hAnsi="Arial" w:cs="Arial"/>
          <w:color w:val="000000" w:themeColor="text1"/>
          <w:sz w:val="20"/>
          <w:szCs w:val="20"/>
        </w:rPr>
      </w:pPr>
    </w:p>
    <w:p w:rsidR="00153E37" w:rsidRPr="000E2E78" w:rsidRDefault="00153E37" w:rsidP="000E2E78">
      <w:pPr>
        <w:pStyle w:val="Recuodecorpodetexto"/>
        <w:rPr>
          <w:rFonts w:ascii="Arial" w:hAnsi="Arial" w:cs="Arial"/>
          <w:color w:val="000000" w:themeColor="text1"/>
          <w:sz w:val="20"/>
          <w:szCs w:val="20"/>
        </w:rPr>
      </w:pPr>
    </w:p>
    <w:p w:rsidR="00CF132A" w:rsidRPr="00826906" w:rsidRDefault="00A87ED0" w:rsidP="00A560CC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A87ED0">
        <w:rPr>
          <w:noProof/>
        </w:rPr>
        <w:drawing>
          <wp:inline distT="0" distB="0" distL="0" distR="0" wp14:anchorId="0D156437" wp14:editId="1B3AE417">
            <wp:extent cx="6480175" cy="38550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4" w:rsidRPr="005A162D" w:rsidRDefault="00AB3924" w:rsidP="005A162D">
      <w:pPr>
        <w:jc w:val="both"/>
        <w:rPr>
          <w:rFonts w:ascii="Arial" w:hAnsi="Arial" w:cs="Arial"/>
          <w:sz w:val="20"/>
          <w:szCs w:val="20"/>
        </w:rPr>
      </w:pPr>
    </w:p>
    <w:p w:rsidR="00FA7BC4" w:rsidRDefault="00FA7BC4" w:rsidP="00E207EB">
      <w:pPr>
        <w:jc w:val="both"/>
        <w:rPr>
          <w:rFonts w:ascii="Arial" w:hAnsi="Arial" w:cs="Arial"/>
          <w:b/>
          <w:sz w:val="20"/>
          <w:szCs w:val="20"/>
        </w:rPr>
      </w:pPr>
    </w:p>
    <w:p w:rsidR="00F749CF" w:rsidRDefault="00F749CF" w:rsidP="00E207EB">
      <w:pPr>
        <w:jc w:val="both"/>
        <w:rPr>
          <w:rFonts w:ascii="Arial" w:hAnsi="Arial" w:cs="Arial"/>
          <w:b/>
          <w:sz w:val="20"/>
          <w:szCs w:val="20"/>
        </w:rPr>
      </w:pPr>
    </w:p>
    <w:p w:rsidR="001D51EE" w:rsidRDefault="006D7B33" w:rsidP="00E207E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26906">
        <w:rPr>
          <w:rFonts w:ascii="Arial" w:hAnsi="Arial" w:cs="Arial"/>
          <w:b/>
          <w:sz w:val="20"/>
          <w:szCs w:val="20"/>
        </w:rPr>
        <w:t>I.b</w:t>
      </w:r>
      <w:proofErr w:type="spellEnd"/>
      <w:r w:rsidRPr="00826906">
        <w:rPr>
          <w:rFonts w:ascii="Arial" w:hAnsi="Arial" w:cs="Arial"/>
          <w:b/>
          <w:sz w:val="20"/>
          <w:szCs w:val="20"/>
        </w:rPr>
        <w:t xml:space="preserve"> – Blocos Econômicos e Regiões Geográficas</w:t>
      </w:r>
    </w:p>
    <w:p w:rsidR="008F667F" w:rsidRDefault="008F667F" w:rsidP="00E207EB">
      <w:pPr>
        <w:jc w:val="both"/>
        <w:rPr>
          <w:rFonts w:ascii="Arial" w:hAnsi="Arial" w:cs="Arial"/>
          <w:b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 xml:space="preserve">Sob a ótica de blocos econômicos e regiões geográficas, as exportações do agronegócio registraram a Ásia na liderança da pauta, cujo valor atingiu US$ 5,92 bilhões em maio de 2018, representando 59,4% das exportações totais no mês. Frente a maio de 2017, em que participação alcançara 53,2%, anotou-se expansão de 14,9% das vendas à região. O acréscimo nas vendas foi atrelado principalmente ao crescimento das exportações </w:t>
      </w:r>
      <w:r>
        <w:rPr>
          <w:rFonts w:ascii="Arial" w:hAnsi="Arial" w:cs="Arial"/>
          <w:sz w:val="20"/>
          <w:szCs w:val="20"/>
        </w:rPr>
        <w:t xml:space="preserve">de </w:t>
      </w:r>
      <w:r w:rsidRPr="000E47B8">
        <w:rPr>
          <w:rFonts w:ascii="Arial" w:hAnsi="Arial" w:cs="Arial"/>
          <w:sz w:val="20"/>
          <w:szCs w:val="20"/>
        </w:rPr>
        <w:t xml:space="preserve">soja em grão (+US$ 805,67 milhões) e </w:t>
      </w:r>
      <w:r>
        <w:rPr>
          <w:rFonts w:ascii="Arial" w:hAnsi="Arial" w:cs="Arial"/>
          <w:sz w:val="20"/>
          <w:szCs w:val="20"/>
        </w:rPr>
        <w:t xml:space="preserve">de </w:t>
      </w:r>
      <w:r w:rsidRPr="000E47B8">
        <w:rPr>
          <w:rFonts w:ascii="Arial" w:hAnsi="Arial" w:cs="Arial"/>
          <w:sz w:val="20"/>
          <w:szCs w:val="20"/>
        </w:rPr>
        <w:t>farelo de soja (+US$ 110,77 milhões).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 xml:space="preserve">O segundo principal destino das exportações brasileiras coube à União Europeia, ainda que as vendas ao bloco tenham recuado 14,9%, passando de US$ 1,69 bilhão em maio de 2017 para US$ 1,44 bilhão em maio de 2018, o que fez a participação do bloco retroceder de 17,4% para 14,4% em relação às exportações totais do mês. Houve quedas importantes nas vendas de café (-US$ 106,61 milhões) e </w:t>
      </w:r>
      <w:r>
        <w:rPr>
          <w:rFonts w:ascii="Arial" w:hAnsi="Arial" w:cs="Arial"/>
          <w:sz w:val="20"/>
          <w:szCs w:val="20"/>
        </w:rPr>
        <w:t xml:space="preserve">de </w:t>
      </w:r>
      <w:r w:rsidRPr="000E47B8">
        <w:rPr>
          <w:rFonts w:ascii="Arial" w:hAnsi="Arial" w:cs="Arial"/>
          <w:sz w:val="20"/>
          <w:szCs w:val="20"/>
        </w:rPr>
        <w:t>soja a grão (-US$ 104,47 milhões), o que comprometeu o desempenho das vendas à região.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Ao Nafta, terceiro destino das exportações em maio de 2018, as vendas somaram US$ 691,08 milhões, cifra 1,3% inferior à registrada em maio de 2017. A participação do bloco recuou de 7,2% para 6,9%. A pauta das exportações contemplou principalmente celulose, madeira, suco de laranja, café, soja, açúcar, álcool, couros e peles, carnes bovina e de frango e papel. Os principais aumentos ocorreram em suco de laranja (+US$ 60,25 milhões), celulose (+US$ 39,94 milhões), açúcar (+US$ 15,59 milhões), álcool (+US$ 13,33 milhões) e soja em grão (+US$ 11,74 milhões). No entanto, esses resultados foram insuficientes para evitar a queda das vendas à região, sobretudo pelo recuo nas exportações de café (-US$ 36,50 milhões), madeira (-US$ 29,74 milhões), carne bovina (-US$ 18,43 milhões) e mel (-US$ 13,58 milhões).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Com redução de 18,0% nas exportações ao Oriente Médio, o quarto principal destino das exportações brasileiras teve sua participação reduzida de 7,1% em maio de 2017 para 5,7% em maio de 2018. Esse desempenho negativo significou declínio nas vendas à região, de US$ 689,18 milhões para US$ 565,28 milhões. À exceção da soja em grão, que registrou aumento de 135,8% (+US$ 93,70 milhões), os demais itens entre os principais da pauta tiveram decréscimos significativos: açúcar (-US$ 121,41 milhões), milho (-US$ 34,20 milhões), carne de frango (-US$ 25,23 milhões), farelo de soja (-US$ 14,57 milhões)</w:t>
      </w:r>
      <w:r>
        <w:rPr>
          <w:rFonts w:ascii="Arial" w:hAnsi="Arial" w:cs="Arial"/>
          <w:sz w:val="20"/>
          <w:szCs w:val="20"/>
        </w:rPr>
        <w:t xml:space="preserve"> e</w:t>
      </w:r>
      <w:r w:rsidRPr="000E47B8">
        <w:rPr>
          <w:rFonts w:ascii="Arial" w:hAnsi="Arial" w:cs="Arial"/>
          <w:sz w:val="20"/>
          <w:szCs w:val="20"/>
        </w:rPr>
        <w:t xml:space="preserve"> carne bovina (-US$ 12,82 milhões).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6D7B33" w:rsidRPr="00050C8F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Sobressai</w:t>
      </w:r>
      <w:r>
        <w:rPr>
          <w:rFonts w:ascii="Arial" w:hAnsi="Arial" w:cs="Arial"/>
          <w:sz w:val="20"/>
          <w:szCs w:val="20"/>
        </w:rPr>
        <w:t>u</w:t>
      </w:r>
      <w:r w:rsidRPr="000E47B8">
        <w:rPr>
          <w:rFonts w:ascii="Arial" w:hAnsi="Arial" w:cs="Arial"/>
          <w:sz w:val="20"/>
          <w:szCs w:val="20"/>
        </w:rPr>
        <w:t xml:space="preserve"> na tabela abaixo o crescimento das vendas ao conjunto dos demais países da Europa Ocidental (+122,7%), o qual se atribui principalmente à Turquia. O aumento das exportações ao país explica-se, sobretudo, pelos acréscimos em soja em grão (+US$ 99,20 milhões), bovinos vivos (+US$ 41,50 milhões) e farelo de soja (+US$ 22,49 milhões). Além desse bloco, citam-se África (redução de 16,0%, passando para US$ 479,45 milhões), Aladi – exclusive Mercosul (+0,1%, para US$ 304,32 milhões), Mercosul (+2,4%, para US$ 246,89 milhões), Europa Oriental (-21,3%, para US$ 194,44 milhões) e Oceania (-0,5%, para US$ 21,93 milhões).</w:t>
      </w:r>
    </w:p>
    <w:p w:rsidR="00196B83" w:rsidRPr="00826906" w:rsidRDefault="00A87ED0" w:rsidP="002B1A0F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A87ED0">
        <w:rPr>
          <w:noProof/>
        </w:rPr>
        <w:drawing>
          <wp:inline distT="0" distB="0" distL="0" distR="0" wp14:anchorId="5D634CC6" wp14:editId="6D3B2216">
            <wp:extent cx="6480175" cy="23482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604" w:rsidRPr="00826906" w:rsidRDefault="007D0604" w:rsidP="00050C8F">
      <w:pPr>
        <w:jc w:val="both"/>
        <w:rPr>
          <w:rFonts w:ascii="Arial" w:hAnsi="Arial" w:cs="Arial"/>
          <w:sz w:val="20"/>
          <w:szCs w:val="20"/>
        </w:rPr>
      </w:pPr>
    </w:p>
    <w:p w:rsidR="001D51EE" w:rsidRDefault="001D51EE" w:rsidP="001D51E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I.c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Países</w:t>
      </w:r>
    </w:p>
    <w:p w:rsidR="008F667F" w:rsidRDefault="008F667F" w:rsidP="008F667F"/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 xml:space="preserve">A China manteve-se firme como o principal destino das exportações do agronegócio brasileiro em maio de 2018, com vendas US$ 4,53 bilhões, cifra que superou em 28,1% o valor de maio de 2017. Embalado pelo forte crescimento das vendas de soja em grão, esse foi o maior montante mensal já registrado de exportação ao país, fazendo sua participação avançar de 36,5% para 45,5% em relação às exportações totais do agronegócio. A China adquiriu </w:t>
      </w:r>
      <w:r>
        <w:rPr>
          <w:rFonts w:ascii="Arial" w:hAnsi="Arial" w:cs="Arial"/>
          <w:sz w:val="20"/>
          <w:szCs w:val="20"/>
        </w:rPr>
        <w:t>79,0</w:t>
      </w:r>
      <w:r w:rsidRPr="000E47B8">
        <w:rPr>
          <w:rFonts w:ascii="Arial" w:hAnsi="Arial" w:cs="Arial"/>
          <w:sz w:val="20"/>
          <w:szCs w:val="20"/>
        </w:rPr>
        <w:t xml:space="preserve">% do volume de soja em grão exportado pelo Brasil em maio de 2018 (total de </w:t>
      </w:r>
      <w:r>
        <w:rPr>
          <w:rFonts w:ascii="Arial" w:hAnsi="Arial" w:cs="Arial"/>
          <w:sz w:val="20"/>
          <w:szCs w:val="20"/>
        </w:rPr>
        <w:t>12,35</w:t>
      </w:r>
      <w:r w:rsidRPr="000E47B8">
        <w:rPr>
          <w:rFonts w:ascii="Arial" w:hAnsi="Arial" w:cs="Arial"/>
          <w:sz w:val="20"/>
          <w:szCs w:val="20"/>
        </w:rPr>
        <w:t xml:space="preserve"> milhões de toneladas). Não há dúvida que esse resultado é extremamente positivo para o superávit comercial do país, contudo, merece atenção o grau de concentração que se impõe à pauta exportadora do agronegócio brasileiro, tanto em termos de mercados como de produtos. Entre outros produtos destinados à China, com cifras mais modestas, citam-se: celulose (US$ 271,59 milhões) e carnes </w:t>
      </w:r>
      <w:r w:rsidRPr="000E47B8">
        <w:rPr>
          <w:rFonts w:ascii="Arial" w:hAnsi="Arial" w:cs="Arial"/>
          <w:i/>
          <w:sz w:val="20"/>
          <w:szCs w:val="20"/>
        </w:rPr>
        <w:t>in natura</w:t>
      </w:r>
      <w:r w:rsidRPr="000E47B8">
        <w:rPr>
          <w:rFonts w:ascii="Arial" w:hAnsi="Arial" w:cs="Arial"/>
          <w:sz w:val="20"/>
          <w:szCs w:val="20"/>
        </w:rPr>
        <w:t xml:space="preserve"> de bovinos (US$ 111,44 milhões), frangos (US$ 66,26 milhões) e suínos (US$ 27,63 milhões).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Como segundo principal destino das exportações agropecuárias em maio de 2018, os Estados Unidos adquiriram US$ 523,85 milhões em produtos brasileiros, valor que ficou 4,2% abaixo do consolidado em maio de 2017. Com pauta menos c</w:t>
      </w:r>
      <w:r>
        <w:rPr>
          <w:rFonts w:ascii="Arial" w:hAnsi="Arial" w:cs="Arial"/>
          <w:sz w:val="20"/>
          <w:szCs w:val="20"/>
        </w:rPr>
        <w:t>oncentrada</w:t>
      </w:r>
      <w:r w:rsidRPr="000E47B8">
        <w:rPr>
          <w:rFonts w:ascii="Arial" w:hAnsi="Arial" w:cs="Arial"/>
          <w:sz w:val="20"/>
          <w:szCs w:val="20"/>
        </w:rPr>
        <w:t>, os principais produtos exportados foram: celulose (US$ 118,39 milhões), madeira (US$ 91,81 milhões), suco de laranja (US$ 91,20 milhões), café (US$ 41,66 milhões), álcool (US$ 37,88 milhões), carne bovina (US$ 19,29 milhões), couros e peles (US$ 19,08 milhões) e açúcar (US$ 10,19 milhões).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 xml:space="preserve">As exportações </w:t>
      </w:r>
      <w:r>
        <w:rPr>
          <w:rFonts w:ascii="Arial" w:hAnsi="Arial" w:cs="Arial"/>
          <w:sz w:val="20"/>
          <w:szCs w:val="20"/>
        </w:rPr>
        <w:t>a</w:t>
      </w:r>
      <w:r w:rsidRPr="000E47B8">
        <w:rPr>
          <w:rFonts w:ascii="Arial" w:hAnsi="Arial" w:cs="Arial"/>
          <w:sz w:val="20"/>
          <w:szCs w:val="20"/>
        </w:rPr>
        <w:t>os Países Baixos, terceiro principal comprador de produtos do agronegócio brasileiro em maio de 2018, recuaram de US$ 501,31 milhões para US$ 411,39 milhões (-17,9%). A redução nas compras de soja em grão e farelo, principais itens da pauta, explicam parte da queda, o que significou decréscimo de US$ 109,51 milhões. Celulose (cujas exportações atingiram US$ 68,49 milhões), suco de laranja (US$ 45,68 milhões), carne de frango (US$ 28,87 milhões) e carne bovina (US$ 10,00 milhões) complementaram a pauta como principais produtos brasileiros vendidos aos Países Baixos em maio de 2018.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Já o segundo mercado brasileiro na Europa e o quarto entre todos os países, a Espanha, registrou avanço de 25,9% nas suas compras de produtos agrícolas, subindo de US$ 178,00 milhões em maio de 2017 para US$ 224,11 milhões em maio de 2018. Diferentemente do ocorrido nos Países Baixos, a resposta para o aumento das exportações brasileiras à Espanha veio do aumento das vendas de soja em grão ao país, que saltaram de US$ 108,26 milhões para US$ 162,96 milhões. Cite-se, entretanto, que, conforme já comentado, as exportações de soja em grão do Brasil a toda União Europeia retrocederam em US$ 104,47 milhões.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 xml:space="preserve">Japão e Hong Kong aparecerem como </w:t>
      </w:r>
      <w:r>
        <w:rPr>
          <w:rFonts w:ascii="Arial" w:hAnsi="Arial" w:cs="Arial"/>
          <w:sz w:val="20"/>
          <w:szCs w:val="20"/>
        </w:rPr>
        <w:t xml:space="preserve">principais </w:t>
      </w:r>
      <w:r w:rsidRPr="000E47B8">
        <w:rPr>
          <w:rFonts w:ascii="Arial" w:hAnsi="Arial" w:cs="Arial"/>
          <w:sz w:val="20"/>
          <w:szCs w:val="20"/>
        </w:rPr>
        <w:t>mercados de produtos brasileiros no continente asiático depois da China. As exportações totalizaram US$ 199,45 milhões e US$ 196,90 milhões, respectivamente. Os principais produtos vendidos a esses países foram carne bovina (US$ 100,94 milhões), carne de frango (US$ 89,40 milhões), soja em grão (US$ 42,47 milhões), carne suína (US$ 28,87 milhões), suco de laranja (US$ 23,37 milhões), celulose (US$ 19,69 milhões) e café (US$ 17,33 milhões).</w:t>
      </w: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</w:p>
    <w:p w:rsidR="00050C8F" w:rsidRPr="000E47B8" w:rsidRDefault="00050C8F" w:rsidP="00050C8F">
      <w:pPr>
        <w:pStyle w:val="Recuodecorpodetexto"/>
        <w:rPr>
          <w:rFonts w:ascii="Arial" w:hAnsi="Arial" w:cs="Arial"/>
          <w:sz w:val="20"/>
          <w:szCs w:val="20"/>
        </w:rPr>
      </w:pPr>
      <w:r w:rsidRPr="000E47B8">
        <w:rPr>
          <w:rFonts w:ascii="Arial" w:hAnsi="Arial" w:cs="Arial"/>
          <w:sz w:val="20"/>
          <w:szCs w:val="20"/>
        </w:rPr>
        <w:t>Os demais entre os vinte principais mercados do agronegócio brasileiro estão listados na tabela 3, apresentada na sequência.</w:t>
      </w:r>
    </w:p>
    <w:p w:rsidR="002B1A0F" w:rsidRPr="00A87ED0" w:rsidRDefault="002B1A0F" w:rsidP="002B1A0F">
      <w:pPr>
        <w:rPr>
          <w:color w:val="FF0000"/>
        </w:rPr>
      </w:pPr>
    </w:p>
    <w:p w:rsidR="00AB2FF5" w:rsidRPr="00826906" w:rsidRDefault="00AB2FF5" w:rsidP="009C7265">
      <w:pPr>
        <w:pStyle w:val="Recuodecorpodetexto"/>
        <w:rPr>
          <w:rFonts w:ascii="Arial" w:hAnsi="Arial" w:cs="Arial"/>
          <w:color w:val="000000" w:themeColor="text1"/>
          <w:sz w:val="20"/>
          <w:szCs w:val="20"/>
        </w:rPr>
      </w:pPr>
    </w:p>
    <w:p w:rsidR="004731CC" w:rsidRPr="00826906" w:rsidRDefault="00A87ED0" w:rsidP="00AB2FF5">
      <w:pPr>
        <w:rPr>
          <w:rFonts w:ascii="Arial" w:hAnsi="Arial" w:cs="Arial"/>
        </w:rPr>
      </w:pPr>
      <w:r w:rsidRPr="00A87ED0">
        <w:rPr>
          <w:noProof/>
        </w:rPr>
        <w:drawing>
          <wp:inline distT="0" distB="0" distL="0" distR="0" wp14:anchorId="3C466825" wp14:editId="10A7FD4F">
            <wp:extent cx="6480175" cy="38792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D83" w:rsidRDefault="00202D83" w:rsidP="00AB2FF5">
      <w:pPr>
        <w:rPr>
          <w:rFonts w:ascii="Arial" w:hAnsi="Arial" w:cs="Arial"/>
        </w:rPr>
      </w:pPr>
    </w:p>
    <w:p w:rsidR="00826906" w:rsidRPr="00826906" w:rsidRDefault="00826906" w:rsidP="00AB2FF5">
      <w:pPr>
        <w:rPr>
          <w:rFonts w:ascii="Arial" w:hAnsi="Arial" w:cs="Arial"/>
        </w:rPr>
      </w:pPr>
    </w:p>
    <w:p w:rsidR="003B632E" w:rsidRPr="00826906" w:rsidRDefault="003B632E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26906">
        <w:rPr>
          <w:rFonts w:ascii="Arial" w:hAnsi="Arial" w:cs="Arial"/>
          <w:b/>
          <w:sz w:val="20"/>
          <w:szCs w:val="20"/>
        </w:rPr>
        <w:t>II – Resultados do Ano (comparativo Janeiro-</w:t>
      </w:r>
      <w:r w:rsidR="00A87ED0">
        <w:rPr>
          <w:rFonts w:ascii="Arial" w:hAnsi="Arial" w:cs="Arial"/>
          <w:b/>
          <w:sz w:val="20"/>
          <w:szCs w:val="20"/>
        </w:rPr>
        <w:t>Maio</w:t>
      </w:r>
      <w:r w:rsidR="007763E5">
        <w:rPr>
          <w:rFonts w:ascii="Arial" w:hAnsi="Arial" w:cs="Arial"/>
          <w:b/>
          <w:sz w:val="20"/>
          <w:szCs w:val="20"/>
        </w:rPr>
        <w:t>/2018</w:t>
      </w:r>
      <w:r w:rsidRPr="00826906">
        <w:rPr>
          <w:rFonts w:ascii="Arial" w:hAnsi="Arial" w:cs="Arial"/>
          <w:b/>
          <w:sz w:val="20"/>
          <w:szCs w:val="20"/>
        </w:rPr>
        <w:t xml:space="preserve"> – </w:t>
      </w:r>
      <w:proofErr w:type="gramStart"/>
      <w:r w:rsidRPr="00826906">
        <w:rPr>
          <w:rFonts w:ascii="Arial" w:hAnsi="Arial" w:cs="Arial"/>
          <w:b/>
          <w:sz w:val="20"/>
          <w:szCs w:val="20"/>
        </w:rPr>
        <w:t>Janeiro</w:t>
      </w:r>
      <w:proofErr w:type="gramEnd"/>
      <w:r w:rsidRPr="00826906">
        <w:rPr>
          <w:rFonts w:ascii="Arial" w:hAnsi="Arial" w:cs="Arial"/>
          <w:b/>
          <w:sz w:val="20"/>
          <w:szCs w:val="20"/>
        </w:rPr>
        <w:t>-</w:t>
      </w:r>
      <w:r w:rsidR="00A87ED0">
        <w:rPr>
          <w:rFonts w:ascii="Arial" w:hAnsi="Arial" w:cs="Arial"/>
          <w:b/>
          <w:sz w:val="20"/>
          <w:szCs w:val="20"/>
        </w:rPr>
        <w:t>Maio</w:t>
      </w:r>
      <w:r w:rsidRPr="00826906">
        <w:rPr>
          <w:rFonts w:ascii="Arial" w:hAnsi="Arial" w:cs="Arial"/>
          <w:b/>
          <w:sz w:val="20"/>
          <w:szCs w:val="20"/>
        </w:rPr>
        <w:t>/201</w:t>
      </w:r>
      <w:r w:rsidR="007763E5">
        <w:rPr>
          <w:rFonts w:ascii="Arial" w:hAnsi="Arial" w:cs="Arial"/>
          <w:b/>
          <w:sz w:val="20"/>
          <w:szCs w:val="20"/>
        </w:rPr>
        <w:t>7</w:t>
      </w:r>
      <w:r w:rsidRPr="00826906">
        <w:rPr>
          <w:rFonts w:ascii="Arial" w:hAnsi="Arial" w:cs="Arial"/>
          <w:b/>
          <w:sz w:val="20"/>
          <w:szCs w:val="20"/>
        </w:rPr>
        <w:t>)</w:t>
      </w:r>
    </w:p>
    <w:p w:rsidR="003B632E" w:rsidRDefault="003B632E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 w:rsidRPr="00033B7E">
        <w:rPr>
          <w:rFonts w:ascii="Arial" w:hAnsi="Arial" w:cs="Arial"/>
          <w:sz w:val="20"/>
          <w:szCs w:val="20"/>
        </w:rPr>
        <w:t>As exportações do agronegócio</w:t>
      </w:r>
      <w:r>
        <w:rPr>
          <w:rFonts w:ascii="Arial" w:hAnsi="Arial" w:cs="Arial"/>
          <w:sz w:val="20"/>
          <w:szCs w:val="20"/>
        </w:rPr>
        <w:t xml:space="preserve"> foram de US$ 40,32 bilhões entre janeiro e maio de 2018. O valor foi 3,8% superior em relação aos US$ 38,86 bilhões exportados entre janeiro e maio de 2017. O crescimento das vendas externas ocorreu em função do crescimento das quantidades exportadas. O índice de quantum apresentou expansão de 4,1% enquanto o índice de preço das exportações diminuiu 0,4 no período em análise. </w:t>
      </w: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exportações do agronegócio representaram 43,1% do total das exportações brasileiras entre janeiro e maio de 2018. Essa porcentagem foi 1,1 ponto percentual inferior aos 44,2% que as vendas externas do agronegócio representaram entre janeiro e maio de 2017. </w:t>
      </w: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</w:p>
    <w:p w:rsidR="00B8451B" w:rsidRP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importações de produtos do agronegócio diminuíram de US$ 6,14 bilhões entre janeiro e maio de 2017 para US$ 6,0 bilhões entre janeiro e maio de 2018 (-2,4%). A crescimento das exportações e concomitante redução das importações aumentou o saldo superavitário dos produtos do agronegócio, que expandiu de US$ 32,72 bilhões entre janeiro e maio de 2017 para US$ 34,33 bilhões entre janeiro e maio de 2018.</w:t>
      </w:r>
    </w:p>
    <w:p w:rsidR="00B8451B" w:rsidRDefault="00B8451B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632E" w:rsidRPr="00826906" w:rsidRDefault="003B632E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632E" w:rsidRDefault="003B632E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II.a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Setores do Agronegócio</w:t>
      </w:r>
    </w:p>
    <w:p w:rsidR="00D12C0B" w:rsidRDefault="00D12C0B" w:rsidP="00D12C0B"/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 janeiro e maio de 2018, o</w:t>
      </w:r>
      <w:r w:rsidRPr="001C1A71">
        <w:rPr>
          <w:rFonts w:ascii="Arial" w:hAnsi="Arial" w:cs="Arial"/>
          <w:sz w:val="20"/>
          <w:szCs w:val="20"/>
        </w:rPr>
        <w:t>s cinco principais setores exportadores do agroneg</w:t>
      </w:r>
      <w:r>
        <w:rPr>
          <w:rFonts w:ascii="Arial" w:hAnsi="Arial" w:cs="Arial"/>
          <w:sz w:val="20"/>
          <w:szCs w:val="20"/>
        </w:rPr>
        <w:t>ócio foram: complexo soja (43,1% das exportações), produtos florestais (14,3% das exportações), carnes (13,9</w:t>
      </w:r>
      <w:r w:rsidRPr="001C1A71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das exportações), complexo sucroalcooleiro (7,2% das exportações) e café (4,7</w:t>
      </w:r>
      <w:r w:rsidRPr="001C1A71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das exportações</w:t>
      </w:r>
      <w:r w:rsidRPr="001C1A71">
        <w:rPr>
          <w:rFonts w:ascii="Arial" w:hAnsi="Arial" w:cs="Arial"/>
          <w:sz w:val="20"/>
          <w:szCs w:val="20"/>
        </w:rPr>
        <w:t>). Esses cinco principais setores exporta</w:t>
      </w:r>
      <w:r>
        <w:rPr>
          <w:rFonts w:ascii="Arial" w:hAnsi="Arial" w:cs="Arial"/>
          <w:sz w:val="20"/>
          <w:szCs w:val="20"/>
        </w:rPr>
        <w:t>dores foram responsáveis por 83,2</w:t>
      </w:r>
      <w:r w:rsidRPr="001C1A71">
        <w:rPr>
          <w:rFonts w:ascii="Arial" w:hAnsi="Arial" w:cs="Arial"/>
          <w:sz w:val="20"/>
          <w:szCs w:val="20"/>
        </w:rPr>
        <w:t>% do valor total</w:t>
      </w:r>
      <w:r>
        <w:rPr>
          <w:rFonts w:ascii="Arial" w:hAnsi="Arial" w:cs="Arial"/>
          <w:sz w:val="20"/>
          <w:szCs w:val="20"/>
        </w:rPr>
        <w:t xml:space="preserve"> exportado entre janeiro e maio. Entre janeiro e maio</w:t>
      </w:r>
      <w:r w:rsidRPr="001C1A71">
        <w:rPr>
          <w:rFonts w:ascii="Arial" w:hAnsi="Arial" w:cs="Arial"/>
          <w:sz w:val="20"/>
          <w:szCs w:val="20"/>
        </w:rPr>
        <w:t xml:space="preserve"> de 2017, os mesm</w:t>
      </w:r>
      <w:r>
        <w:rPr>
          <w:rFonts w:ascii="Arial" w:hAnsi="Arial" w:cs="Arial"/>
          <w:sz w:val="20"/>
          <w:szCs w:val="20"/>
        </w:rPr>
        <w:t>os setores participaram com 85,4</w:t>
      </w:r>
      <w:r w:rsidRPr="001C1A71">
        <w:rPr>
          <w:rFonts w:ascii="Arial" w:hAnsi="Arial" w:cs="Arial"/>
          <w:sz w:val="20"/>
          <w:szCs w:val="20"/>
        </w:rPr>
        <w:t>% do valor total exportado. Houve uma desconcentração da pauta exportada no período, principalmente em função da forte queda de participação do complexo</w:t>
      </w:r>
      <w:r>
        <w:rPr>
          <w:rFonts w:ascii="Arial" w:hAnsi="Arial" w:cs="Arial"/>
          <w:sz w:val="20"/>
          <w:szCs w:val="20"/>
        </w:rPr>
        <w:t xml:space="preserve"> sucroalcooleiro, que perdeu 4,4</w:t>
      </w:r>
      <w:r w:rsidRPr="001C1A71">
        <w:rPr>
          <w:rFonts w:ascii="Arial" w:hAnsi="Arial" w:cs="Arial"/>
          <w:sz w:val="20"/>
          <w:szCs w:val="20"/>
        </w:rPr>
        <w:t xml:space="preserve"> pontos percentuais de participação na pauta exportadora. </w:t>
      </w: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</w:p>
    <w:p w:rsidR="00B8451B" w:rsidRPr="001C1A71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principal setor exportador do agronegócio foi o complexo soja. O setor aumentou as exportações de US$ 16,00 bilhões entre janeiro e maio de 2017 para US$ 17,39 bilhões entre janeiro e maio de 2018 (+8,7%). Houve aumento tanto da quantidade exportada (+4,5%) como do preço médio de exportação (+4,0%) dos produtos do setor. Um cálculo aproximado do volume das exportações dos produtos do complexo soja revela que o Brasil já exportou cerca de 45 milhões de toneladas de soja em grão entre janeiro e maio de 2018 ou cerca de 3 milhões de toneladas a mais que o volume das exportações entre janeiro e maio de 2017. Essa quantidade de 45 milhões de toneladas de soja em grão exportadas representou 38,5% da estimativa total de produção brasileira de soja em grão elaborada pela Companhia Nacional de Abastecimento – CONAB em seu 8º Levantamento da Safra 2017/2018.</w:t>
      </w:r>
    </w:p>
    <w:p w:rsidR="00B8451B" w:rsidRPr="00A87ED0" w:rsidRDefault="00B8451B" w:rsidP="00B8451B">
      <w:pPr>
        <w:pStyle w:val="Recuodecorpodetexto"/>
        <w:rPr>
          <w:rFonts w:ascii="Arial" w:hAnsi="Arial" w:cs="Arial"/>
          <w:color w:val="FF0000"/>
          <w:sz w:val="20"/>
          <w:szCs w:val="20"/>
        </w:rPr>
      </w:pP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soja em grão, principal produto exportado pelo complexo soja</w:t>
      </w:r>
      <w:r w:rsidRPr="004B28D2">
        <w:rPr>
          <w:rFonts w:ascii="Arial" w:hAnsi="Arial" w:cs="Arial"/>
          <w:sz w:val="20"/>
          <w:szCs w:val="20"/>
        </w:rPr>
        <w:t>, contribuiu com US$ 14,23 bilhões (+6,9%) em vendas e</w:t>
      </w:r>
      <w:r>
        <w:rPr>
          <w:rFonts w:ascii="Arial" w:hAnsi="Arial" w:cs="Arial"/>
          <w:sz w:val="20"/>
          <w:szCs w:val="20"/>
        </w:rPr>
        <w:t>xternas entre janeiro e maio</w:t>
      </w:r>
      <w:r w:rsidRPr="004B28D2">
        <w:rPr>
          <w:rFonts w:ascii="Arial" w:hAnsi="Arial" w:cs="Arial"/>
          <w:sz w:val="20"/>
          <w:szCs w:val="20"/>
        </w:rPr>
        <w:t xml:space="preserve"> de 2018</w:t>
      </w:r>
      <w:r>
        <w:rPr>
          <w:rFonts w:ascii="Arial" w:hAnsi="Arial" w:cs="Arial"/>
          <w:sz w:val="20"/>
          <w:szCs w:val="20"/>
        </w:rPr>
        <w:t>, cifra recorde. O volume das exportações de soja em grão também foi recorde, com 35,9 milhões de toneladas. Também no farelo de soja o valor exportado (US$ 2,71 bilhões) e o volume (7,0 milhões de toneladas) foram recordes. As vendas externas de óleo de soja foram de US$ 452,59 milhões, com 596,8 mil toneladas exportadas.</w:t>
      </w: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produtos florestais atingiram a segunda posição dentre os principais setores exportadores do agronegócio nesse período entre janeiro e maio de 2018. O setor exportou US$ 5,75 bilhões no período (+30,5%), valor que suplantou as vendas externas das carnes e do complexo sucroalcooleiro. O principal produto exportado pelo setor é a celulose. O Brasil exportou US$ 3,51 bilhões em celulose entre janeiro e maio de 2018, um valor recorde em exportações para o produto. A quantidade exportada também foi recorde com 6,5 milhões de toneladas (+14,0%) e o preço médio de exportação também teve aumento (+28,5%). Ainda no setor, as exportações de madeiras e suas obras subiram 16,3%, atingindo US$ 1,44 bilhão e as exportações de papel chegaram a US$ 803,34 milhões. </w:t>
      </w:r>
    </w:p>
    <w:p w:rsidR="00B8451B" w:rsidRPr="00A87ED0" w:rsidRDefault="00B8451B" w:rsidP="00B8451B">
      <w:pPr>
        <w:pStyle w:val="Recuodecorpodetexto"/>
        <w:ind w:firstLine="0"/>
        <w:rPr>
          <w:rFonts w:ascii="Arial" w:hAnsi="Arial" w:cs="Arial"/>
          <w:color w:val="FF0000"/>
          <w:sz w:val="20"/>
          <w:szCs w:val="20"/>
        </w:rPr>
      </w:pP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 w:rsidRPr="00710B67">
        <w:rPr>
          <w:rFonts w:ascii="Arial" w:hAnsi="Arial" w:cs="Arial"/>
          <w:sz w:val="20"/>
          <w:szCs w:val="20"/>
        </w:rPr>
        <w:t xml:space="preserve">As exportações </w:t>
      </w:r>
      <w:r>
        <w:rPr>
          <w:rFonts w:ascii="Arial" w:hAnsi="Arial" w:cs="Arial"/>
          <w:sz w:val="20"/>
          <w:szCs w:val="20"/>
        </w:rPr>
        <w:t>de carnes diminuíram de US$ 5,99 bilhões entre janeiro e maio de 2017 para US$ 5,61 bilhões entre janeiro e maio de 2018 (-6,3%). Nesses cinco primeiros meses de</w:t>
      </w:r>
      <w:r w:rsidRPr="00710B67">
        <w:rPr>
          <w:rFonts w:ascii="Arial" w:hAnsi="Arial" w:cs="Arial"/>
          <w:sz w:val="20"/>
          <w:szCs w:val="20"/>
        </w:rPr>
        <w:t xml:space="preserve"> 2018, as vendas externas de carnes de frango foram de US</w:t>
      </w:r>
      <w:r>
        <w:rPr>
          <w:rFonts w:ascii="Arial" w:hAnsi="Arial" w:cs="Arial"/>
          <w:sz w:val="20"/>
          <w:szCs w:val="20"/>
        </w:rPr>
        <w:t>$ 2,93</w:t>
      </w:r>
      <w:r w:rsidRPr="00710B67">
        <w:rPr>
          <w:rFonts w:ascii="Arial" w:hAnsi="Arial" w:cs="Arial"/>
          <w:sz w:val="20"/>
          <w:szCs w:val="20"/>
        </w:rPr>
        <w:t xml:space="preserve"> bilhões </w:t>
      </w:r>
      <w:r>
        <w:rPr>
          <w:rFonts w:ascii="Arial" w:hAnsi="Arial" w:cs="Arial"/>
          <w:sz w:val="20"/>
          <w:szCs w:val="20"/>
        </w:rPr>
        <w:t>para US$ 2,50 bilhões (-14,7%), de carne suína US$ 653 milhões para US$ 491 milhões (-24,8</w:t>
      </w:r>
      <w:r w:rsidRPr="00710B67">
        <w:rPr>
          <w:rFonts w:ascii="Arial" w:hAnsi="Arial" w:cs="Arial"/>
          <w:sz w:val="20"/>
          <w:szCs w:val="20"/>
        </w:rPr>
        <w:t>%) e carne de peru</w:t>
      </w:r>
      <w:r>
        <w:rPr>
          <w:rFonts w:ascii="Arial" w:hAnsi="Arial" w:cs="Arial"/>
          <w:sz w:val="20"/>
          <w:szCs w:val="20"/>
        </w:rPr>
        <w:t xml:space="preserve"> US$ 132 para US$ 57 milhões (-57,0</w:t>
      </w:r>
      <w:r w:rsidRPr="00710B67">
        <w:rPr>
          <w:rFonts w:ascii="Arial" w:hAnsi="Arial" w:cs="Arial"/>
          <w:sz w:val="20"/>
          <w:szCs w:val="20"/>
        </w:rPr>
        <w:t xml:space="preserve">%). Ao contrário do desempenho negativo das demais carnes, as exportações de carne bovina cresceram </w:t>
      </w:r>
      <w:r>
        <w:rPr>
          <w:rFonts w:ascii="Arial" w:hAnsi="Arial" w:cs="Arial"/>
          <w:sz w:val="20"/>
          <w:szCs w:val="20"/>
        </w:rPr>
        <w:t>13,3</w:t>
      </w:r>
      <w:r w:rsidRPr="00710B67">
        <w:rPr>
          <w:rFonts w:ascii="Arial" w:hAnsi="Arial" w:cs="Arial"/>
          <w:sz w:val="20"/>
          <w:szCs w:val="20"/>
        </w:rPr>
        <w:t xml:space="preserve">%, passando de US$ </w:t>
      </w:r>
      <w:r>
        <w:rPr>
          <w:rFonts w:ascii="Arial" w:hAnsi="Arial" w:cs="Arial"/>
          <w:sz w:val="20"/>
          <w:szCs w:val="20"/>
        </w:rPr>
        <w:t>2,12 bilhões</w:t>
      </w:r>
      <w:r w:rsidRPr="00710B67">
        <w:rPr>
          <w:rFonts w:ascii="Arial" w:hAnsi="Arial" w:cs="Arial"/>
          <w:sz w:val="20"/>
          <w:szCs w:val="20"/>
        </w:rPr>
        <w:t xml:space="preserve"> entre janeiro e </w:t>
      </w:r>
      <w:r>
        <w:rPr>
          <w:rFonts w:ascii="Arial" w:hAnsi="Arial" w:cs="Arial"/>
          <w:sz w:val="20"/>
          <w:szCs w:val="20"/>
        </w:rPr>
        <w:t>maio</w:t>
      </w:r>
      <w:r w:rsidRPr="00710B67">
        <w:rPr>
          <w:rFonts w:ascii="Arial" w:hAnsi="Arial" w:cs="Arial"/>
          <w:sz w:val="20"/>
          <w:szCs w:val="20"/>
        </w:rPr>
        <w:t xml:space="preserve"> de 2017 para US$ </w:t>
      </w:r>
      <w:r>
        <w:rPr>
          <w:rFonts w:ascii="Arial" w:hAnsi="Arial" w:cs="Arial"/>
          <w:sz w:val="20"/>
          <w:szCs w:val="20"/>
        </w:rPr>
        <w:t>2,41 bilhões</w:t>
      </w:r>
      <w:r w:rsidRPr="00710B67">
        <w:rPr>
          <w:rFonts w:ascii="Arial" w:hAnsi="Arial" w:cs="Arial"/>
          <w:sz w:val="20"/>
          <w:szCs w:val="20"/>
        </w:rPr>
        <w:t xml:space="preserve"> entre janeiro e </w:t>
      </w:r>
      <w:r>
        <w:rPr>
          <w:rFonts w:ascii="Arial" w:hAnsi="Arial" w:cs="Arial"/>
          <w:sz w:val="20"/>
          <w:szCs w:val="20"/>
        </w:rPr>
        <w:t>maio</w:t>
      </w:r>
      <w:r w:rsidRPr="00710B67">
        <w:rPr>
          <w:rFonts w:ascii="Arial" w:hAnsi="Arial" w:cs="Arial"/>
          <w:sz w:val="20"/>
          <w:szCs w:val="20"/>
        </w:rPr>
        <w:t xml:space="preserve"> de 2018. O volume exportado subiu de </w:t>
      </w:r>
      <w:r>
        <w:rPr>
          <w:rFonts w:ascii="Arial" w:hAnsi="Arial" w:cs="Arial"/>
          <w:sz w:val="20"/>
          <w:szCs w:val="20"/>
        </w:rPr>
        <w:t>528,78</w:t>
      </w:r>
      <w:r w:rsidRPr="00710B67">
        <w:rPr>
          <w:rFonts w:ascii="Arial" w:hAnsi="Arial" w:cs="Arial"/>
          <w:sz w:val="20"/>
          <w:szCs w:val="20"/>
        </w:rPr>
        <w:t xml:space="preserve"> mil toneladas entre janeiro e </w:t>
      </w:r>
      <w:r>
        <w:rPr>
          <w:rFonts w:ascii="Arial" w:hAnsi="Arial" w:cs="Arial"/>
          <w:sz w:val="20"/>
          <w:szCs w:val="20"/>
        </w:rPr>
        <w:t>maio</w:t>
      </w:r>
      <w:r w:rsidRPr="00710B67">
        <w:rPr>
          <w:rFonts w:ascii="Arial" w:hAnsi="Arial" w:cs="Arial"/>
          <w:sz w:val="20"/>
          <w:szCs w:val="20"/>
        </w:rPr>
        <w:t xml:space="preserve"> de 2017 para </w:t>
      </w:r>
      <w:r>
        <w:rPr>
          <w:rFonts w:ascii="Arial" w:hAnsi="Arial" w:cs="Arial"/>
          <w:sz w:val="20"/>
          <w:szCs w:val="20"/>
        </w:rPr>
        <w:t>620,02</w:t>
      </w:r>
      <w:r w:rsidRPr="00710B67">
        <w:rPr>
          <w:rFonts w:ascii="Arial" w:hAnsi="Arial" w:cs="Arial"/>
          <w:sz w:val="20"/>
          <w:szCs w:val="20"/>
        </w:rPr>
        <w:t xml:space="preserve"> mil toneladas entre janeiro e </w:t>
      </w:r>
      <w:r>
        <w:rPr>
          <w:rFonts w:ascii="Arial" w:hAnsi="Arial" w:cs="Arial"/>
          <w:sz w:val="20"/>
          <w:szCs w:val="20"/>
        </w:rPr>
        <w:t>maio</w:t>
      </w:r>
      <w:r w:rsidRPr="00710B67">
        <w:rPr>
          <w:rFonts w:ascii="Arial" w:hAnsi="Arial" w:cs="Arial"/>
          <w:sz w:val="20"/>
          <w:szCs w:val="20"/>
        </w:rPr>
        <w:t xml:space="preserve"> de 2018 (+</w:t>
      </w:r>
      <w:r>
        <w:rPr>
          <w:rFonts w:ascii="Arial" w:hAnsi="Arial" w:cs="Arial"/>
          <w:sz w:val="20"/>
          <w:szCs w:val="20"/>
        </w:rPr>
        <w:t>17</w:t>
      </w:r>
      <w:r w:rsidRPr="00710B67">
        <w:rPr>
          <w:rFonts w:ascii="Arial" w:hAnsi="Arial" w:cs="Arial"/>
          <w:sz w:val="20"/>
          <w:szCs w:val="20"/>
        </w:rPr>
        <w:t xml:space="preserve">,3%). Por sua vez, o preço médio de exportação da carne bovina recuou </w:t>
      </w:r>
      <w:r>
        <w:rPr>
          <w:rFonts w:ascii="Arial" w:hAnsi="Arial" w:cs="Arial"/>
          <w:sz w:val="20"/>
          <w:szCs w:val="20"/>
        </w:rPr>
        <w:t>3,3</w:t>
      </w:r>
      <w:r w:rsidRPr="00710B67">
        <w:rPr>
          <w:rFonts w:ascii="Arial" w:hAnsi="Arial" w:cs="Arial"/>
          <w:sz w:val="20"/>
          <w:szCs w:val="20"/>
        </w:rPr>
        <w:t>%.</w:t>
      </w: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setor sucroalcooleiro teve o pior desempenho dentre os maiores setores exportadores do agronegócio. As vendas externas do setor diminuíram de US$ 4,52 bilhões entre janeiro e maio de 2017 para US$ 2,90 bilhões entre janeiro e maio de 2018 (-35,8). Há um excesso de oferta na safra atual, assim, o preço médio de exportação do açúcar caiu de US$ 438 por tonelada para US$ 335 por tonelada (-23,5%). A quantidade exportada de açúcar também caiu, passando de 9,7 milhões de toneladas para 7,9 milhões (-18,7%). As exportações de álcool também diminuíram, passando de US$ 272,0 milhões entre janeiro e maio de 2017 para US$ 255,2 milhões entre janeiro e maio de 2018.</w:t>
      </w:r>
    </w:p>
    <w:p w:rsidR="00B8451B" w:rsidRPr="00850525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</w:p>
    <w:p w:rsidR="00B8451B" w:rsidRPr="00850525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 w:rsidRPr="00850525">
        <w:rPr>
          <w:rFonts w:ascii="Arial" w:hAnsi="Arial" w:cs="Arial"/>
          <w:sz w:val="20"/>
          <w:szCs w:val="20"/>
        </w:rPr>
        <w:t>O café ficou na quinta posição dentre os principais setores exportadores. As exporta</w:t>
      </w:r>
      <w:r>
        <w:rPr>
          <w:rFonts w:ascii="Arial" w:hAnsi="Arial" w:cs="Arial"/>
          <w:sz w:val="20"/>
          <w:szCs w:val="20"/>
        </w:rPr>
        <w:t>ções do setor caíram de US$ 2,26 bilhão entre janeiro e maio</w:t>
      </w:r>
      <w:r w:rsidRPr="00850525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17 para US$ 1,88</w:t>
      </w:r>
      <w:r w:rsidRPr="00850525">
        <w:rPr>
          <w:rFonts w:ascii="Arial" w:hAnsi="Arial" w:cs="Arial"/>
          <w:sz w:val="20"/>
          <w:szCs w:val="20"/>
        </w:rPr>
        <w:t xml:space="preserve"> bilhão entr</w:t>
      </w:r>
      <w:r>
        <w:rPr>
          <w:rFonts w:ascii="Arial" w:hAnsi="Arial" w:cs="Arial"/>
          <w:sz w:val="20"/>
          <w:szCs w:val="20"/>
        </w:rPr>
        <w:t>e janeiro e maio de 2018 (-16,6</w:t>
      </w:r>
      <w:r w:rsidRPr="00850525">
        <w:rPr>
          <w:rFonts w:ascii="Arial" w:hAnsi="Arial" w:cs="Arial"/>
          <w:sz w:val="20"/>
          <w:szCs w:val="20"/>
        </w:rPr>
        <w:t>%). No setor, as vendas</w:t>
      </w:r>
      <w:r>
        <w:rPr>
          <w:rFonts w:ascii="Arial" w:hAnsi="Arial" w:cs="Arial"/>
          <w:sz w:val="20"/>
          <w:szCs w:val="20"/>
        </w:rPr>
        <w:t xml:space="preserve"> de café verde foram de US$ 1,64 bilhão (-17,4</w:t>
      </w:r>
      <w:r w:rsidRPr="00850525">
        <w:rPr>
          <w:rFonts w:ascii="Arial" w:hAnsi="Arial" w:cs="Arial"/>
          <w:sz w:val="20"/>
          <w:szCs w:val="20"/>
        </w:rPr>
        <w:t xml:space="preserve">%) enquanto as exportações de </w:t>
      </w:r>
      <w:r>
        <w:rPr>
          <w:rFonts w:ascii="Arial" w:hAnsi="Arial" w:cs="Arial"/>
          <w:sz w:val="20"/>
          <w:szCs w:val="20"/>
        </w:rPr>
        <w:t>café solúvel foram de US$ 208,1 milhões (-13,1</w:t>
      </w:r>
      <w:r w:rsidRPr="00850525">
        <w:rPr>
          <w:rFonts w:ascii="Arial" w:hAnsi="Arial" w:cs="Arial"/>
          <w:sz w:val="20"/>
          <w:szCs w:val="20"/>
        </w:rPr>
        <w:t xml:space="preserve">%). </w:t>
      </w:r>
    </w:p>
    <w:p w:rsidR="00B8451B" w:rsidRPr="00A87ED0" w:rsidRDefault="00B8451B" w:rsidP="00B8451B">
      <w:pPr>
        <w:pStyle w:val="Recuodecorpodetexto"/>
        <w:rPr>
          <w:rFonts w:ascii="Arial" w:hAnsi="Arial" w:cs="Arial"/>
          <w:color w:val="FF0000"/>
          <w:sz w:val="20"/>
          <w:szCs w:val="20"/>
        </w:rPr>
      </w:pPr>
    </w:p>
    <w:p w:rsidR="00B8451B" w:rsidRPr="00BE76C8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 w:rsidRPr="00834AF4">
        <w:rPr>
          <w:rFonts w:ascii="Arial" w:hAnsi="Arial" w:cs="Arial"/>
          <w:sz w:val="20"/>
          <w:szCs w:val="20"/>
        </w:rPr>
        <w:t>Os vinte demais setores exportadores do agronegócio exportaram US$ 6,78 bil</w:t>
      </w:r>
      <w:r>
        <w:rPr>
          <w:rFonts w:ascii="Arial" w:hAnsi="Arial" w:cs="Arial"/>
          <w:sz w:val="20"/>
          <w:szCs w:val="20"/>
        </w:rPr>
        <w:t>hões entre janeiro e maio de 2018 com uma expansão de 19,2</w:t>
      </w:r>
      <w:r w:rsidRPr="00834AF4">
        <w:rPr>
          <w:rFonts w:ascii="Arial" w:hAnsi="Arial" w:cs="Arial"/>
          <w:sz w:val="20"/>
          <w:szCs w:val="20"/>
        </w:rPr>
        <w:t>% em</w:t>
      </w:r>
      <w:r>
        <w:rPr>
          <w:rFonts w:ascii="Arial" w:hAnsi="Arial" w:cs="Arial"/>
          <w:sz w:val="20"/>
          <w:szCs w:val="20"/>
        </w:rPr>
        <w:t xml:space="preserve"> relação aos US$ 5,69</w:t>
      </w:r>
      <w:r w:rsidRPr="00834AF4">
        <w:rPr>
          <w:rFonts w:ascii="Arial" w:hAnsi="Arial" w:cs="Arial"/>
          <w:sz w:val="20"/>
          <w:szCs w:val="20"/>
        </w:rPr>
        <w:t xml:space="preserve"> bilhões exp</w:t>
      </w:r>
      <w:r>
        <w:rPr>
          <w:rFonts w:ascii="Arial" w:hAnsi="Arial" w:cs="Arial"/>
          <w:sz w:val="20"/>
          <w:szCs w:val="20"/>
        </w:rPr>
        <w:t>ortados entre janeiro e maio</w:t>
      </w:r>
      <w:r w:rsidRPr="00834AF4">
        <w:rPr>
          <w:rFonts w:ascii="Arial" w:hAnsi="Arial" w:cs="Arial"/>
          <w:sz w:val="20"/>
          <w:szCs w:val="20"/>
        </w:rPr>
        <w:t xml:space="preserve"> de 2017. </w:t>
      </w:r>
      <w:r w:rsidRPr="00BE76C8">
        <w:rPr>
          <w:rFonts w:ascii="Arial" w:hAnsi="Arial" w:cs="Arial"/>
          <w:sz w:val="20"/>
          <w:szCs w:val="20"/>
        </w:rPr>
        <w:t>Dentre esses 20 setores, os setores que apresentaram maior crescimento absoluto de exportações foram: Cereais, farinhas e prep</w:t>
      </w:r>
      <w:r>
        <w:rPr>
          <w:rFonts w:ascii="Arial" w:hAnsi="Arial" w:cs="Arial"/>
          <w:sz w:val="20"/>
          <w:szCs w:val="20"/>
        </w:rPr>
        <w:t>arações (exportações de US$ 1,15 bilhão, + US$ 414,6</w:t>
      </w:r>
      <w:r w:rsidRPr="00BE76C8">
        <w:rPr>
          <w:rFonts w:ascii="Arial" w:hAnsi="Arial" w:cs="Arial"/>
          <w:sz w:val="20"/>
          <w:szCs w:val="20"/>
        </w:rPr>
        <w:t xml:space="preserve"> milhões em valor absoluto); fumo e seus pro</w:t>
      </w:r>
      <w:r>
        <w:rPr>
          <w:rFonts w:ascii="Arial" w:hAnsi="Arial" w:cs="Arial"/>
          <w:sz w:val="20"/>
          <w:szCs w:val="20"/>
        </w:rPr>
        <w:t>dutos (exportações de US$ 692,4 milhões, + US$ 247,4</w:t>
      </w:r>
      <w:r w:rsidRPr="00BE76C8">
        <w:rPr>
          <w:rFonts w:ascii="Arial" w:hAnsi="Arial" w:cs="Arial"/>
          <w:sz w:val="20"/>
          <w:szCs w:val="20"/>
        </w:rPr>
        <w:t xml:space="preserve"> milhões); </w:t>
      </w:r>
      <w:r>
        <w:rPr>
          <w:rFonts w:ascii="Arial" w:hAnsi="Arial" w:cs="Arial"/>
          <w:sz w:val="20"/>
          <w:szCs w:val="20"/>
        </w:rPr>
        <w:t>sucos (exportações de US$ 997,7 milhões, + US$ 234,5</w:t>
      </w:r>
      <w:r w:rsidRPr="00BE76C8">
        <w:rPr>
          <w:rFonts w:ascii="Arial" w:hAnsi="Arial" w:cs="Arial"/>
          <w:sz w:val="20"/>
          <w:szCs w:val="20"/>
        </w:rPr>
        <w:t xml:space="preserve"> milhões); animais </w:t>
      </w:r>
      <w:r>
        <w:rPr>
          <w:rFonts w:ascii="Arial" w:hAnsi="Arial" w:cs="Arial"/>
          <w:sz w:val="20"/>
          <w:szCs w:val="20"/>
        </w:rPr>
        <w:t xml:space="preserve">vivos (exportações de US$ 269,3 milhões, + US$ 161,2 milhões); </w:t>
      </w:r>
      <w:r w:rsidRPr="00BE76C8">
        <w:rPr>
          <w:rFonts w:ascii="Arial" w:hAnsi="Arial" w:cs="Arial"/>
          <w:sz w:val="20"/>
          <w:szCs w:val="20"/>
        </w:rPr>
        <w:t>fibras e produtos tê</w:t>
      </w:r>
      <w:r>
        <w:rPr>
          <w:rFonts w:ascii="Arial" w:hAnsi="Arial" w:cs="Arial"/>
          <w:sz w:val="20"/>
          <w:szCs w:val="20"/>
        </w:rPr>
        <w:t>xteis (exportações de US$ 556,3 milhões, + US$ 157,8 milhões).</w:t>
      </w:r>
    </w:p>
    <w:p w:rsidR="00B8451B" w:rsidRPr="00A87ED0" w:rsidRDefault="00B8451B" w:rsidP="00B8451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B8451B" w:rsidRPr="00395E03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 w:rsidRPr="00395E03">
        <w:rPr>
          <w:rFonts w:ascii="Arial" w:hAnsi="Arial" w:cs="Arial"/>
          <w:sz w:val="20"/>
          <w:szCs w:val="20"/>
        </w:rPr>
        <w:t>As importações d</w:t>
      </w:r>
      <w:r>
        <w:rPr>
          <w:rFonts w:ascii="Arial" w:hAnsi="Arial" w:cs="Arial"/>
          <w:sz w:val="20"/>
          <w:szCs w:val="20"/>
        </w:rPr>
        <w:t>o agronegócio atingiram US$ 5,99 bilhões entre janeiro e maio</w:t>
      </w:r>
      <w:r w:rsidRPr="00395E0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2018 (-2,4</w:t>
      </w:r>
      <w:r w:rsidRPr="00395E03">
        <w:rPr>
          <w:rFonts w:ascii="Arial" w:hAnsi="Arial" w:cs="Arial"/>
          <w:sz w:val="20"/>
          <w:szCs w:val="20"/>
        </w:rPr>
        <w:t>%). Os principais produtos do agronegócio importados foram:</w:t>
      </w:r>
      <w:r>
        <w:rPr>
          <w:rFonts w:ascii="Arial" w:hAnsi="Arial" w:cs="Arial"/>
          <w:sz w:val="20"/>
          <w:szCs w:val="20"/>
        </w:rPr>
        <w:t xml:space="preserve"> trigo (US$ 504,39 milhões; +5,4</w:t>
      </w:r>
      <w:r w:rsidRPr="00395E03">
        <w:rPr>
          <w:rFonts w:ascii="Arial" w:hAnsi="Arial" w:cs="Arial"/>
          <w:sz w:val="20"/>
          <w:szCs w:val="20"/>
        </w:rPr>
        <w:t>%);</w:t>
      </w:r>
      <w:r>
        <w:rPr>
          <w:rFonts w:ascii="Arial" w:hAnsi="Arial" w:cs="Arial"/>
          <w:sz w:val="20"/>
          <w:szCs w:val="20"/>
        </w:rPr>
        <w:t xml:space="preserve"> álcool etílico (US$ 487,21 milhões; -10,2</w:t>
      </w:r>
      <w:r w:rsidRPr="00395E03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 xml:space="preserve"> papel (US$ 373,56 milhões; +17,4</w:t>
      </w:r>
      <w:r w:rsidRPr="00395E03">
        <w:rPr>
          <w:rFonts w:ascii="Arial" w:hAnsi="Arial" w:cs="Arial"/>
          <w:sz w:val="20"/>
          <w:szCs w:val="20"/>
        </w:rPr>
        <w:t>%); vestuário e outros produto</w:t>
      </w:r>
      <w:r>
        <w:rPr>
          <w:rFonts w:ascii="Arial" w:hAnsi="Arial" w:cs="Arial"/>
          <w:sz w:val="20"/>
          <w:szCs w:val="20"/>
        </w:rPr>
        <w:t>s têxteis de algodão (US$ 261,00 milhões; +31,1%); salmões (US$ 212,16 milhões; -7,7%); azeite de oliva (US$ 202,93 milhões; +77,0%); borracha natural (US$ 157,6 milhões; -4,2</w:t>
      </w:r>
      <w:r w:rsidRPr="00395E03">
        <w:rPr>
          <w:rFonts w:ascii="Arial" w:hAnsi="Arial" w:cs="Arial"/>
          <w:sz w:val="20"/>
          <w:szCs w:val="20"/>
        </w:rPr>
        <w:t>%).</w:t>
      </w:r>
    </w:p>
    <w:p w:rsidR="00D12C0B" w:rsidRPr="00D12C0B" w:rsidRDefault="00D12C0B" w:rsidP="00D12C0B"/>
    <w:p w:rsidR="003B632E" w:rsidRDefault="003B632E" w:rsidP="003B632E">
      <w:pPr>
        <w:rPr>
          <w:rFonts w:ascii="Arial" w:hAnsi="Arial" w:cs="Arial"/>
        </w:rPr>
      </w:pPr>
    </w:p>
    <w:p w:rsidR="002B1A0F" w:rsidRPr="00826906" w:rsidRDefault="00A87ED0" w:rsidP="003B632E">
      <w:pPr>
        <w:rPr>
          <w:rFonts w:ascii="Arial" w:hAnsi="Arial" w:cs="Arial"/>
        </w:rPr>
      </w:pPr>
      <w:r w:rsidRPr="00A87ED0">
        <w:rPr>
          <w:noProof/>
        </w:rPr>
        <w:drawing>
          <wp:inline distT="0" distB="0" distL="0" distR="0" wp14:anchorId="14F1E7B8" wp14:editId="02D66092">
            <wp:extent cx="6480175" cy="38550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C0B" w:rsidRDefault="00D12C0B" w:rsidP="003B632E">
      <w:pPr>
        <w:pStyle w:val="Ttulo5"/>
        <w:autoSpaceDE/>
        <w:autoSpaceDN/>
        <w:adjustRightInd/>
        <w:rPr>
          <w:rFonts w:ascii="Arial" w:hAnsi="Arial" w:cs="Arial"/>
          <w:b w:val="0"/>
          <w:sz w:val="20"/>
          <w:szCs w:val="20"/>
        </w:rPr>
      </w:pPr>
      <w:bookmarkStart w:id="0" w:name="OLE_LINK1"/>
    </w:p>
    <w:p w:rsidR="00B8451B" w:rsidRDefault="00B8451B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3B632E" w:rsidRDefault="003B632E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II.b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Blocos Econômicos e Regiões Geográficas</w:t>
      </w:r>
    </w:p>
    <w:p w:rsidR="00D12C0B" w:rsidRDefault="00D12C0B" w:rsidP="00D12C0B"/>
    <w:p w:rsidR="00B8451B" w:rsidRPr="00463446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 w:rsidRPr="00463446">
        <w:rPr>
          <w:rFonts w:ascii="Arial" w:hAnsi="Arial" w:cs="Arial"/>
          <w:sz w:val="20"/>
          <w:szCs w:val="20"/>
        </w:rPr>
        <w:t xml:space="preserve">As exportações </w:t>
      </w:r>
      <w:r>
        <w:rPr>
          <w:rFonts w:ascii="Arial" w:hAnsi="Arial" w:cs="Arial"/>
          <w:sz w:val="20"/>
          <w:szCs w:val="20"/>
        </w:rPr>
        <w:t>para a Ásia subiram acima do crescimento das exportações para o mundo (+3,8%), passando de US$ 19,24</w:t>
      </w:r>
      <w:r w:rsidRPr="00463446">
        <w:rPr>
          <w:rFonts w:ascii="Arial" w:hAnsi="Arial" w:cs="Arial"/>
          <w:sz w:val="20"/>
          <w:szCs w:val="20"/>
        </w:rPr>
        <w:t xml:space="preserve"> bilhões entre </w:t>
      </w:r>
      <w:r>
        <w:rPr>
          <w:rFonts w:ascii="Arial" w:hAnsi="Arial" w:cs="Arial"/>
          <w:sz w:val="20"/>
          <w:szCs w:val="20"/>
        </w:rPr>
        <w:t>janeiro e maio de 2017 para US$ 20,25 bilhões entre janeiro e maio de 2018 (+5,3</w:t>
      </w:r>
      <w:r w:rsidRPr="00463446">
        <w:rPr>
          <w:rFonts w:ascii="Arial" w:hAnsi="Arial" w:cs="Arial"/>
          <w:sz w:val="20"/>
          <w:szCs w:val="20"/>
        </w:rPr>
        <w:t xml:space="preserve">%). </w:t>
      </w:r>
      <w:r>
        <w:rPr>
          <w:rFonts w:ascii="Arial" w:hAnsi="Arial" w:cs="Arial"/>
          <w:sz w:val="20"/>
          <w:szCs w:val="20"/>
        </w:rPr>
        <w:t xml:space="preserve">Com esse crescimento, o </w:t>
      </w:r>
      <w:r w:rsidRPr="00463446">
        <w:rPr>
          <w:rFonts w:ascii="Arial" w:hAnsi="Arial" w:cs="Arial"/>
          <w:sz w:val="20"/>
          <w:szCs w:val="20"/>
        </w:rPr>
        <w:t>conti</w:t>
      </w:r>
      <w:r>
        <w:rPr>
          <w:rFonts w:ascii="Arial" w:hAnsi="Arial" w:cs="Arial"/>
          <w:sz w:val="20"/>
          <w:szCs w:val="20"/>
        </w:rPr>
        <w:t>nente asiático aumentou sua participação de 49,5% para 50,2%</w:t>
      </w:r>
      <w:r w:rsidRPr="00463446">
        <w:rPr>
          <w:rFonts w:ascii="Arial" w:hAnsi="Arial" w:cs="Arial"/>
          <w:sz w:val="20"/>
          <w:szCs w:val="20"/>
        </w:rPr>
        <w:t xml:space="preserve"> do total exportado pelo Brasil em produtos do agronegócio.</w:t>
      </w:r>
    </w:p>
    <w:p w:rsidR="00B8451B" w:rsidRPr="00463446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 w:rsidRPr="00463446">
        <w:rPr>
          <w:rFonts w:ascii="Arial" w:hAnsi="Arial" w:cs="Arial"/>
          <w:sz w:val="20"/>
          <w:szCs w:val="20"/>
        </w:rPr>
        <w:t xml:space="preserve">A União Europeia foi o bloco que apresentou maior expansão do </w:t>
      </w:r>
      <w:proofErr w:type="spellStart"/>
      <w:r w:rsidRPr="005935FC">
        <w:rPr>
          <w:rFonts w:ascii="Arial" w:hAnsi="Arial" w:cs="Arial"/>
          <w:i/>
          <w:sz w:val="20"/>
          <w:szCs w:val="20"/>
        </w:rPr>
        <w:t>market</w:t>
      </w:r>
      <w:proofErr w:type="spellEnd"/>
      <w:r w:rsidRPr="005935F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935FC">
        <w:rPr>
          <w:rFonts w:ascii="Arial" w:hAnsi="Arial" w:cs="Arial"/>
          <w:i/>
          <w:sz w:val="20"/>
          <w:szCs w:val="20"/>
        </w:rPr>
        <w:t>share</w:t>
      </w:r>
      <w:proofErr w:type="spellEnd"/>
      <w:r w:rsidRPr="00463446">
        <w:rPr>
          <w:rFonts w:ascii="Arial" w:hAnsi="Arial" w:cs="Arial"/>
          <w:sz w:val="20"/>
          <w:szCs w:val="20"/>
        </w:rPr>
        <w:t xml:space="preserve"> no período. As exportaç</w:t>
      </w:r>
      <w:r>
        <w:rPr>
          <w:rFonts w:ascii="Arial" w:hAnsi="Arial" w:cs="Arial"/>
          <w:sz w:val="20"/>
          <w:szCs w:val="20"/>
        </w:rPr>
        <w:t>ões ao Bloco subiram de US$ 6,72</w:t>
      </w:r>
      <w:r w:rsidRPr="00463446">
        <w:rPr>
          <w:rFonts w:ascii="Arial" w:hAnsi="Arial" w:cs="Arial"/>
          <w:sz w:val="20"/>
          <w:szCs w:val="20"/>
        </w:rPr>
        <w:t xml:space="preserve"> bilhões entre janei</w:t>
      </w:r>
      <w:r>
        <w:rPr>
          <w:rFonts w:ascii="Arial" w:hAnsi="Arial" w:cs="Arial"/>
          <w:sz w:val="20"/>
          <w:szCs w:val="20"/>
        </w:rPr>
        <w:t>ro e maio de 2017 para US$ 7,31</w:t>
      </w:r>
      <w:r w:rsidRPr="00463446">
        <w:rPr>
          <w:rFonts w:ascii="Arial" w:hAnsi="Arial" w:cs="Arial"/>
          <w:sz w:val="20"/>
          <w:szCs w:val="20"/>
        </w:rPr>
        <w:t xml:space="preserve"> bilhões no mesmo período de 2018, números que rep</w:t>
      </w:r>
      <w:r>
        <w:rPr>
          <w:rFonts w:ascii="Arial" w:hAnsi="Arial" w:cs="Arial"/>
          <w:sz w:val="20"/>
          <w:szCs w:val="20"/>
        </w:rPr>
        <w:t>resentaram um incremento de 8,8% em valor ou 0,8 ponto percentual</w:t>
      </w:r>
      <w:r w:rsidRPr="00463446">
        <w:rPr>
          <w:rFonts w:ascii="Arial" w:hAnsi="Arial" w:cs="Arial"/>
          <w:sz w:val="20"/>
          <w:szCs w:val="20"/>
        </w:rPr>
        <w:t xml:space="preserve"> na participação do bloco.</w:t>
      </w:r>
      <w:r>
        <w:rPr>
          <w:rFonts w:ascii="Arial" w:hAnsi="Arial" w:cs="Arial"/>
          <w:sz w:val="20"/>
          <w:szCs w:val="20"/>
        </w:rPr>
        <w:t xml:space="preserve"> Participação que passou de 17,3</w:t>
      </w:r>
      <w:r w:rsidRPr="00463446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nos primeiros cinco meses de 2017 para 18,1% entre janeiro e maio</w:t>
      </w:r>
      <w:r w:rsidRPr="00463446">
        <w:rPr>
          <w:rFonts w:ascii="Arial" w:hAnsi="Arial" w:cs="Arial"/>
          <w:sz w:val="20"/>
          <w:szCs w:val="20"/>
        </w:rPr>
        <w:t xml:space="preserve"> de 2018.</w:t>
      </w: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</w:p>
    <w:p w:rsidR="00B8451B" w:rsidRPr="00463446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Somente a Ásia e a União Europeia foram responsáveis por 68,3% do total das exportações brasileiras do agronegócio entre janeiro e maio de 2018. No mesmo período de 2017, a Ásia e a União responderam por 66,8% do total das exportações do agronegócio brasileiro.</w:t>
      </w:r>
    </w:p>
    <w:p w:rsidR="00B8451B" w:rsidRPr="00A87ED0" w:rsidRDefault="00B8451B" w:rsidP="00B8451B">
      <w:pPr>
        <w:pStyle w:val="Recuodecorpodetexto"/>
        <w:rPr>
          <w:rFonts w:ascii="Arial" w:hAnsi="Arial" w:cs="Arial"/>
          <w:color w:val="FF0000"/>
          <w:sz w:val="20"/>
          <w:szCs w:val="20"/>
        </w:rPr>
      </w:pPr>
    </w:p>
    <w:p w:rsidR="00B8451B" w:rsidRPr="00D6406C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 w:rsidRPr="00D6406C">
        <w:rPr>
          <w:rFonts w:ascii="Arial" w:hAnsi="Arial" w:cs="Arial"/>
          <w:sz w:val="20"/>
          <w:szCs w:val="20"/>
        </w:rPr>
        <w:t>Outros blocos ou regiões geográficas que expandiram as aquisições de produtos do agronegócio b</w:t>
      </w:r>
      <w:r>
        <w:rPr>
          <w:rFonts w:ascii="Arial" w:hAnsi="Arial" w:cs="Arial"/>
          <w:sz w:val="20"/>
          <w:szCs w:val="20"/>
        </w:rPr>
        <w:t>rasileiro foram: NAFTA (US$ 3,44 bilhões; +11,3%); ALADI (US$ 1,51 bilhão; +18,1%); MERCOSUL (US$ 1,38 bilhão; +27,9</w:t>
      </w:r>
      <w:r w:rsidRPr="00D6406C">
        <w:rPr>
          <w:rFonts w:ascii="Arial" w:hAnsi="Arial" w:cs="Arial"/>
          <w:sz w:val="20"/>
          <w:szCs w:val="20"/>
        </w:rPr>
        <w:t>%) e demais países</w:t>
      </w:r>
      <w:r>
        <w:rPr>
          <w:rFonts w:ascii="Arial" w:hAnsi="Arial" w:cs="Arial"/>
          <w:sz w:val="20"/>
          <w:szCs w:val="20"/>
        </w:rPr>
        <w:t xml:space="preserve"> da Europa Ocidental (US$ 843,09 milhões; +85,1</w:t>
      </w:r>
      <w:r w:rsidRPr="00D6406C">
        <w:rPr>
          <w:rFonts w:ascii="Arial" w:hAnsi="Arial" w:cs="Arial"/>
          <w:sz w:val="20"/>
          <w:szCs w:val="20"/>
        </w:rPr>
        <w:t xml:space="preserve">%). </w:t>
      </w:r>
    </w:p>
    <w:p w:rsidR="00D12C0B" w:rsidRPr="00DD0277" w:rsidRDefault="00D12C0B" w:rsidP="00DD0277">
      <w:pPr>
        <w:pStyle w:val="Recuodecorpodetexto"/>
        <w:rPr>
          <w:rFonts w:ascii="Arial" w:hAnsi="Arial" w:cs="Arial"/>
          <w:sz w:val="20"/>
          <w:szCs w:val="20"/>
        </w:rPr>
      </w:pPr>
    </w:p>
    <w:p w:rsidR="003B632E" w:rsidRPr="00826906" w:rsidRDefault="003B632E" w:rsidP="003B632E">
      <w:pPr>
        <w:jc w:val="both"/>
        <w:rPr>
          <w:rFonts w:ascii="Arial" w:hAnsi="Arial" w:cs="Arial"/>
          <w:sz w:val="20"/>
          <w:szCs w:val="20"/>
        </w:rPr>
      </w:pPr>
    </w:p>
    <w:p w:rsidR="003B632E" w:rsidRPr="00826906" w:rsidRDefault="00A87ED0" w:rsidP="003B632E">
      <w:pPr>
        <w:jc w:val="both"/>
        <w:rPr>
          <w:rFonts w:ascii="Arial" w:hAnsi="Arial" w:cs="Arial"/>
          <w:sz w:val="20"/>
          <w:szCs w:val="20"/>
        </w:rPr>
      </w:pPr>
      <w:r w:rsidRPr="00A87ED0">
        <w:rPr>
          <w:noProof/>
        </w:rPr>
        <w:drawing>
          <wp:inline distT="0" distB="0" distL="0" distR="0" wp14:anchorId="7F343581" wp14:editId="01141DD4">
            <wp:extent cx="6480175" cy="234823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32E" w:rsidRPr="00826906" w:rsidRDefault="003B632E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3B632E" w:rsidRPr="00826906" w:rsidRDefault="003B632E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II.c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Países</w:t>
      </w:r>
    </w:p>
    <w:bookmarkEnd w:id="0"/>
    <w:p w:rsidR="003B632E" w:rsidRDefault="003B632E" w:rsidP="003B632E">
      <w:pPr>
        <w:rPr>
          <w:rFonts w:ascii="Arial" w:hAnsi="Arial" w:cs="Arial"/>
          <w:b/>
          <w:sz w:val="20"/>
          <w:szCs w:val="20"/>
        </w:rPr>
      </w:pPr>
    </w:p>
    <w:p w:rsidR="00B8451B" w:rsidRPr="00BF476A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 w:rsidRPr="00BF476A">
        <w:rPr>
          <w:rFonts w:ascii="Arial" w:hAnsi="Arial" w:cs="Arial"/>
          <w:sz w:val="20"/>
          <w:szCs w:val="20"/>
        </w:rPr>
        <w:t>Na análise das exportações para os vinte principais mercados importadores de produtos do agronegócio brasileiro, apresenta</w:t>
      </w:r>
      <w:r>
        <w:rPr>
          <w:rFonts w:ascii="Arial" w:hAnsi="Arial" w:cs="Arial"/>
          <w:sz w:val="20"/>
          <w:szCs w:val="20"/>
        </w:rPr>
        <w:t xml:space="preserve">dos na Tabela 6, </w:t>
      </w:r>
      <w:r w:rsidRPr="00BF476A">
        <w:rPr>
          <w:rFonts w:ascii="Arial" w:hAnsi="Arial" w:cs="Arial"/>
          <w:sz w:val="20"/>
          <w:szCs w:val="20"/>
        </w:rPr>
        <w:t>houve increment</w:t>
      </w:r>
      <w:r>
        <w:rPr>
          <w:rFonts w:ascii="Arial" w:hAnsi="Arial" w:cs="Arial"/>
          <w:sz w:val="20"/>
          <w:szCs w:val="20"/>
        </w:rPr>
        <w:t>o das exportações para quinze</w:t>
      </w:r>
      <w:r w:rsidRPr="00BF476A">
        <w:rPr>
          <w:rFonts w:ascii="Arial" w:hAnsi="Arial" w:cs="Arial"/>
          <w:sz w:val="20"/>
          <w:szCs w:val="20"/>
        </w:rPr>
        <w:t xml:space="preserve"> dos vinte países analisados.  Esses vinte mercados participavam com 74,7% do total exportado pelo Brasil em produt</w:t>
      </w:r>
      <w:r>
        <w:rPr>
          <w:rFonts w:ascii="Arial" w:hAnsi="Arial" w:cs="Arial"/>
          <w:sz w:val="20"/>
          <w:szCs w:val="20"/>
        </w:rPr>
        <w:t xml:space="preserve">os do agronegócio brasileiro nos primeiros cinco meses </w:t>
      </w:r>
      <w:r w:rsidRPr="00BF476A">
        <w:rPr>
          <w:rFonts w:ascii="Arial" w:hAnsi="Arial" w:cs="Arial"/>
          <w:sz w:val="20"/>
          <w:szCs w:val="20"/>
        </w:rPr>
        <w:t>de 2017. E</w:t>
      </w:r>
      <w:r>
        <w:rPr>
          <w:rFonts w:ascii="Arial" w:hAnsi="Arial" w:cs="Arial"/>
          <w:sz w:val="20"/>
          <w:szCs w:val="20"/>
        </w:rPr>
        <w:t>ssa participação subiu de 74,1% para 76,4</w:t>
      </w:r>
      <w:r w:rsidRPr="00BF476A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das exportações do agronegócio entre janeiro e maio de 2017 para janeiro e maio de 2018</w:t>
      </w:r>
      <w:r w:rsidRPr="00BF476A">
        <w:rPr>
          <w:rFonts w:ascii="Arial" w:hAnsi="Arial" w:cs="Arial"/>
          <w:sz w:val="20"/>
          <w:szCs w:val="20"/>
        </w:rPr>
        <w:t xml:space="preserve">, demonstrando que para o período de análise houve concentração das exportações brasileiros do agronegócio nesses mercados. </w:t>
      </w:r>
    </w:p>
    <w:p w:rsidR="00B8451B" w:rsidRPr="00A87ED0" w:rsidRDefault="00B8451B" w:rsidP="00B8451B">
      <w:pPr>
        <w:pStyle w:val="Recuodecorpodetexto"/>
        <w:rPr>
          <w:rFonts w:ascii="Arial" w:hAnsi="Arial" w:cs="Arial"/>
          <w:color w:val="FF0000"/>
          <w:sz w:val="20"/>
          <w:szCs w:val="20"/>
        </w:rPr>
      </w:pP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  <w:r w:rsidRPr="00BF476A">
        <w:rPr>
          <w:rFonts w:ascii="Arial" w:hAnsi="Arial" w:cs="Arial"/>
          <w:sz w:val="20"/>
          <w:szCs w:val="20"/>
        </w:rPr>
        <w:t xml:space="preserve">A China </w:t>
      </w:r>
      <w:r>
        <w:rPr>
          <w:rFonts w:ascii="Arial" w:hAnsi="Arial" w:cs="Arial"/>
          <w:sz w:val="20"/>
          <w:szCs w:val="20"/>
        </w:rPr>
        <w:t>foi o país que mais aumentou a participação nas exportações brasileiras do agronegócio, subindo de 33,3% para 34,7% do valor exportado pelo Brasil em produtos do agronegócio entre janeiro e maio de 2018. As aquisições chinesas subiram de US$ 12,95 bilhões entre janeiro e maio de 2017 para US$ 13,99</w:t>
      </w:r>
      <w:r w:rsidRPr="00BF476A">
        <w:rPr>
          <w:rFonts w:ascii="Arial" w:hAnsi="Arial" w:cs="Arial"/>
          <w:sz w:val="20"/>
          <w:szCs w:val="20"/>
        </w:rPr>
        <w:t xml:space="preserve"> bilhões</w:t>
      </w:r>
      <w:r>
        <w:rPr>
          <w:rFonts w:ascii="Arial" w:hAnsi="Arial" w:cs="Arial"/>
          <w:sz w:val="20"/>
          <w:szCs w:val="20"/>
        </w:rPr>
        <w:t xml:space="preserve"> entre janeiro e maio de 2018 (+8,0%). </w:t>
      </w:r>
    </w:p>
    <w:p w:rsidR="00B8451B" w:rsidRDefault="00B8451B" w:rsidP="00B8451B">
      <w:pPr>
        <w:pStyle w:val="Recuodecorpodetexto"/>
        <w:rPr>
          <w:rFonts w:ascii="Arial" w:hAnsi="Arial" w:cs="Arial"/>
          <w:sz w:val="20"/>
          <w:szCs w:val="20"/>
        </w:rPr>
      </w:pPr>
    </w:p>
    <w:p w:rsidR="00B8451B" w:rsidRDefault="00B8451B" w:rsidP="00F21327">
      <w:pPr>
        <w:pStyle w:val="Recuode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Turquia se destacou por mais que dobrar as aquisições de produtos do agronegócio brasileiro no período. As exportações brasileiras aumentaram de US$ 308,44 milhões entre janeiro e maio de 2017 para US$ 641,06 milhões entre janeiro e maio de 2018 (+107,8%). Dois produtos se destacaram nas exportações para a Turquia: soja em grãos (US$ 261,68 milhões; +307,9%) e bovinos vivos (US$ 182,64 milhões; +471,0%). Outros países que tiveram crescimento acima de 10% no período foram: Hong Kong (US$ 1,07 bilhão; +21,8%), Itália (US$ 925,57 milhões; +15,1%), Espanha (US$ 917,70 milhões; +18,1%), Coreia do Sul (US$ 739,67 milhões; +13,5%), Argentina (US$ 638,47 milhões; +19,1%).</w:t>
      </w:r>
    </w:p>
    <w:p w:rsidR="00F21327" w:rsidRPr="00F21327" w:rsidRDefault="00F21327" w:rsidP="00F21327">
      <w:pPr>
        <w:pStyle w:val="Recuodecorpodetexto"/>
        <w:rPr>
          <w:rFonts w:ascii="Arial" w:hAnsi="Arial" w:cs="Arial"/>
          <w:sz w:val="20"/>
          <w:szCs w:val="20"/>
        </w:rPr>
      </w:pPr>
    </w:p>
    <w:p w:rsidR="003B632E" w:rsidRPr="00826906" w:rsidRDefault="00A87ED0" w:rsidP="003B632E">
      <w:pPr>
        <w:rPr>
          <w:rFonts w:ascii="Arial" w:hAnsi="Arial" w:cs="Arial"/>
        </w:rPr>
      </w:pPr>
      <w:r w:rsidRPr="00A87ED0">
        <w:rPr>
          <w:noProof/>
        </w:rPr>
        <w:drawing>
          <wp:inline distT="0" distB="0" distL="0" distR="0" wp14:anchorId="571DAE84" wp14:editId="0C7A79A1">
            <wp:extent cx="6480175" cy="3879215"/>
            <wp:effectExtent l="0" t="0" r="0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C0B" w:rsidRPr="00826906" w:rsidRDefault="00D12C0B" w:rsidP="003B63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6CF0" w:rsidRDefault="00156CF0" w:rsidP="000113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1136D" w:rsidRDefault="0001136D" w:rsidP="000113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B3924">
        <w:rPr>
          <w:rFonts w:ascii="Arial" w:hAnsi="Arial" w:cs="Arial"/>
          <w:b/>
          <w:sz w:val="20"/>
          <w:szCs w:val="20"/>
        </w:rPr>
        <w:t xml:space="preserve">III – Resultados de </w:t>
      </w:r>
      <w:r w:rsidR="00A87ED0">
        <w:rPr>
          <w:rFonts w:ascii="Arial" w:hAnsi="Arial" w:cs="Arial"/>
          <w:b/>
          <w:sz w:val="20"/>
          <w:szCs w:val="20"/>
        </w:rPr>
        <w:t>Junho</w:t>
      </w:r>
      <w:r w:rsidRPr="00AB3924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7</w:t>
      </w:r>
      <w:r w:rsidRPr="00AB3924">
        <w:rPr>
          <w:rFonts w:ascii="Arial" w:hAnsi="Arial" w:cs="Arial"/>
          <w:b/>
          <w:sz w:val="20"/>
          <w:szCs w:val="20"/>
        </w:rPr>
        <w:t xml:space="preserve"> a </w:t>
      </w:r>
      <w:proofErr w:type="gramStart"/>
      <w:r w:rsidR="00A87ED0">
        <w:rPr>
          <w:rFonts w:ascii="Arial" w:hAnsi="Arial" w:cs="Arial"/>
          <w:b/>
          <w:sz w:val="20"/>
          <w:szCs w:val="20"/>
        </w:rPr>
        <w:t>Maio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 2018</w:t>
      </w:r>
      <w:r w:rsidRPr="00AB3924">
        <w:rPr>
          <w:rFonts w:ascii="Arial" w:hAnsi="Arial" w:cs="Arial"/>
          <w:b/>
          <w:sz w:val="20"/>
          <w:szCs w:val="20"/>
        </w:rPr>
        <w:t xml:space="preserve"> (Acumulado 12 meses)</w:t>
      </w:r>
    </w:p>
    <w:p w:rsidR="002B1A0F" w:rsidRDefault="002B1A0F" w:rsidP="000113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 xml:space="preserve">Entre junho de 2017 e maio de 2018, as exportações do agronegócio brasileiro alcançaram a cifra de US$ 97,47 bilhões, o que significou incremento de 11,9% em relação aos US$ 87,10 bilhões comercializados nos doze meses imediatamente anteriores. Em números absolutos, a diferença totalizou US$ 10,37 bilhões. Em relação às exportações totais do período, o agronegócio participou com 43,6%, mantendo a </w:t>
      </w:r>
      <w:r w:rsidR="002E6BC7">
        <w:rPr>
          <w:rFonts w:ascii="Arial" w:hAnsi="Arial" w:cs="Arial"/>
          <w:sz w:val="20"/>
          <w:szCs w:val="20"/>
        </w:rPr>
        <w:t xml:space="preserve">participação </w:t>
      </w:r>
      <w:r w:rsidRPr="00B53678">
        <w:rPr>
          <w:rFonts w:ascii="Arial" w:hAnsi="Arial" w:cs="Arial"/>
          <w:sz w:val="20"/>
          <w:szCs w:val="20"/>
        </w:rPr>
        <w:t>verificada entre junho de 2016 e maio de 2017. As importações, por outro lado, apresentaram retração de 5,2% e totalizaram US$ 14,01 bilhões no acumulado dos últimos doze meses. Dessa forma, no período considerado, o saldo da balança comercial do agronegócio brasileiro foi superavitário em US$ 83,47 bilhões (+15,4%).</w:t>
      </w:r>
    </w:p>
    <w:p w:rsidR="00D12C0B" w:rsidRDefault="00D12C0B" w:rsidP="000113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1136D" w:rsidRDefault="0001136D" w:rsidP="0001136D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AB3924">
        <w:rPr>
          <w:rFonts w:ascii="Arial" w:hAnsi="Arial" w:cs="Arial"/>
          <w:sz w:val="20"/>
          <w:szCs w:val="20"/>
        </w:rPr>
        <w:t>III.a</w:t>
      </w:r>
      <w:proofErr w:type="spellEnd"/>
      <w:r w:rsidRPr="00AB3924">
        <w:rPr>
          <w:rFonts w:ascii="Arial" w:hAnsi="Arial" w:cs="Arial"/>
          <w:sz w:val="20"/>
          <w:szCs w:val="20"/>
        </w:rPr>
        <w:t xml:space="preserve"> – Setores do Agronegócio</w:t>
      </w:r>
    </w:p>
    <w:p w:rsidR="00DD0277" w:rsidRDefault="00DD0277" w:rsidP="00DD0277"/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>Os principais setores exportadores do agronegócio no período foram: complexo soja, com 34,0% de participação; carnes, com 15,5%; produtos florestais, com 13,2%; complexo sucroalcooleiro, com 10,9%; e cereais, farinhas e preparações, com 5,8%.</w:t>
      </w: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 xml:space="preserve">O principal setor em valor exportado dos últimos doze meses foi o complexo soja, com exportações totais de US$ 33,11 bilhões e 85,55 milhões de toneladas comercializadas. Em relação à variação, nos últimos doze meses observou-se elevação de 18,9% em valor, crescimento de 21,1% em quantidade e queda de 1,8% no preço médio dos produtos do setor. O item com maior valor exportado foi a soja em grãos, com a cifra recorde de US$ 26,63 bilhões e expansão de 22,6% em relação aos US$ 21,72 bilhões negociados no período anterior. No que tange ao </w:t>
      </w:r>
      <w:r w:rsidRPr="004D0671">
        <w:rPr>
          <w:rFonts w:ascii="Arial" w:hAnsi="Arial" w:cs="Arial"/>
          <w:i/>
          <w:sz w:val="20"/>
          <w:szCs w:val="20"/>
        </w:rPr>
        <w:t>quantum</w:t>
      </w:r>
      <w:r w:rsidRPr="00B53678">
        <w:rPr>
          <w:rFonts w:ascii="Arial" w:hAnsi="Arial" w:cs="Arial"/>
          <w:sz w:val="20"/>
          <w:szCs w:val="20"/>
        </w:rPr>
        <w:t xml:space="preserve">, a soja em grãos também alcançou números recordes: foram embarcadas 69,21 milhões de toneladas (+24,6%). O preço médio verificado no período foi de US$ 385 por tonelada, o que significou retração de 1,6%. O segundo produto do setor em geração de receita foi o farelo de soja, com a soma de US$ 5,43 bilhões (+5,4%). Em quantidade, houve expansão de 8,6%, para um total de 14,97 milhões de toneladas. Por fim, as exportações de óleo de soja alcançaram a marca de US$ 1,05 bilhão (+6,8%) e 1,37 milhão de toneladas (+5,0%), com o preço médio do produto tendo aumentado 1,7% no período. </w:t>
      </w: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 xml:space="preserve">O segundo principal setor do agronegócio brasileiro em valor exportado foi o setor de carnes, com vendas externas de US$ 15,10 bilhões (+4,0%) e 6,61 milhões de toneladas negociadas (+1,2%). A carne de frango foi o principal item do setor, com vendas de US$ 6,70 bilhões (-4,2%) e 4,09 milhões de toneladas embarcadas (-2,7%), enquanto o preço médio da carne de frango brasileira vendida ao mercado externo apresentou retração de 1,6% nos doze meses considerados. Em seguida, destacaram-se as exportações de carne bovina, com o montante de US$ 6,35 bilhões (+22,0%), para um total de 1,57 milhão de toneladas (+21,9%). As vendas externas de carne suína totalizaram no período US$ 1,45 bilhão, o que representou diminuição de 10,3% em relação ao valor auferido nos doze meses anteriores, para um </w:t>
      </w:r>
      <w:r w:rsidRPr="004D0671">
        <w:rPr>
          <w:rFonts w:ascii="Arial" w:hAnsi="Arial" w:cs="Arial"/>
          <w:i/>
          <w:sz w:val="20"/>
          <w:szCs w:val="20"/>
        </w:rPr>
        <w:t>quantum</w:t>
      </w:r>
      <w:r w:rsidRPr="00B53678">
        <w:rPr>
          <w:rFonts w:ascii="Arial" w:hAnsi="Arial" w:cs="Arial"/>
          <w:sz w:val="20"/>
          <w:szCs w:val="20"/>
        </w:rPr>
        <w:t xml:space="preserve"> comercializado de 651,34 mil toneladas (-7,9%) e queda de 2,6% no preço médio. Já as vendas externas de carne de peru somaram US$ 197,97 milhões (-43,4%), com o embarque de 87,07 mil toneladas no período (-37,0%). </w:t>
      </w: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 xml:space="preserve">Na terceira colocação, os produtos florestais registraram exportações de US$ 12,87 bilhões (+22,8%) e crescimento de 8,2% em quantidade. O principal item negociado foi a celulose, com a cifra recorde para o acumulado de doze meses de US$ 7,46 bilhões (+31,7%) e quantidade comercializada também recorde de 14,65 milhões de toneladas (+6,3%). As vendas externas de madeiras e suas obras totalizaram US$ 3,45 bilhões e cresceram 17,1%, em função da expansão de 16,5% no </w:t>
      </w:r>
      <w:r w:rsidRPr="004D0671">
        <w:rPr>
          <w:rFonts w:ascii="Arial" w:hAnsi="Arial" w:cs="Arial"/>
          <w:i/>
          <w:sz w:val="20"/>
          <w:szCs w:val="20"/>
        </w:rPr>
        <w:t>quantum</w:t>
      </w:r>
      <w:r w:rsidRPr="00B53678">
        <w:rPr>
          <w:rFonts w:ascii="Arial" w:hAnsi="Arial" w:cs="Arial"/>
          <w:sz w:val="20"/>
          <w:szCs w:val="20"/>
        </w:rPr>
        <w:t xml:space="preserve"> negociado (7,03 milhões de toneladas) e, em menor grau, do crescimento de 0,5% no preço médio do produto brasileiro vendido no mercado internacional. Já as vendas externas de papel atingiram a cifra de US$ 1,95 bilhão (+4,9%), com </w:t>
      </w:r>
      <w:r w:rsidRPr="004D0671">
        <w:rPr>
          <w:rFonts w:ascii="Arial" w:hAnsi="Arial" w:cs="Arial"/>
          <w:i/>
          <w:sz w:val="20"/>
          <w:szCs w:val="20"/>
        </w:rPr>
        <w:t>quantum</w:t>
      </w:r>
      <w:r w:rsidRPr="00B53678">
        <w:rPr>
          <w:rFonts w:ascii="Arial" w:hAnsi="Arial" w:cs="Arial"/>
          <w:sz w:val="20"/>
          <w:szCs w:val="20"/>
        </w:rPr>
        <w:t xml:space="preserve"> negociado de 2,09 milhões de toneladas (-3,2%).</w:t>
      </w: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 xml:space="preserve">No acumulado dos últimos doze meses, o complexo sucroalcooleiro foi o quarto maior setor do agronegócio em valor exportado, caindo uma posição em relação aos 12 meses imediatamente anteriores. As vendas externas do setor alcançaram o patamar de US$ 10,62 bilhões, o que significou decréscimo de 14,6% em comparação aos US$ 12,43 bilhões exportados entre junho de 2016 e maio de 2017. Tal diminuição foi consequência da retração de 8,9% no preço médio e de 6,3% no </w:t>
      </w:r>
      <w:r w:rsidRPr="004D0671">
        <w:rPr>
          <w:rFonts w:ascii="Arial" w:hAnsi="Arial" w:cs="Arial"/>
          <w:i/>
          <w:sz w:val="20"/>
          <w:szCs w:val="20"/>
        </w:rPr>
        <w:t>quantum</w:t>
      </w:r>
      <w:r w:rsidRPr="00B53678">
        <w:rPr>
          <w:rFonts w:ascii="Arial" w:hAnsi="Arial" w:cs="Arial"/>
          <w:sz w:val="20"/>
          <w:szCs w:val="20"/>
        </w:rPr>
        <w:t xml:space="preserve"> embarcado no período. As exportações de açúcar foram preponderantes, com a cifra de </w:t>
      </w:r>
      <w:r w:rsidR="00115593">
        <w:rPr>
          <w:rFonts w:ascii="Arial" w:hAnsi="Arial" w:cs="Arial"/>
          <w:sz w:val="20"/>
          <w:szCs w:val="20"/>
        </w:rPr>
        <w:t xml:space="preserve">US$ </w:t>
      </w:r>
      <w:r w:rsidRPr="00B53678">
        <w:rPr>
          <w:rFonts w:ascii="Arial" w:hAnsi="Arial" w:cs="Arial"/>
          <w:sz w:val="20"/>
          <w:szCs w:val="20"/>
        </w:rPr>
        <w:t xml:space="preserve">9,81 bilhões ou 92,4% do total exportado pelo setor. Houve queda de 15,9% no valor exportado, resultado da diminuição do preço médio no período (-9,9%) e da quantidade exportada em 12 meses – 26,89 milhões de toneladas (-6,7%). As vendas externas de álcool somaram US$ 790,02 milhões (+3,8%), ante exportações de US$ 761,27 milhões verificadas no período precedente, com </w:t>
      </w:r>
      <w:r w:rsidR="00115593">
        <w:rPr>
          <w:rFonts w:ascii="Arial" w:hAnsi="Arial" w:cs="Arial"/>
          <w:sz w:val="20"/>
          <w:szCs w:val="20"/>
        </w:rPr>
        <w:t>acréscimos</w:t>
      </w:r>
      <w:r w:rsidRPr="00B53678">
        <w:rPr>
          <w:rFonts w:ascii="Arial" w:hAnsi="Arial" w:cs="Arial"/>
          <w:sz w:val="20"/>
          <w:szCs w:val="20"/>
        </w:rPr>
        <w:t xml:space="preserve"> de 0,4% na quantidade exportada (1,12 milhão de toneladas) e de 3,4% no preço médio do produto, que passou de US$ 681 por tonelada para os atuais US$ 704 por tonelada. </w:t>
      </w: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>Na quinta colocação entre os principais setores do agronegócio brasileiro no acumulado dos últimos doze meses, o setor de cereais, farinhas e preparações apresentou exportações totais de US$ 5,62 bilhões no período (+113,4%), com expansão na quantidade comercializada (+144,3%) e queda no preço médio dos produtos do setor (-12,6%). O principal item exportado foi o milho, com a soma de US$ 4,92 bilhões ou 87,5% do total exportado pelo setor no período. Apesar da retração da cotação média do produto brasileiro no mercado internacional entre junho de 2017 e maio de 2018 (-8,6%), o forte incremento da quantidade comercializada (+158,2% para um total de 31,65 milhões de toneladas) possibilitou a elevação da receita de exportação em 136,0%, quando comparada com a registrada entre junho de 2016 e maio de 2017 (US$ 2,08 bilhões). O crescimento absoluto verificado entre os dois períodos foi de US$ 2,83 bilhões.</w:t>
      </w: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</w:p>
    <w:p w:rsidR="0001136D" w:rsidRDefault="00156CF0" w:rsidP="00F21327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>No que tange às importações de produtos do agronegócio, observou-se um montante de US$ 14,01 bilhões nos doze meses considerados. Os principais itens adquiridos no mercado internacional, nesse período, foram: trigo (US$ 1,18 bilhão e -14,8%); papel (US$ 896,64 milhões e +17,0%); álcool etílico (US$ 842,32 milhões e +2,2%); vestuário e outros produtos têxteis de algodão (US$ 600,44 milhões e +33,4%); salmões frescos ou refrigerados (US$ 490,57 milhões e -4,6%); azeite de oliva (US$ 423,10 milhões e +38,5%); malte (US$ 420,46 milhões e -11,8%); borracha natural (US$ 399,38 milhões e +7,4%); vinho (US$ 391,44 milhões e +29,0%); e óleo de dendê ou de palma (US$ 378,25 milhões e -8,1%).</w:t>
      </w:r>
    </w:p>
    <w:p w:rsidR="00F21327" w:rsidRPr="00F21327" w:rsidRDefault="00F21327" w:rsidP="00F21327">
      <w:pPr>
        <w:pStyle w:val="Recuodecorpodetexto"/>
        <w:rPr>
          <w:rFonts w:ascii="Arial" w:hAnsi="Arial" w:cs="Arial"/>
          <w:sz w:val="20"/>
          <w:szCs w:val="20"/>
        </w:rPr>
      </w:pPr>
    </w:p>
    <w:p w:rsidR="00384963" w:rsidRDefault="00A87ED0" w:rsidP="00CA2C33">
      <w:pPr>
        <w:rPr>
          <w:rFonts w:ascii="Arial" w:hAnsi="Arial" w:cs="Arial"/>
          <w:sz w:val="20"/>
          <w:szCs w:val="20"/>
        </w:rPr>
      </w:pPr>
      <w:r w:rsidRPr="00A87ED0">
        <w:rPr>
          <w:noProof/>
        </w:rPr>
        <w:drawing>
          <wp:inline distT="0" distB="0" distL="0" distR="0" wp14:anchorId="0DCC0071" wp14:editId="1EEFD99E">
            <wp:extent cx="6480175" cy="385508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963" w:rsidRDefault="00384963" w:rsidP="00CA2C33">
      <w:pPr>
        <w:rPr>
          <w:rFonts w:ascii="Arial" w:hAnsi="Arial" w:cs="Arial"/>
          <w:sz w:val="20"/>
          <w:szCs w:val="20"/>
        </w:rPr>
      </w:pPr>
    </w:p>
    <w:p w:rsidR="00B8451B" w:rsidRDefault="00B8451B" w:rsidP="00CA2C33">
      <w:pPr>
        <w:rPr>
          <w:rFonts w:ascii="Arial" w:hAnsi="Arial" w:cs="Arial"/>
          <w:b/>
          <w:sz w:val="20"/>
          <w:szCs w:val="20"/>
        </w:rPr>
      </w:pPr>
    </w:p>
    <w:p w:rsidR="0001136D" w:rsidRDefault="0001136D" w:rsidP="00CA2C33">
      <w:pPr>
        <w:rPr>
          <w:rFonts w:ascii="Arial" w:hAnsi="Arial" w:cs="Arial"/>
          <w:b/>
          <w:sz w:val="20"/>
          <w:szCs w:val="20"/>
        </w:rPr>
      </w:pPr>
      <w:proofErr w:type="spellStart"/>
      <w:r w:rsidRPr="00384963">
        <w:rPr>
          <w:rFonts w:ascii="Arial" w:hAnsi="Arial" w:cs="Arial"/>
          <w:b/>
          <w:sz w:val="20"/>
          <w:szCs w:val="20"/>
        </w:rPr>
        <w:t>III.b</w:t>
      </w:r>
      <w:proofErr w:type="spellEnd"/>
      <w:r w:rsidRPr="00384963">
        <w:rPr>
          <w:rFonts w:ascii="Arial" w:hAnsi="Arial" w:cs="Arial"/>
          <w:b/>
          <w:sz w:val="20"/>
          <w:szCs w:val="20"/>
        </w:rPr>
        <w:t xml:space="preserve"> – Blocos Econômicos e Regiões Geográficas</w:t>
      </w:r>
    </w:p>
    <w:p w:rsidR="00DD0277" w:rsidRDefault="00DD0277" w:rsidP="00CA2C33">
      <w:pPr>
        <w:rPr>
          <w:rFonts w:ascii="Arial" w:hAnsi="Arial" w:cs="Arial"/>
          <w:b/>
          <w:sz w:val="20"/>
          <w:szCs w:val="20"/>
        </w:rPr>
      </w:pP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>No âmbito das exportações por blocos econômicos e regiões geográficas, a Ásia segue no posto de principal destino dos produtos do agronegócio brasileiro. As vendas para o continente asiático atingiram a marca de US$ 45,19 bilhões, o que significou expansão de 16,1% em comparação aos valores registrados entre junho de 2016 e maio de 2017 (US$ 38,92 bilhões). Dessa forma, a participação da região nas exportações de produtos do agronegócio brasileiro passou de 44,7% para 46,4%.</w:t>
      </w: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 xml:space="preserve">O segundo principal bloco de destino das exportações agropecuárias brasileiras nos últimos doze meses, a União Europeia, apresentou incremento de 7,8% nas aquisições de mercadorias brasileiras, alcançando a cifra de US$ 17,54 bilhões, ante um total de US$ 16,26 bilhões nos doze meses imediatamente anteriores (US$ 1,27 bilhão em números absolutos). Mesmo com esse crescimento em valor, a participação da UE-28 nas exportações do agronegócio brasileiro caiu de 18,7% para 18,0%, uma vez que apresentou incremento inferior à média registrada no período (+11,9%). </w:t>
      </w:r>
    </w:p>
    <w:p w:rsidR="00DD0277" w:rsidRDefault="00DD0277" w:rsidP="00DD0277">
      <w:pPr>
        <w:pStyle w:val="Recuodecorpodetexto"/>
        <w:rPr>
          <w:rFonts w:ascii="Arial" w:hAnsi="Arial" w:cs="Arial"/>
          <w:sz w:val="20"/>
          <w:szCs w:val="20"/>
        </w:rPr>
      </w:pPr>
    </w:p>
    <w:p w:rsidR="00156CF0" w:rsidRPr="00DD0277" w:rsidRDefault="00156CF0" w:rsidP="00DD0277">
      <w:pPr>
        <w:pStyle w:val="Recuode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relação ao crescimento das exportações entre os dois períodos considerados, destacaram-se: Demais da Europa Ocidental (US$ 1,62 bilhão e +45,0%); Demais da América Latina (US$ 314,41 milhões e +40,7%); Aladi (exclusive Mercosul) (US$ 3,77 bilhões e +22,7%); África (US$ 7,07 bilhões e +19,9%); e Nafta (US$ 8,77 bilhões e +12,3%).</w:t>
      </w:r>
    </w:p>
    <w:p w:rsidR="00DD0277" w:rsidRPr="00384963" w:rsidRDefault="00DD0277" w:rsidP="00CA2C33">
      <w:pPr>
        <w:rPr>
          <w:rFonts w:ascii="Arial" w:hAnsi="Arial" w:cs="Arial"/>
          <w:b/>
          <w:sz w:val="20"/>
          <w:szCs w:val="20"/>
        </w:rPr>
      </w:pPr>
    </w:p>
    <w:p w:rsidR="004278D4" w:rsidRDefault="004278D4" w:rsidP="002B1A0F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2B1A0F" w:rsidRDefault="00A87ED0" w:rsidP="002B1A0F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A87ED0">
        <w:rPr>
          <w:noProof/>
        </w:rPr>
        <w:drawing>
          <wp:inline distT="0" distB="0" distL="0" distR="0" wp14:anchorId="30ACC9CA" wp14:editId="6D1EB338">
            <wp:extent cx="6480175" cy="234823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36D" w:rsidRDefault="0001136D" w:rsidP="0001136D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AB3924">
        <w:rPr>
          <w:rFonts w:ascii="Arial" w:hAnsi="Arial" w:cs="Arial"/>
          <w:sz w:val="20"/>
          <w:szCs w:val="20"/>
        </w:rPr>
        <w:t>III.c</w:t>
      </w:r>
      <w:proofErr w:type="spellEnd"/>
      <w:r w:rsidRPr="00AB3924">
        <w:rPr>
          <w:rFonts w:ascii="Arial" w:hAnsi="Arial" w:cs="Arial"/>
          <w:sz w:val="20"/>
          <w:szCs w:val="20"/>
        </w:rPr>
        <w:t xml:space="preserve"> – Países</w:t>
      </w:r>
    </w:p>
    <w:p w:rsidR="00DD0277" w:rsidRDefault="00DD0277" w:rsidP="00DD0277"/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 xml:space="preserve">No que se refere aos países, a China permaneceu como o principal destino das exportações do agronegócio brasileiro, com a cifra de US$ 27,62 bilhões. Em relação ao período anterior, verificou-se crescimento de 19,6% no valor exportado (+US$ 4,53 bilhões em número absolutos) e consequente elevação da participação chinesa de 1,8 ponto percentual, chegando a 28,3% de </w:t>
      </w:r>
      <w:proofErr w:type="spellStart"/>
      <w:r w:rsidRPr="00B53678">
        <w:rPr>
          <w:rFonts w:ascii="Arial" w:hAnsi="Arial" w:cs="Arial"/>
          <w:i/>
          <w:sz w:val="20"/>
          <w:szCs w:val="20"/>
        </w:rPr>
        <w:t>market</w:t>
      </w:r>
      <w:proofErr w:type="spellEnd"/>
      <w:r w:rsidRPr="00B5367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53678">
        <w:rPr>
          <w:rFonts w:ascii="Arial" w:hAnsi="Arial" w:cs="Arial"/>
          <w:i/>
          <w:sz w:val="20"/>
          <w:szCs w:val="20"/>
        </w:rPr>
        <w:t>share</w:t>
      </w:r>
      <w:proofErr w:type="spellEnd"/>
      <w:r w:rsidRPr="00B53678">
        <w:rPr>
          <w:rFonts w:ascii="Arial" w:hAnsi="Arial" w:cs="Arial"/>
          <w:sz w:val="20"/>
          <w:szCs w:val="20"/>
        </w:rPr>
        <w:t>. Os principais produtos responsáveis pelo aumento das exportações no período foram: soja em grãos (+US$ 4,31 bilhões); celulose (+US$ 557,83 milhões); e carne bovina (+US$ 350,25 milhões).</w:t>
      </w: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>As exportações para os Estados Unidos, segundo principal destino nos últimos doze meses, cresceram de US$ 6,41 bilhões para US$ 6,96 bilhões (+8,6%). Apesar desse incremento, a participação norte americana nas exportações brasileiras caiu de 7,4% para 7,1%. Os principais produtos que contribuíram para o incremento das exportações para o mercado norte-americano nos últimos doze meses foram: celulose (+US$ 297,22 milhões); suco de laranja (+US$ 214,61 milhões); madeira (+US$ 157,40 milhões); e álcool (+US$ 72,17 milhões).</w:t>
      </w: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>O terceiro principal destino das exportações agropecuárias brasileiras foram os Países Baixos, com US$ 4,58 bilhões, o que representou aumento de 5,5% em comparação aos US$ 4,34 bilhões registrados entre junho de 2016 e maio de 2017. Por causa do crescimento abaixo da média da variação das exportações no período (+11,9%), a participação desse parceiro comercial caiu 0,3 ponto percentual, atingindo 4,7%. Os produtos que se destacaram em relação ao crescimento das exportações, em valor, para esse mercado, foram: suco de laranja (+US$ 179,51 milhões); e celulose (+US$ 166,17 milhões).</w:t>
      </w:r>
    </w:p>
    <w:p w:rsidR="00156CF0" w:rsidRPr="00B53678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</w:p>
    <w:p w:rsidR="00156CF0" w:rsidRPr="005A5406" w:rsidRDefault="00156CF0" w:rsidP="00156CF0">
      <w:pPr>
        <w:pStyle w:val="Recuodecorpodetexto"/>
        <w:rPr>
          <w:rFonts w:ascii="Arial" w:hAnsi="Arial" w:cs="Arial"/>
          <w:sz w:val="20"/>
          <w:szCs w:val="20"/>
        </w:rPr>
      </w:pPr>
      <w:r w:rsidRPr="00B53678">
        <w:rPr>
          <w:rFonts w:ascii="Arial" w:hAnsi="Arial" w:cs="Arial"/>
          <w:sz w:val="20"/>
          <w:szCs w:val="20"/>
        </w:rPr>
        <w:t>Em relação ao dinamismo das exportações, os principais destaques do período, conforme ilustrado na Tabela 9, foram: Egito (US$ 2,18 bilhões e +101,5%); Espanha (US$ 2,07 bilhões e +40,1%); Vietnã (US$ 1,51 bilhão e +33,3%); Hong Kong (US$ 2,66 bilhões e +29,9%); Japão (US$ 2,62 bilhões e +24,0%); Itália (US$ 2,28 bilhões e +20,1%); e Argentina (US$ 1,44 bilhão e +19,2%).</w:t>
      </w:r>
    </w:p>
    <w:p w:rsidR="00DD0277" w:rsidRPr="00DD0277" w:rsidRDefault="00DD0277" w:rsidP="00DD0277">
      <w:pPr>
        <w:pStyle w:val="Recuodecorpodetexto"/>
        <w:rPr>
          <w:rFonts w:ascii="Arial" w:hAnsi="Arial" w:cs="Arial"/>
          <w:sz w:val="20"/>
          <w:szCs w:val="20"/>
        </w:rPr>
      </w:pPr>
    </w:p>
    <w:p w:rsidR="0001136D" w:rsidRPr="00AB3924" w:rsidRDefault="0001136D" w:rsidP="0001136D">
      <w:pPr>
        <w:rPr>
          <w:rFonts w:ascii="Arial" w:hAnsi="Arial" w:cs="Arial"/>
        </w:rPr>
      </w:pPr>
    </w:p>
    <w:p w:rsidR="00384963" w:rsidRPr="00AB3924" w:rsidRDefault="00A87ED0" w:rsidP="0001136D">
      <w:pPr>
        <w:rPr>
          <w:rFonts w:ascii="Arial" w:hAnsi="Arial" w:cs="Arial"/>
        </w:rPr>
      </w:pPr>
      <w:r w:rsidRPr="00A87ED0">
        <w:rPr>
          <w:noProof/>
        </w:rPr>
        <w:drawing>
          <wp:inline distT="0" distB="0" distL="0" distR="0" wp14:anchorId="50576354" wp14:editId="0BC8DD3F">
            <wp:extent cx="6480175" cy="3879215"/>
            <wp:effectExtent l="0" t="0" r="0" b="698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4C" w:rsidRDefault="007D7D4C" w:rsidP="00384963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384963" w:rsidRPr="00826906" w:rsidRDefault="00384963" w:rsidP="00384963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C87B02" w:rsidRPr="00826906" w:rsidRDefault="00C87B02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firstLine="0"/>
        <w:rPr>
          <w:i w:val="0"/>
          <w:sz w:val="20"/>
          <w:szCs w:val="20"/>
          <w:lang w:val="pt-BR"/>
        </w:rPr>
      </w:pPr>
      <w:r w:rsidRPr="00826906">
        <w:rPr>
          <w:i w:val="0"/>
          <w:sz w:val="20"/>
          <w:szCs w:val="20"/>
          <w:lang w:val="pt-BR"/>
        </w:rPr>
        <w:t>NOTA METODOLÓGICA</w:t>
      </w:r>
    </w:p>
    <w:p w:rsidR="00C87B02" w:rsidRPr="00826906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>A classificação de produtos do agronegócio utilizada nesta nota foi atualizada de acordo com a Resolução CAMEX Nº 94, de 8/12/2012, que alterou a Nomenclatura Comum do MERCOSUL – NCM para adaptá-la em relação às modificações do Sistema Harmonizado de Designação e de Codificação de Mercadorias (SH-2012), que estabelece um método internacional para a classificação de mercadorias.</w:t>
      </w:r>
    </w:p>
    <w:p w:rsidR="00C87B02" w:rsidRPr="00826906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C87B02" w:rsidRPr="00826906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A Balança Comercial do Agronegócio utiliza uma classificação dos produtos do agronegócio que reúne 2.867 </w:t>
      </w:r>
      <w:proofErr w:type="spellStart"/>
      <w:r w:rsidRPr="00826906">
        <w:rPr>
          <w:rFonts w:ascii="Arial" w:hAnsi="Arial" w:cs="Arial"/>
          <w:sz w:val="20"/>
          <w:szCs w:val="20"/>
        </w:rPr>
        <w:t>NCM’s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em 25 setores. Essa é a mesma classificação utilizada no AGROSTAT BRASIL - base de dados </w:t>
      </w:r>
      <w:proofErr w:type="spellStart"/>
      <w:r w:rsidRPr="00826906">
        <w:rPr>
          <w:rFonts w:ascii="Arial" w:hAnsi="Arial" w:cs="Arial"/>
          <w:i/>
          <w:sz w:val="20"/>
          <w:szCs w:val="20"/>
        </w:rPr>
        <w:t>on</w:t>
      </w:r>
      <w:proofErr w:type="spellEnd"/>
      <w:r w:rsidRPr="0082690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26906">
        <w:rPr>
          <w:rFonts w:ascii="Arial" w:hAnsi="Arial" w:cs="Arial"/>
          <w:i/>
          <w:sz w:val="20"/>
          <w:szCs w:val="20"/>
        </w:rPr>
        <w:t>line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que oferece uma visão detalhada e atualizada das exportações e importações brasileiras do agronegócio. Mais informações da metodologia e classificação podem ser consultadas no site: </w:t>
      </w:r>
      <w:hyperlink r:id="rId17" w:history="1">
        <w:r w:rsidRPr="00826906">
          <w:rPr>
            <w:rStyle w:val="Hyperlink"/>
            <w:rFonts w:ascii="Arial" w:hAnsi="Arial" w:cs="Arial"/>
            <w:sz w:val="20"/>
            <w:szCs w:val="20"/>
          </w:rPr>
          <w:t>agrostat.agricultura.gov.br</w:t>
        </w:r>
      </w:hyperlink>
      <w:r w:rsidRPr="00826906">
        <w:rPr>
          <w:rFonts w:ascii="Arial" w:hAnsi="Arial" w:cs="Arial"/>
          <w:sz w:val="20"/>
          <w:szCs w:val="20"/>
        </w:rPr>
        <w:t xml:space="preserve"> </w:t>
      </w:r>
    </w:p>
    <w:p w:rsidR="00C87B02" w:rsidRPr="00826906" w:rsidRDefault="00C87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C87B02" w:rsidRPr="00826906" w:rsidRDefault="00C87B02">
      <w:pPr>
        <w:pStyle w:val="Ttulo2"/>
        <w:jc w:val="right"/>
        <w:rPr>
          <w:rFonts w:ascii="Arial" w:hAnsi="Arial" w:cs="Arial"/>
          <w:b/>
          <w:sz w:val="20"/>
        </w:rPr>
      </w:pPr>
    </w:p>
    <w:p w:rsidR="00C87B02" w:rsidRPr="00826906" w:rsidRDefault="00C87B02">
      <w:pPr>
        <w:pStyle w:val="Ttulo2"/>
        <w:jc w:val="right"/>
        <w:rPr>
          <w:rFonts w:ascii="Arial" w:hAnsi="Arial" w:cs="Arial"/>
          <w:b/>
          <w:sz w:val="20"/>
        </w:rPr>
      </w:pPr>
      <w:r w:rsidRPr="00826906">
        <w:rPr>
          <w:rFonts w:ascii="Arial" w:hAnsi="Arial" w:cs="Arial"/>
          <w:b/>
          <w:sz w:val="20"/>
        </w:rPr>
        <w:t>MAPA/SRI/D</w:t>
      </w:r>
      <w:r w:rsidR="00A87ED0">
        <w:rPr>
          <w:rFonts w:ascii="Arial" w:hAnsi="Arial" w:cs="Arial"/>
          <w:b/>
          <w:sz w:val="20"/>
        </w:rPr>
        <w:t>AMC</w:t>
      </w:r>
    </w:p>
    <w:p w:rsidR="00C87B02" w:rsidRPr="00826906" w:rsidRDefault="00C87B02">
      <w:pPr>
        <w:pStyle w:val="Recuodecorpodetexto"/>
        <w:jc w:val="right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 </w:t>
      </w:r>
      <w:r w:rsidR="00156CF0">
        <w:rPr>
          <w:rFonts w:ascii="Arial" w:hAnsi="Arial" w:cs="Arial"/>
          <w:sz w:val="20"/>
          <w:szCs w:val="20"/>
        </w:rPr>
        <w:t>11</w:t>
      </w:r>
      <w:r w:rsidR="0001136D">
        <w:rPr>
          <w:rFonts w:ascii="Arial" w:hAnsi="Arial" w:cs="Arial"/>
          <w:sz w:val="20"/>
          <w:szCs w:val="20"/>
        </w:rPr>
        <w:t>/0</w:t>
      </w:r>
      <w:r w:rsidR="00A87ED0">
        <w:rPr>
          <w:rFonts w:ascii="Arial" w:hAnsi="Arial" w:cs="Arial"/>
          <w:sz w:val="20"/>
          <w:szCs w:val="20"/>
        </w:rPr>
        <w:t>6</w:t>
      </w:r>
      <w:r w:rsidR="00826906">
        <w:rPr>
          <w:rFonts w:ascii="Arial" w:hAnsi="Arial" w:cs="Arial"/>
          <w:sz w:val="20"/>
          <w:szCs w:val="20"/>
        </w:rPr>
        <w:t>/201</w:t>
      </w:r>
      <w:r w:rsidR="00A87ED0">
        <w:rPr>
          <w:rFonts w:ascii="Arial" w:hAnsi="Arial" w:cs="Arial"/>
          <w:sz w:val="20"/>
          <w:szCs w:val="20"/>
        </w:rPr>
        <w:t>8</w:t>
      </w:r>
    </w:p>
    <w:sectPr w:rsidR="00C87B02" w:rsidRPr="00826906" w:rsidSect="00C2569A">
      <w:footerReference w:type="even" r:id="rId18"/>
      <w:footerReference w:type="default" r:id="rId19"/>
      <w:pgSz w:w="11907" w:h="16840" w:code="9"/>
      <w:pgMar w:top="851" w:right="851" w:bottom="851" w:left="851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CD" w:rsidRDefault="00EA2FCD">
      <w:r>
        <w:separator/>
      </w:r>
    </w:p>
  </w:endnote>
  <w:endnote w:type="continuationSeparator" w:id="0">
    <w:p w:rsidR="00EA2FCD" w:rsidRDefault="00EA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40" w:rsidRDefault="008F4F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4F40" w:rsidRDefault="008F4F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40" w:rsidRPr="000754DD" w:rsidRDefault="008F4F40">
    <w:pPr>
      <w:pStyle w:val="Rodap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0754DD">
      <w:rPr>
        <w:rStyle w:val="Nmerodepgina"/>
        <w:rFonts w:ascii="Arial" w:hAnsi="Arial" w:cs="Arial"/>
        <w:sz w:val="16"/>
        <w:szCs w:val="16"/>
      </w:rPr>
      <w:fldChar w:fldCharType="begin"/>
    </w:r>
    <w:r w:rsidRPr="000754DD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0754DD">
      <w:rPr>
        <w:rStyle w:val="Nmerodepgina"/>
        <w:rFonts w:ascii="Arial" w:hAnsi="Arial" w:cs="Arial"/>
        <w:sz w:val="16"/>
        <w:szCs w:val="16"/>
      </w:rPr>
      <w:fldChar w:fldCharType="separate"/>
    </w:r>
    <w:r w:rsidR="006B2BA6">
      <w:rPr>
        <w:rStyle w:val="Nmerodepgina"/>
        <w:rFonts w:ascii="Arial" w:hAnsi="Arial" w:cs="Arial"/>
        <w:noProof/>
        <w:sz w:val="16"/>
        <w:szCs w:val="16"/>
      </w:rPr>
      <w:t>12</w:t>
    </w:r>
    <w:r w:rsidRPr="000754DD">
      <w:rPr>
        <w:rStyle w:val="Nmerodepgina"/>
        <w:rFonts w:ascii="Arial" w:hAnsi="Arial" w:cs="Arial"/>
        <w:sz w:val="16"/>
        <w:szCs w:val="16"/>
      </w:rPr>
      <w:fldChar w:fldCharType="end"/>
    </w:r>
  </w:p>
  <w:p w:rsidR="008F4F40" w:rsidRDefault="008F4F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CD" w:rsidRDefault="00EA2FCD">
      <w:r>
        <w:separator/>
      </w:r>
    </w:p>
  </w:footnote>
  <w:footnote w:type="continuationSeparator" w:id="0">
    <w:p w:rsidR="00EA2FCD" w:rsidRDefault="00EA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4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A5"/>
    <w:rsid w:val="000014D2"/>
    <w:rsid w:val="0000209E"/>
    <w:rsid w:val="0000254E"/>
    <w:rsid w:val="000036C3"/>
    <w:rsid w:val="0000402A"/>
    <w:rsid w:val="00004903"/>
    <w:rsid w:val="000054FF"/>
    <w:rsid w:val="00006103"/>
    <w:rsid w:val="00006262"/>
    <w:rsid w:val="00006ECB"/>
    <w:rsid w:val="00007083"/>
    <w:rsid w:val="00007D32"/>
    <w:rsid w:val="00010A70"/>
    <w:rsid w:val="0001136D"/>
    <w:rsid w:val="00012110"/>
    <w:rsid w:val="00013681"/>
    <w:rsid w:val="00013B15"/>
    <w:rsid w:val="00013C10"/>
    <w:rsid w:val="0001553F"/>
    <w:rsid w:val="000166CF"/>
    <w:rsid w:val="00017D67"/>
    <w:rsid w:val="00017F9E"/>
    <w:rsid w:val="00021202"/>
    <w:rsid w:val="00021AE7"/>
    <w:rsid w:val="00023523"/>
    <w:rsid w:val="00023700"/>
    <w:rsid w:val="00024620"/>
    <w:rsid w:val="000246E5"/>
    <w:rsid w:val="00024774"/>
    <w:rsid w:val="00025562"/>
    <w:rsid w:val="0002567E"/>
    <w:rsid w:val="0002592B"/>
    <w:rsid w:val="00026C30"/>
    <w:rsid w:val="00027B9D"/>
    <w:rsid w:val="00027CD6"/>
    <w:rsid w:val="00027FBF"/>
    <w:rsid w:val="000301F8"/>
    <w:rsid w:val="00030275"/>
    <w:rsid w:val="0003161E"/>
    <w:rsid w:val="00031A57"/>
    <w:rsid w:val="0003291F"/>
    <w:rsid w:val="000329DF"/>
    <w:rsid w:val="000348EF"/>
    <w:rsid w:val="00034D11"/>
    <w:rsid w:val="000354EE"/>
    <w:rsid w:val="00035920"/>
    <w:rsid w:val="00035927"/>
    <w:rsid w:val="00035E51"/>
    <w:rsid w:val="000400E7"/>
    <w:rsid w:val="00040781"/>
    <w:rsid w:val="00040AAD"/>
    <w:rsid w:val="00040CEE"/>
    <w:rsid w:val="000411F9"/>
    <w:rsid w:val="0004141A"/>
    <w:rsid w:val="00041459"/>
    <w:rsid w:val="0004188A"/>
    <w:rsid w:val="00041926"/>
    <w:rsid w:val="00041C47"/>
    <w:rsid w:val="000421AD"/>
    <w:rsid w:val="00042DA0"/>
    <w:rsid w:val="00043C91"/>
    <w:rsid w:val="00044959"/>
    <w:rsid w:val="00045520"/>
    <w:rsid w:val="00045689"/>
    <w:rsid w:val="000456E0"/>
    <w:rsid w:val="0004621E"/>
    <w:rsid w:val="00047101"/>
    <w:rsid w:val="00047F65"/>
    <w:rsid w:val="00050C8F"/>
    <w:rsid w:val="00051416"/>
    <w:rsid w:val="00053736"/>
    <w:rsid w:val="000542D8"/>
    <w:rsid w:val="00055505"/>
    <w:rsid w:val="00056B26"/>
    <w:rsid w:val="00057E53"/>
    <w:rsid w:val="00057F96"/>
    <w:rsid w:val="00060DB6"/>
    <w:rsid w:val="00060E48"/>
    <w:rsid w:val="00060ECE"/>
    <w:rsid w:val="00063D9B"/>
    <w:rsid w:val="00063DE6"/>
    <w:rsid w:val="00065F75"/>
    <w:rsid w:val="00066372"/>
    <w:rsid w:val="00066406"/>
    <w:rsid w:val="000666A5"/>
    <w:rsid w:val="000676F5"/>
    <w:rsid w:val="00067C72"/>
    <w:rsid w:val="000708D1"/>
    <w:rsid w:val="00070FDC"/>
    <w:rsid w:val="0007199F"/>
    <w:rsid w:val="0007208F"/>
    <w:rsid w:val="000728BD"/>
    <w:rsid w:val="00072A5A"/>
    <w:rsid w:val="00072BF1"/>
    <w:rsid w:val="000735F0"/>
    <w:rsid w:val="00073B00"/>
    <w:rsid w:val="0007448A"/>
    <w:rsid w:val="00074CFD"/>
    <w:rsid w:val="00074FEC"/>
    <w:rsid w:val="000754DD"/>
    <w:rsid w:val="00076763"/>
    <w:rsid w:val="000777E6"/>
    <w:rsid w:val="00080CDD"/>
    <w:rsid w:val="0008233D"/>
    <w:rsid w:val="000838F3"/>
    <w:rsid w:val="00084C40"/>
    <w:rsid w:val="000851AD"/>
    <w:rsid w:val="0008675A"/>
    <w:rsid w:val="00086BE6"/>
    <w:rsid w:val="00087349"/>
    <w:rsid w:val="00091B89"/>
    <w:rsid w:val="00092CA9"/>
    <w:rsid w:val="000930DA"/>
    <w:rsid w:val="00093582"/>
    <w:rsid w:val="00093FC9"/>
    <w:rsid w:val="0009438C"/>
    <w:rsid w:val="00094CD8"/>
    <w:rsid w:val="00094EAB"/>
    <w:rsid w:val="000950D3"/>
    <w:rsid w:val="00096E13"/>
    <w:rsid w:val="000976B6"/>
    <w:rsid w:val="000978BB"/>
    <w:rsid w:val="00097960"/>
    <w:rsid w:val="00097ADA"/>
    <w:rsid w:val="00097AEB"/>
    <w:rsid w:val="000A0879"/>
    <w:rsid w:val="000A0E3C"/>
    <w:rsid w:val="000A12CC"/>
    <w:rsid w:val="000A14AC"/>
    <w:rsid w:val="000A16C5"/>
    <w:rsid w:val="000A3C7F"/>
    <w:rsid w:val="000A412F"/>
    <w:rsid w:val="000A58CA"/>
    <w:rsid w:val="000A6462"/>
    <w:rsid w:val="000A6B29"/>
    <w:rsid w:val="000A7772"/>
    <w:rsid w:val="000B1245"/>
    <w:rsid w:val="000B1599"/>
    <w:rsid w:val="000B2CCF"/>
    <w:rsid w:val="000B4CB7"/>
    <w:rsid w:val="000B617B"/>
    <w:rsid w:val="000B6F56"/>
    <w:rsid w:val="000B778B"/>
    <w:rsid w:val="000C0B2D"/>
    <w:rsid w:val="000C101E"/>
    <w:rsid w:val="000C1354"/>
    <w:rsid w:val="000C4843"/>
    <w:rsid w:val="000C4CA1"/>
    <w:rsid w:val="000C4E0B"/>
    <w:rsid w:val="000C5899"/>
    <w:rsid w:val="000C5BC6"/>
    <w:rsid w:val="000C64AB"/>
    <w:rsid w:val="000C6B89"/>
    <w:rsid w:val="000D0596"/>
    <w:rsid w:val="000D0A1C"/>
    <w:rsid w:val="000D0A49"/>
    <w:rsid w:val="000D1791"/>
    <w:rsid w:val="000D26FA"/>
    <w:rsid w:val="000D279E"/>
    <w:rsid w:val="000D2D61"/>
    <w:rsid w:val="000D39E2"/>
    <w:rsid w:val="000D4068"/>
    <w:rsid w:val="000D5591"/>
    <w:rsid w:val="000D5BE5"/>
    <w:rsid w:val="000E03A7"/>
    <w:rsid w:val="000E0754"/>
    <w:rsid w:val="000E1F98"/>
    <w:rsid w:val="000E2E78"/>
    <w:rsid w:val="000E3005"/>
    <w:rsid w:val="000E33C3"/>
    <w:rsid w:val="000E398E"/>
    <w:rsid w:val="000E39A2"/>
    <w:rsid w:val="000E3FFC"/>
    <w:rsid w:val="000E42AC"/>
    <w:rsid w:val="000E4AF7"/>
    <w:rsid w:val="000E4D0B"/>
    <w:rsid w:val="000E7154"/>
    <w:rsid w:val="000E7667"/>
    <w:rsid w:val="000E7821"/>
    <w:rsid w:val="000F20EC"/>
    <w:rsid w:val="000F2478"/>
    <w:rsid w:val="000F3A73"/>
    <w:rsid w:val="000F4768"/>
    <w:rsid w:val="000F5D88"/>
    <w:rsid w:val="000F67E1"/>
    <w:rsid w:val="000F6FB8"/>
    <w:rsid w:val="000F7529"/>
    <w:rsid w:val="000F7E4B"/>
    <w:rsid w:val="000F7E56"/>
    <w:rsid w:val="001002A5"/>
    <w:rsid w:val="001009DA"/>
    <w:rsid w:val="00102086"/>
    <w:rsid w:val="00102714"/>
    <w:rsid w:val="001028A9"/>
    <w:rsid w:val="00102FA0"/>
    <w:rsid w:val="00103608"/>
    <w:rsid w:val="00103A27"/>
    <w:rsid w:val="00103E4E"/>
    <w:rsid w:val="0010432D"/>
    <w:rsid w:val="00104345"/>
    <w:rsid w:val="00106AE7"/>
    <w:rsid w:val="0011004F"/>
    <w:rsid w:val="0011065F"/>
    <w:rsid w:val="0011143D"/>
    <w:rsid w:val="001120A0"/>
    <w:rsid w:val="0011278C"/>
    <w:rsid w:val="00112CB5"/>
    <w:rsid w:val="0011359A"/>
    <w:rsid w:val="00114060"/>
    <w:rsid w:val="001145E1"/>
    <w:rsid w:val="00114767"/>
    <w:rsid w:val="001148DB"/>
    <w:rsid w:val="00115593"/>
    <w:rsid w:val="00116244"/>
    <w:rsid w:val="00116DF6"/>
    <w:rsid w:val="001172F2"/>
    <w:rsid w:val="00120C53"/>
    <w:rsid w:val="00120FC3"/>
    <w:rsid w:val="001214F0"/>
    <w:rsid w:val="00121674"/>
    <w:rsid w:val="00121B82"/>
    <w:rsid w:val="001230EB"/>
    <w:rsid w:val="00123AEA"/>
    <w:rsid w:val="00123C08"/>
    <w:rsid w:val="00124184"/>
    <w:rsid w:val="00124275"/>
    <w:rsid w:val="00124438"/>
    <w:rsid w:val="001248CD"/>
    <w:rsid w:val="00125976"/>
    <w:rsid w:val="00127EF3"/>
    <w:rsid w:val="001302B1"/>
    <w:rsid w:val="00130896"/>
    <w:rsid w:val="00130BEF"/>
    <w:rsid w:val="00131883"/>
    <w:rsid w:val="00131C03"/>
    <w:rsid w:val="00132734"/>
    <w:rsid w:val="00132CFF"/>
    <w:rsid w:val="001343E9"/>
    <w:rsid w:val="00134A6E"/>
    <w:rsid w:val="00134AB8"/>
    <w:rsid w:val="00135398"/>
    <w:rsid w:val="00135405"/>
    <w:rsid w:val="00135BA2"/>
    <w:rsid w:val="001360B0"/>
    <w:rsid w:val="00136B69"/>
    <w:rsid w:val="00136D9F"/>
    <w:rsid w:val="00137206"/>
    <w:rsid w:val="00137272"/>
    <w:rsid w:val="0013770C"/>
    <w:rsid w:val="00140494"/>
    <w:rsid w:val="00140CC4"/>
    <w:rsid w:val="001410C3"/>
    <w:rsid w:val="00142592"/>
    <w:rsid w:val="00142F1E"/>
    <w:rsid w:val="00143382"/>
    <w:rsid w:val="00144082"/>
    <w:rsid w:val="0014413D"/>
    <w:rsid w:val="00144D60"/>
    <w:rsid w:val="0014572B"/>
    <w:rsid w:val="0014658F"/>
    <w:rsid w:val="0014766D"/>
    <w:rsid w:val="001479CC"/>
    <w:rsid w:val="00147F3E"/>
    <w:rsid w:val="0015012C"/>
    <w:rsid w:val="00150906"/>
    <w:rsid w:val="00150D5F"/>
    <w:rsid w:val="00151988"/>
    <w:rsid w:val="00153702"/>
    <w:rsid w:val="00153E37"/>
    <w:rsid w:val="00155044"/>
    <w:rsid w:val="001553E1"/>
    <w:rsid w:val="0015622C"/>
    <w:rsid w:val="00156437"/>
    <w:rsid w:val="00156CF0"/>
    <w:rsid w:val="00157AFB"/>
    <w:rsid w:val="00161E99"/>
    <w:rsid w:val="001631E2"/>
    <w:rsid w:val="001653C9"/>
    <w:rsid w:val="001654D4"/>
    <w:rsid w:val="00165A56"/>
    <w:rsid w:val="001668BA"/>
    <w:rsid w:val="00166F09"/>
    <w:rsid w:val="00167040"/>
    <w:rsid w:val="00167101"/>
    <w:rsid w:val="00167A20"/>
    <w:rsid w:val="00171552"/>
    <w:rsid w:val="001715EE"/>
    <w:rsid w:val="00171A0D"/>
    <w:rsid w:val="00172239"/>
    <w:rsid w:val="0017334E"/>
    <w:rsid w:val="001737BF"/>
    <w:rsid w:val="001739E0"/>
    <w:rsid w:val="00173C33"/>
    <w:rsid w:val="001740EF"/>
    <w:rsid w:val="0017415F"/>
    <w:rsid w:val="00175DF5"/>
    <w:rsid w:val="00175FD4"/>
    <w:rsid w:val="001765E5"/>
    <w:rsid w:val="001768DC"/>
    <w:rsid w:val="00177C36"/>
    <w:rsid w:val="00180987"/>
    <w:rsid w:val="00181959"/>
    <w:rsid w:val="00181A5E"/>
    <w:rsid w:val="00181F12"/>
    <w:rsid w:val="0018353B"/>
    <w:rsid w:val="001845DB"/>
    <w:rsid w:val="00185460"/>
    <w:rsid w:val="001855B7"/>
    <w:rsid w:val="001877D0"/>
    <w:rsid w:val="00187C56"/>
    <w:rsid w:val="0019065E"/>
    <w:rsid w:val="00191D61"/>
    <w:rsid w:val="00192430"/>
    <w:rsid w:val="00193C52"/>
    <w:rsid w:val="00193F46"/>
    <w:rsid w:val="00194175"/>
    <w:rsid w:val="0019506D"/>
    <w:rsid w:val="001950E2"/>
    <w:rsid w:val="001965D0"/>
    <w:rsid w:val="00196B83"/>
    <w:rsid w:val="001A002C"/>
    <w:rsid w:val="001A0A6C"/>
    <w:rsid w:val="001A0C5C"/>
    <w:rsid w:val="001A1062"/>
    <w:rsid w:val="001A1AD0"/>
    <w:rsid w:val="001A1F94"/>
    <w:rsid w:val="001A29EA"/>
    <w:rsid w:val="001A3C0C"/>
    <w:rsid w:val="001A47BE"/>
    <w:rsid w:val="001A4C12"/>
    <w:rsid w:val="001A551F"/>
    <w:rsid w:val="001A5F2C"/>
    <w:rsid w:val="001A69E4"/>
    <w:rsid w:val="001A7D65"/>
    <w:rsid w:val="001B0348"/>
    <w:rsid w:val="001B15A0"/>
    <w:rsid w:val="001B18D8"/>
    <w:rsid w:val="001B21EA"/>
    <w:rsid w:val="001B23D6"/>
    <w:rsid w:val="001B272C"/>
    <w:rsid w:val="001B290B"/>
    <w:rsid w:val="001B48AD"/>
    <w:rsid w:val="001B5153"/>
    <w:rsid w:val="001B5F0E"/>
    <w:rsid w:val="001B7C51"/>
    <w:rsid w:val="001C10B3"/>
    <w:rsid w:val="001C182B"/>
    <w:rsid w:val="001C2AFB"/>
    <w:rsid w:val="001C2BE2"/>
    <w:rsid w:val="001C3C0D"/>
    <w:rsid w:val="001C499D"/>
    <w:rsid w:val="001C75BF"/>
    <w:rsid w:val="001C7639"/>
    <w:rsid w:val="001D1357"/>
    <w:rsid w:val="001D3304"/>
    <w:rsid w:val="001D35D6"/>
    <w:rsid w:val="001D3640"/>
    <w:rsid w:val="001D51EE"/>
    <w:rsid w:val="001D5DA7"/>
    <w:rsid w:val="001E005F"/>
    <w:rsid w:val="001E2DBF"/>
    <w:rsid w:val="001E3298"/>
    <w:rsid w:val="001E3EA2"/>
    <w:rsid w:val="001E4FEE"/>
    <w:rsid w:val="001E605F"/>
    <w:rsid w:val="001E649C"/>
    <w:rsid w:val="001F03E4"/>
    <w:rsid w:val="001F1E12"/>
    <w:rsid w:val="001F1E86"/>
    <w:rsid w:val="001F25CA"/>
    <w:rsid w:val="001F304D"/>
    <w:rsid w:val="001F3315"/>
    <w:rsid w:val="001F39C4"/>
    <w:rsid w:val="001F47BF"/>
    <w:rsid w:val="001F59FD"/>
    <w:rsid w:val="001F6377"/>
    <w:rsid w:val="001F6BD9"/>
    <w:rsid w:val="00200422"/>
    <w:rsid w:val="00200C1F"/>
    <w:rsid w:val="00201721"/>
    <w:rsid w:val="00201EB6"/>
    <w:rsid w:val="0020228A"/>
    <w:rsid w:val="00202D83"/>
    <w:rsid w:val="00202E7D"/>
    <w:rsid w:val="002037B1"/>
    <w:rsid w:val="00203C2C"/>
    <w:rsid w:val="00204020"/>
    <w:rsid w:val="00204023"/>
    <w:rsid w:val="002048AD"/>
    <w:rsid w:val="0020496C"/>
    <w:rsid w:val="00204E09"/>
    <w:rsid w:val="00204E55"/>
    <w:rsid w:val="00205177"/>
    <w:rsid w:val="00206CCC"/>
    <w:rsid w:val="0020757C"/>
    <w:rsid w:val="002101DA"/>
    <w:rsid w:val="002104CA"/>
    <w:rsid w:val="002106CF"/>
    <w:rsid w:val="00210CDA"/>
    <w:rsid w:val="0021144F"/>
    <w:rsid w:val="00211702"/>
    <w:rsid w:val="00214201"/>
    <w:rsid w:val="00214566"/>
    <w:rsid w:val="0021521E"/>
    <w:rsid w:val="0021634D"/>
    <w:rsid w:val="00216841"/>
    <w:rsid w:val="002175BC"/>
    <w:rsid w:val="00217690"/>
    <w:rsid w:val="0021787B"/>
    <w:rsid w:val="00220165"/>
    <w:rsid w:val="00224391"/>
    <w:rsid w:val="00224683"/>
    <w:rsid w:val="0022533F"/>
    <w:rsid w:val="002259FA"/>
    <w:rsid w:val="00230941"/>
    <w:rsid w:val="00230FEE"/>
    <w:rsid w:val="00231034"/>
    <w:rsid w:val="0023186C"/>
    <w:rsid w:val="00232DF4"/>
    <w:rsid w:val="00232F99"/>
    <w:rsid w:val="00233BE6"/>
    <w:rsid w:val="00233C69"/>
    <w:rsid w:val="0023409D"/>
    <w:rsid w:val="00234BDA"/>
    <w:rsid w:val="00235B60"/>
    <w:rsid w:val="00235D98"/>
    <w:rsid w:val="002365E6"/>
    <w:rsid w:val="00236C8A"/>
    <w:rsid w:val="0023726D"/>
    <w:rsid w:val="0024071A"/>
    <w:rsid w:val="00240914"/>
    <w:rsid w:val="00243565"/>
    <w:rsid w:val="00244DAD"/>
    <w:rsid w:val="00244FFD"/>
    <w:rsid w:val="00246FFB"/>
    <w:rsid w:val="0025029B"/>
    <w:rsid w:val="00252568"/>
    <w:rsid w:val="00253BAB"/>
    <w:rsid w:val="00253F6E"/>
    <w:rsid w:val="0025449A"/>
    <w:rsid w:val="00256A85"/>
    <w:rsid w:val="0025703A"/>
    <w:rsid w:val="002575E1"/>
    <w:rsid w:val="002576A8"/>
    <w:rsid w:val="00257972"/>
    <w:rsid w:val="00257CA9"/>
    <w:rsid w:val="00260952"/>
    <w:rsid w:val="00260A3D"/>
    <w:rsid w:val="00262474"/>
    <w:rsid w:val="0026519E"/>
    <w:rsid w:val="00265916"/>
    <w:rsid w:val="00265B91"/>
    <w:rsid w:val="0026638C"/>
    <w:rsid w:val="00266F5A"/>
    <w:rsid w:val="00267384"/>
    <w:rsid w:val="00270FB8"/>
    <w:rsid w:val="00272B5F"/>
    <w:rsid w:val="00273ED5"/>
    <w:rsid w:val="00274325"/>
    <w:rsid w:val="002759C4"/>
    <w:rsid w:val="00275FD2"/>
    <w:rsid w:val="002765C2"/>
    <w:rsid w:val="0027693B"/>
    <w:rsid w:val="00277191"/>
    <w:rsid w:val="00280B61"/>
    <w:rsid w:val="00280D1E"/>
    <w:rsid w:val="00280F43"/>
    <w:rsid w:val="00281796"/>
    <w:rsid w:val="00281CB4"/>
    <w:rsid w:val="00282463"/>
    <w:rsid w:val="002825B3"/>
    <w:rsid w:val="00282A21"/>
    <w:rsid w:val="002834B5"/>
    <w:rsid w:val="002846ED"/>
    <w:rsid w:val="00286307"/>
    <w:rsid w:val="00286682"/>
    <w:rsid w:val="00286980"/>
    <w:rsid w:val="00286EB2"/>
    <w:rsid w:val="0028796C"/>
    <w:rsid w:val="00287BF8"/>
    <w:rsid w:val="00287C5B"/>
    <w:rsid w:val="00290216"/>
    <w:rsid w:val="002905B3"/>
    <w:rsid w:val="00290EE0"/>
    <w:rsid w:val="00292902"/>
    <w:rsid w:val="00292C37"/>
    <w:rsid w:val="00292F48"/>
    <w:rsid w:val="002954AE"/>
    <w:rsid w:val="002954F3"/>
    <w:rsid w:val="0029641D"/>
    <w:rsid w:val="00296626"/>
    <w:rsid w:val="002A0A91"/>
    <w:rsid w:val="002A451B"/>
    <w:rsid w:val="002A4B0B"/>
    <w:rsid w:val="002A50D8"/>
    <w:rsid w:val="002A5A16"/>
    <w:rsid w:val="002A5B80"/>
    <w:rsid w:val="002A5D48"/>
    <w:rsid w:val="002A699C"/>
    <w:rsid w:val="002A69F4"/>
    <w:rsid w:val="002A7051"/>
    <w:rsid w:val="002A707F"/>
    <w:rsid w:val="002A7318"/>
    <w:rsid w:val="002A750D"/>
    <w:rsid w:val="002A7843"/>
    <w:rsid w:val="002B0032"/>
    <w:rsid w:val="002B0264"/>
    <w:rsid w:val="002B0AA4"/>
    <w:rsid w:val="002B0BBC"/>
    <w:rsid w:val="002B1708"/>
    <w:rsid w:val="002B19C3"/>
    <w:rsid w:val="002B1A0F"/>
    <w:rsid w:val="002B225F"/>
    <w:rsid w:val="002B3FF6"/>
    <w:rsid w:val="002B3FFA"/>
    <w:rsid w:val="002B40D1"/>
    <w:rsid w:val="002B4209"/>
    <w:rsid w:val="002B48DF"/>
    <w:rsid w:val="002B4BFF"/>
    <w:rsid w:val="002B5200"/>
    <w:rsid w:val="002B6586"/>
    <w:rsid w:val="002B728E"/>
    <w:rsid w:val="002B76D5"/>
    <w:rsid w:val="002C006D"/>
    <w:rsid w:val="002C0364"/>
    <w:rsid w:val="002C0850"/>
    <w:rsid w:val="002C0938"/>
    <w:rsid w:val="002C2E49"/>
    <w:rsid w:val="002C2EBD"/>
    <w:rsid w:val="002C2F67"/>
    <w:rsid w:val="002C41FE"/>
    <w:rsid w:val="002C5A64"/>
    <w:rsid w:val="002C61C3"/>
    <w:rsid w:val="002C71CF"/>
    <w:rsid w:val="002C741E"/>
    <w:rsid w:val="002D057E"/>
    <w:rsid w:val="002D15C6"/>
    <w:rsid w:val="002D198F"/>
    <w:rsid w:val="002D2497"/>
    <w:rsid w:val="002D2693"/>
    <w:rsid w:val="002D35B6"/>
    <w:rsid w:val="002D37D5"/>
    <w:rsid w:val="002D4505"/>
    <w:rsid w:val="002D5693"/>
    <w:rsid w:val="002D58E0"/>
    <w:rsid w:val="002D6145"/>
    <w:rsid w:val="002D6B4E"/>
    <w:rsid w:val="002D6E77"/>
    <w:rsid w:val="002D7367"/>
    <w:rsid w:val="002E05B8"/>
    <w:rsid w:val="002E1A76"/>
    <w:rsid w:val="002E1D8A"/>
    <w:rsid w:val="002E2A6B"/>
    <w:rsid w:val="002E3695"/>
    <w:rsid w:val="002E416C"/>
    <w:rsid w:val="002E50B6"/>
    <w:rsid w:val="002E50CA"/>
    <w:rsid w:val="002E5A8C"/>
    <w:rsid w:val="002E64B9"/>
    <w:rsid w:val="002E6B13"/>
    <w:rsid w:val="002E6BC7"/>
    <w:rsid w:val="002E6CA1"/>
    <w:rsid w:val="002E7085"/>
    <w:rsid w:val="002E78F4"/>
    <w:rsid w:val="002F00B6"/>
    <w:rsid w:val="002F2AA2"/>
    <w:rsid w:val="002F37D6"/>
    <w:rsid w:val="002F4059"/>
    <w:rsid w:val="002F4822"/>
    <w:rsid w:val="002F4B47"/>
    <w:rsid w:val="002F6408"/>
    <w:rsid w:val="002F69FB"/>
    <w:rsid w:val="002F6A42"/>
    <w:rsid w:val="002F6CE0"/>
    <w:rsid w:val="00301BFC"/>
    <w:rsid w:val="00301E82"/>
    <w:rsid w:val="00302D1E"/>
    <w:rsid w:val="0030347E"/>
    <w:rsid w:val="003054FC"/>
    <w:rsid w:val="0030680F"/>
    <w:rsid w:val="0031100B"/>
    <w:rsid w:val="003114C5"/>
    <w:rsid w:val="00311EF8"/>
    <w:rsid w:val="00311F32"/>
    <w:rsid w:val="00312E0B"/>
    <w:rsid w:val="00313A73"/>
    <w:rsid w:val="003143F7"/>
    <w:rsid w:val="003146D2"/>
    <w:rsid w:val="00314BFA"/>
    <w:rsid w:val="00316822"/>
    <w:rsid w:val="00316C31"/>
    <w:rsid w:val="003202FE"/>
    <w:rsid w:val="00320DCF"/>
    <w:rsid w:val="003213EA"/>
    <w:rsid w:val="00321FD3"/>
    <w:rsid w:val="003222A3"/>
    <w:rsid w:val="003224EB"/>
    <w:rsid w:val="00322652"/>
    <w:rsid w:val="00323974"/>
    <w:rsid w:val="00323A54"/>
    <w:rsid w:val="00324262"/>
    <w:rsid w:val="00324322"/>
    <w:rsid w:val="003243CC"/>
    <w:rsid w:val="00324ECE"/>
    <w:rsid w:val="00324F68"/>
    <w:rsid w:val="003259EE"/>
    <w:rsid w:val="00327472"/>
    <w:rsid w:val="00330581"/>
    <w:rsid w:val="003306C9"/>
    <w:rsid w:val="00330D35"/>
    <w:rsid w:val="00332895"/>
    <w:rsid w:val="00334232"/>
    <w:rsid w:val="00334E38"/>
    <w:rsid w:val="00334ED4"/>
    <w:rsid w:val="00334FCC"/>
    <w:rsid w:val="00335352"/>
    <w:rsid w:val="00335889"/>
    <w:rsid w:val="00335DB5"/>
    <w:rsid w:val="00336A86"/>
    <w:rsid w:val="00341FEA"/>
    <w:rsid w:val="00343ADB"/>
    <w:rsid w:val="00343CAD"/>
    <w:rsid w:val="00345AEE"/>
    <w:rsid w:val="00350F51"/>
    <w:rsid w:val="0035125D"/>
    <w:rsid w:val="00352DE2"/>
    <w:rsid w:val="00353472"/>
    <w:rsid w:val="0035436D"/>
    <w:rsid w:val="00354FF6"/>
    <w:rsid w:val="00355FCD"/>
    <w:rsid w:val="00361C71"/>
    <w:rsid w:val="003630D6"/>
    <w:rsid w:val="0036317F"/>
    <w:rsid w:val="00364842"/>
    <w:rsid w:val="00365AB9"/>
    <w:rsid w:val="00367D6B"/>
    <w:rsid w:val="00370C77"/>
    <w:rsid w:val="00370F4A"/>
    <w:rsid w:val="00372F4E"/>
    <w:rsid w:val="003734AA"/>
    <w:rsid w:val="003743B9"/>
    <w:rsid w:val="00374794"/>
    <w:rsid w:val="00374A21"/>
    <w:rsid w:val="003766EA"/>
    <w:rsid w:val="0038134C"/>
    <w:rsid w:val="003820BA"/>
    <w:rsid w:val="003823A1"/>
    <w:rsid w:val="00382526"/>
    <w:rsid w:val="00382C83"/>
    <w:rsid w:val="00383C89"/>
    <w:rsid w:val="00383D01"/>
    <w:rsid w:val="00384177"/>
    <w:rsid w:val="00384963"/>
    <w:rsid w:val="003862C2"/>
    <w:rsid w:val="00386C6D"/>
    <w:rsid w:val="003909E2"/>
    <w:rsid w:val="00390CD1"/>
    <w:rsid w:val="00392C3A"/>
    <w:rsid w:val="00392E0F"/>
    <w:rsid w:val="00392FC0"/>
    <w:rsid w:val="003947CB"/>
    <w:rsid w:val="003949D8"/>
    <w:rsid w:val="00394C37"/>
    <w:rsid w:val="00394ED0"/>
    <w:rsid w:val="003952C4"/>
    <w:rsid w:val="0039561C"/>
    <w:rsid w:val="003A0B29"/>
    <w:rsid w:val="003A0E82"/>
    <w:rsid w:val="003A1348"/>
    <w:rsid w:val="003A1858"/>
    <w:rsid w:val="003A2950"/>
    <w:rsid w:val="003A47B8"/>
    <w:rsid w:val="003A510C"/>
    <w:rsid w:val="003A6481"/>
    <w:rsid w:val="003A7A2A"/>
    <w:rsid w:val="003A7F11"/>
    <w:rsid w:val="003B049D"/>
    <w:rsid w:val="003B0ACC"/>
    <w:rsid w:val="003B0D74"/>
    <w:rsid w:val="003B1517"/>
    <w:rsid w:val="003B1EC6"/>
    <w:rsid w:val="003B2B76"/>
    <w:rsid w:val="003B3718"/>
    <w:rsid w:val="003B434D"/>
    <w:rsid w:val="003B5497"/>
    <w:rsid w:val="003B58CD"/>
    <w:rsid w:val="003B6186"/>
    <w:rsid w:val="003B632E"/>
    <w:rsid w:val="003B6A83"/>
    <w:rsid w:val="003B6C9F"/>
    <w:rsid w:val="003B73D5"/>
    <w:rsid w:val="003B7B3B"/>
    <w:rsid w:val="003C13B7"/>
    <w:rsid w:val="003C1449"/>
    <w:rsid w:val="003C3151"/>
    <w:rsid w:val="003C3CF6"/>
    <w:rsid w:val="003C54E1"/>
    <w:rsid w:val="003C59B2"/>
    <w:rsid w:val="003C69D0"/>
    <w:rsid w:val="003D07AA"/>
    <w:rsid w:val="003D11F0"/>
    <w:rsid w:val="003D17C5"/>
    <w:rsid w:val="003D1872"/>
    <w:rsid w:val="003D27B6"/>
    <w:rsid w:val="003D302B"/>
    <w:rsid w:val="003D31BB"/>
    <w:rsid w:val="003D39F3"/>
    <w:rsid w:val="003D3D98"/>
    <w:rsid w:val="003D4CD5"/>
    <w:rsid w:val="003D5633"/>
    <w:rsid w:val="003D5703"/>
    <w:rsid w:val="003D62F6"/>
    <w:rsid w:val="003D7895"/>
    <w:rsid w:val="003E091B"/>
    <w:rsid w:val="003E146F"/>
    <w:rsid w:val="003E165E"/>
    <w:rsid w:val="003E1EE3"/>
    <w:rsid w:val="003E2AF6"/>
    <w:rsid w:val="003E30EC"/>
    <w:rsid w:val="003E31CD"/>
    <w:rsid w:val="003E367B"/>
    <w:rsid w:val="003E4A98"/>
    <w:rsid w:val="003E53C5"/>
    <w:rsid w:val="003E56D8"/>
    <w:rsid w:val="003E7039"/>
    <w:rsid w:val="003F07E7"/>
    <w:rsid w:val="003F0A4D"/>
    <w:rsid w:val="003F10A8"/>
    <w:rsid w:val="003F150F"/>
    <w:rsid w:val="003F1C93"/>
    <w:rsid w:val="003F2069"/>
    <w:rsid w:val="003F3106"/>
    <w:rsid w:val="003F3114"/>
    <w:rsid w:val="003F4615"/>
    <w:rsid w:val="003F49CC"/>
    <w:rsid w:val="003F5D9B"/>
    <w:rsid w:val="003F71CE"/>
    <w:rsid w:val="003F73EB"/>
    <w:rsid w:val="003F79EF"/>
    <w:rsid w:val="004004D6"/>
    <w:rsid w:val="004005E8"/>
    <w:rsid w:val="004005EF"/>
    <w:rsid w:val="004012D9"/>
    <w:rsid w:val="0040178D"/>
    <w:rsid w:val="00401878"/>
    <w:rsid w:val="00401A32"/>
    <w:rsid w:val="00402BD6"/>
    <w:rsid w:val="004033C1"/>
    <w:rsid w:val="00403F4D"/>
    <w:rsid w:val="00405739"/>
    <w:rsid w:val="0040583E"/>
    <w:rsid w:val="00405BFA"/>
    <w:rsid w:val="00405D60"/>
    <w:rsid w:val="00406822"/>
    <w:rsid w:val="00407255"/>
    <w:rsid w:val="004130A6"/>
    <w:rsid w:val="0041356D"/>
    <w:rsid w:val="00413ADB"/>
    <w:rsid w:val="00414AB5"/>
    <w:rsid w:val="0041502E"/>
    <w:rsid w:val="00415075"/>
    <w:rsid w:val="004150FC"/>
    <w:rsid w:val="0041600B"/>
    <w:rsid w:val="004169FB"/>
    <w:rsid w:val="004215B4"/>
    <w:rsid w:val="00421D62"/>
    <w:rsid w:val="00422301"/>
    <w:rsid w:val="00422C8B"/>
    <w:rsid w:val="004233BC"/>
    <w:rsid w:val="004238B9"/>
    <w:rsid w:val="00426013"/>
    <w:rsid w:val="0042676A"/>
    <w:rsid w:val="00426779"/>
    <w:rsid w:val="00427339"/>
    <w:rsid w:val="004278D4"/>
    <w:rsid w:val="00430556"/>
    <w:rsid w:val="00431374"/>
    <w:rsid w:val="0043165A"/>
    <w:rsid w:val="00431DFE"/>
    <w:rsid w:val="004320F4"/>
    <w:rsid w:val="00432541"/>
    <w:rsid w:val="00433948"/>
    <w:rsid w:val="00433AE8"/>
    <w:rsid w:val="004343AC"/>
    <w:rsid w:val="00434639"/>
    <w:rsid w:val="00434E4E"/>
    <w:rsid w:val="00435123"/>
    <w:rsid w:val="00435284"/>
    <w:rsid w:val="0043540E"/>
    <w:rsid w:val="004360EB"/>
    <w:rsid w:val="00436328"/>
    <w:rsid w:val="00436E8A"/>
    <w:rsid w:val="004375F6"/>
    <w:rsid w:val="004418ED"/>
    <w:rsid w:val="00443955"/>
    <w:rsid w:val="00445579"/>
    <w:rsid w:val="00445D12"/>
    <w:rsid w:val="0044631C"/>
    <w:rsid w:val="00446752"/>
    <w:rsid w:val="00446BC7"/>
    <w:rsid w:val="0044758F"/>
    <w:rsid w:val="004476F8"/>
    <w:rsid w:val="00447760"/>
    <w:rsid w:val="00450323"/>
    <w:rsid w:val="004515A0"/>
    <w:rsid w:val="00452393"/>
    <w:rsid w:val="00452B1D"/>
    <w:rsid w:val="00452EA9"/>
    <w:rsid w:val="004556F3"/>
    <w:rsid w:val="00457723"/>
    <w:rsid w:val="00457AA1"/>
    <w:rsid w:val="00457DB3"/>
    <w:rsid w:val="00463C85"/>
    <w:rsid w:val="004645F5"/>
    <w:rsid w:val="0046493C"/>
    <w:rsid w:val="00465925"/>
    <w:rsid w:val="00466B47"/>
    <w:rsid w:val="004673C8"/>
    <w:rsid w:val="00470511"/>
    <w:rsid w:val="004717FE"/>
    <w:rsid w:val="004719BB"/>
    <w:rsid w:val="004719DB"/>
    <w:rsid w:val="00471F27"/>
    <w:rsid w:val="004731CC"/>
    <w:rsid w:val="00473237"/>
    <w:rsid w:val="00473532"/>
    <w:rsid w:val="00473872"/>
    <w:rsid w:val="004742BC"/>
    <w:rsid w:val="0047504C"/>
    <w:rsid w:val="0047558D"/>
    <w:rsid w:val="00475ADE"/>
    <w:rsid w:val="004772A2"/>
    <w:rsid w:val="004776F1"/>
    <w:rsid w:val="00480B14"/>
    <w:rsid w:val="00480BCC"/>
    <w:rsid w:val="00481D08"/>
    <w:rsid w:val="00482630"/>
    <w:rsid w:val="00482E82"/>
    <w:rsid w:val="004830F2"/>
    <w:rsid w:val="004831BB"/>
    <w:rsid w:val="00483AB6"/>
    <w:rsid w:val="00484481"/>
    <w:rsid w:val="0048481F"/>
    <w:rsid w:val="00485744"/>
    <w:rsid w:val="00486ECE"/>
    <w:rsid w:val="00487FB1"/>
    <w:rsid w:val="00492292"/>
    <w:rsid w:val="0049292E"/>
    <w:rsid w:val="00492C73"/>
    <w:rsid w:val="004931C5"/>
    <w:rsid w:val="0049405D"/>
    <w:rsid w:val="0049568A"/>
    <w:rsid w:val="00495E53"/>
    <w:rsid w:val="00496096"/>
    <w:rsid w:val="004A00D7"/>
    <w:rsid w:val="004A019B"/>
    <w:rsid w:val="004A0AD4"/>
    <w:rsid w:val="004A106D"/>
    <w:rsid w:val="004A12EB"/>
    <w:rsid w:val="004A1E44"/>
    <w:rsid w:val="004A31C4"/>
    <w:rsid w:val="004A4252"/>
    <w:rsid w:val="004A454D"/>
    <w:rsid w:val="004A5CAF"/>
    <w:rsid w:val="004A63D2"/>
    <w:rsid w:val="004A68FB"/>
    <w:rsid w:val="004A6A6F"/>
    <w:rsid w:val="004A77C5"/>
    <w:rsid w:val="004A78A2"/>
    <w:rsid w:val="004A7FE9"/>
    <w:rsid w:val="004B0525"/>
    <w:rsid w:val="004B0DEA"/>
    <w:rsid w:val="004B151F"/>
    <w:rsid w:val="004B1A1C"/>
    <w:rsid w:val="004B289F"/>
    <w:rsid w:val="004B336A"/>
    <w:rsid w:val="004B37C4"/>
    <w:rsid w:val="004B3949"/>
    <w:rsid w:val="004B5C0A"/>
    <w:rsid w:val="004B6007"/>
    <w:rsid w:val="004B63F1"/>
    <w:rsid w:val="004B6A3B"/>
    <w:rsid w:val="004B7D09"/>
    <w:rsid w:val="004C1656"/>
    <w:rsid w:val="004C191A"/>
    <w:rsid w:val="004C1E56"/>
    <w:rsid w:val="004C28BB"/>
    <w:rsid w:val="004C30A8"/>
    <w:rsid w:val="004C38B2"/>
    <w:rsid w:val="004C3A69"/>
    <w:rsid w:val="004C41CC"/>
    <w:rsid w:val="004C4B68"/>
    <w:rsid w:val="004C4B97"/>
    <w:rsid w:val="004C5467"/>
    <w:rsid w:val="004C5F79"/>
    <w:rsid w:val="004C6E0A"/>
    <w:rsid w:val="004C6EE3"/>
    <w:rsid w:val="004D0671"/>
    <w:rsid w:val="004D12C0"/>
    <w:rsid w:val="004D17C2"/>
    <w:rsid w:val="004D46C1"/>
    <w:rsid w:val="004D72DB"/>
    <w:rsid w:val="004E065A"/>
    <w:rsid w:val="004E0700"/>
    <w:rsid w:val="004E0FE6"/>
    <w:rsid w:val="004E10B6"/>
    <w:rsid w:val="004E3415"/>
    <w:rsid w:val="004E3776"/>
    <w:rsid w:val="004E51AB"/>
    <w:rsid w:val="004E60E3"/>
    <w:rsid w:val="004E71DB"/>
    <w:rsid w:val="004E74B2"/>
    <w:rsid w:val="004F0B9D"/>
    <w:rsid w:val="004F101C"/>
    <w:rsid w:val="004F4B16"/>
    <w:rsid w:val="004F4C23"/>
    <w:rsid w:val="004F5D9D"/>
    <w:rsid w:val="004F68B1"/>
    <w:rsid w:val="004F7037"/>
    <w:rsid w:val="004F70EC"/>
    <w:rsid w:val="004F710D"/>
    <w:rsid w:val="00500160"/>
    <w:rsid w:val="005002E2"/>
    <w:rsid w:val="00500EAF"/>
    <w:rsid w:val="005012E3"/>
    <w:rsid w:val="0050139D"/>
    <w:rsid w:val="00501795"/>
    <w:rsid w:val="00501B3F"/>
    <w:rsid w:val="00502105"/>
    <w:rsid w:val="00502FFC"/>
    <w:rsid w:val="00503EF2"/>
    <w:rsid w:val="00504C04"/>
    <w:rsid w:val="005052A2"/>
    <w:rsid w:val="0050583C"/>
    <w:rsid w:val="005069AD"/>
    <w:rsid w:val="00506B9A"/>
    <w:rsid w:val="00506D6A"/>
    <w:rsid w:val="0050737E"/>
    <w:rsid w:val="00507E5C"/>
    <w:rsid w:val="005106CE"/>
    <w:rsid w:val="005137DD"/>
    <w:rsid w:val="00513DA7"/>
    <w:rsid w:val="005153C5"/>
    <w:rsid w:val="00515548"/>
    <w:rsid w:val="00515B3A"/>
    <w:rsid w:val="00517835"/>
    <w:rsid w:val="0052020F"/>
    <w:rsid w:val="005209A5"/>
    <w:rsid w:val="00520C74"/>
    <w:rsid w:val="005211A7"/>
    <w:rsid w:val="00522768"/>
    <w:rsid w:val="00522B94"/>
    <w:rsid w:val="00525E76"/>
    <w:rsid w:val="00526112"/>
    <w:rsid w:val="00526F60"/>
    <w:rsid w:val="00527C8F"/>
    <w:rsid w:val="00530B31"/>
    <w:rsid w:val="0053113E"/>
    <w:rsid w:val="00531DCE"/>
    <w:rsid w:val="00531E2F"/>
    <w:rsid w:val="005326B6"/>
    <w:rsid w:val="00532F6C"/>
    <w:rsid w:val="005334B2"/>
    <w:rsid w:val="00533766"/>
    <w:rsid w:val="0053494E"/>
    <w:rsid w:val="00534954"/>
    <w:rsid w:val="0053642E"/>
    <w:rsid w:val="00537060"/>
    <w:rsid w:val="00540A2B"/>
    <w:rsid w:val="005416D7"/>
    <w:rsid w:val="00542256"/>
    <w:rsid w:val="00543648"/>
    <w:rsid w:val="00543885"/>
    <w:rsid w:val="00544917"/>
    <w:rsid w:val="005474C2"/>
    <w:rsid w:val="005476ED"/>
    <w:rsid w:val="00550BE0"/>
    <w:rsid w:val="00551BF9"/>
    <w:rsid w:val="00551E1E"/>
    <w:rsid w:val="00553174"/>
    <w:rsid w:val="00553574"/>
    <w:rsid w:val="00553C17"/>
    <w:rsid w:val="00554A36"/>
    <w:rsid w:val="00554BA8"/>
    <w:rsid w:val="00554FBD"/>
    <w:rsid w:val="00555759"/>
    <w:rsid w:val="005558D4"/>
    <w:rsid w:val="00556259"/>
    <w:rsid w:val="00560934"/>
    <w:rsid w:val="00561A9B"/>
    <w:rsid w:val="00561C8B"/>
    <w:rsid w:val="00561DCD"/>
    <w:rsid w:val="00562601"/>
    <w:rsid w:val="00562EC0"/>
    <w:rsid w:val="00563206"/>
    <w:rsid w:val="00563922"/>
    <w:rsid w:val="00563E31"/>
    <w:rsid w:val="00564C24"/>
    <w:rsid w:val="00564DCC"/>
    <w:rsid w:val="005656C2"/>
    <w:rsid w:val="00567CF5"/>
    <w:rsid w:val="0057119B"/>
    <w:rsid w:val="0057128D"/>
    <w:rsid w:val="005729B2"/>
    <w:rsid w:val="00573EDD"/>
    <w:rsid w:val="0057461A"/>
    <w:rsid w:val="005747FB"/>
    <w:rsid w:val="00574C37"/>
    <w:rsid w:val="00575079"/>
    <w:rsid w:val="00575363"/>
    <w:rsid w:val="00575449"/>
    <w:rsid w:val="005757C4"/>
    <w:rsid w:val="00575A5D"/>
    <w:rsid w:val="00575EB6"/>
    <w:rsid w:val="005765A4"/>
    <w:rsid w:val="00576A24"/>
    <w:rsid w:val="00576B4D"/>
    <w:rsid w:val="00577DF1"/>
    <w:rsid w:val="00580A75"/>
    <w:rsid w:val="00582727"/>
    <w:rsid w:val="00583441"/>
    <w:rsid w:val="0058410D"/>
    <w:rsid w:val="005842E1"/>
    <w:rsid w:val="00584359"/>
    <w:rsid w:val="005863B1"/>
    <w:rsid w:val="0058686F"/>
    <w:rsid w:val="00587010"/>
    <w:rsid w:val="00587460"/>
    <w:rsid w:val="0059163E"/>
    <w:rsid w:val="005919DE"/>
    <w:rsid w:val="00592638"/>
    <w:rsid w:val="00592C77"/>
    <w:rsid w:val="00594D75"/>
    <w:rsid w:val="00595490"/>
    <w:rsid w:val="00595A34"/>
    <w:rsid w:val="00595CE1"/>
    <w:rsid w:val="005A04FC"/>
    <w:rsid w:val="005A162D"/>
    <w:rsid w:val="005A1ADA"/>
    <w:rsid w:val="005A1EEF"/>
    <w:rsid w:val="005A2565"/>
    <w:rsid w:val="005A2EF8"/>
    <w:rsid w:val="005A34B6"/>
    <w:rsid w:val="005A3524"/>
    <w:rsid w:val="005A51F4"/>
    <w:rsid w:val="005A707C"/>
    <w:rsid w:val="005B0013"/>
    <w:rsid w:val="005B04C0"/>
    <w:rsid w:val="005B0A08"/>
    <w:rsid w:val="005B1238"/>
    <w:rsid w:val="005B173D"/>
    <w:rsid w:val="005B1A76"/>
    <w:rsid w:val="005B30F3"/>
    <w:rsid w:val="005B3102"/>
    <w:rsid w:val="005B5B16"/>
    <w:rsid w:val="005B6B2A"/>
    <w:rsid w:val="005C01FF"/>
    <w:rsid w:val="005C1449"/>
    <w:rsid w:val="005C1DBC"/>
    <w:rsid w:val="005C1E38"/>
    <w:rsid w:val="005C1F05"/>
    <w:rsid w:val="005C2FE7"/>
    <w:rsid w:val="005C3C51"/>
    <w:rsid w:val="005C3E04"/>
    <w:rsid w:val="005C4401"/>
    <w:rsid w:val="005C493E"/>
    <w:rsid w:val="005C4D06"/>
    <w:rsid w:val="005C4DF4"/>
    <w:rsid w:val="005C54D4"/>
    <w:rsid w:val="005C62C4"/>
    <w:rsid w:val="005C6E9D"/>
    <w:rsid w:val="005C7E19"/>
    <w:rsid w:val="005D0B74"/>
    <w:rsid w:val="005D0E00"/>
    <w:rsid w:val="005D2202"/>
    <w:rsid w:val="005D2627"/>
    <w:rsid w:val="005D294F"/>
    <w:rsid w:val="005D349E"/>
    <w:rsid w:val="005D3EDB"/>
    <w:rsid w:val="005D497D"/>
    <w:rsid w:val="005D4D9F"/>
    <w:rsid w:val="005D535C"/>
    <w:rsid w:val="005D581A"/>
    <w:rsid w:val="005D71E2"/>
    <w:rsid w:val="005D7673"/>
    <w:rsid w:val="005E00C1"/>
    <w:rsid w:val="005E26F5"/>
    <w:rsid w:val="005E387F"/>
    <w:rsid w:val="005E396F"/>
    <w:rsid w:val="005E4BC9"/>
    <w:rsid w:val="005E4C1C"/>
    <w:rsid w:val="005E67DD"/>
    <w:rsid w:val="005E726E"/>
    <w:rsid w:val="005E783E"/>
    <w:rsid w:val="005F0EDC"/>
    <w:rsid w:val="005F216C"/>
    <w:rsid w:val="005F40B5"/>
    <w:rsid w:val="005F45DB"/>
    <w:rsid w:val="005F507B"/>
    <w:rsid w:val="005F519E"/>
    <w:rsid w:val="005F5266"/>
    <w:rsid w:val="005F529A"/>
    <w:rsid w:val="005F66A0"/>
    <w:rsid w:val="005F69F8"/>
    <w:rsid w:val="005F6A69"/>
    <w:rsid w:val="005F6E44"/>
    <w:rsid w:val="005F7628"/>
    <w:rsid w:val="005F7682"/>
    <w:rsid w:val="005F7990"/>
    <w:rsid w:val="0060206D"/>
    <w:rsid w:val="006020C0"/>
    <w:rsid w:val="006022F2"/>
    <w:rsid w:val="006029F1"/>
    <w:rsid w:val="006033BB"/>
    <w:rsid w:val="00603A63"/>
    <w:rsid w:val="00603C16"/>
    <w:rsid w:val="0060433B"/>
    <w:rsid w:val="00604CE0"/>
    <w:rsid w:val="00604F97"/>
    <w:rsid w:val="00605CCD"/>
    <w:rsid w:val="006063EA"/>
    <w:rsid w:val="00606817"/>
    <w:rsid w:val="006078EA"/>
    <w:rsid w:val="00607CBD"/>
    <w:rsid w:val="00610997"/>
    <w:rsid w:val="006115FE"/>
    <w:rsid w:val="00611A3B"/>
    <w:rsid w:val="00611DCE"/>
    <w:rsid w:val="00613DE1"/>
    <w:rsid w:val="00615182"/>
    <w:rsid w:val="00615F17"/>
    <w:rsid w:val="00616501"/>
    <w:rsid w:val="00616C3F"/>
    <w:rsid w:val="00617839"/>
    <w:rsid w:val="006203F4"/>
    <w:rsid w:val="00623381"/>
    <w:rsid w:val="006237F7"/>
    <w:rsid w:val="00623A62"/>
    <w:rsid w:val="006248BE"/>
    <w:rsid w:val="00627D41"/>
    <w:rsid w:val="0063124C"/>
    <w:rsid w:val="0063325D"/>
    <w:rsid w:val="006337C9"/>
    <w:rsid w:val="00634E94"/>
    <w:rsid w:val="00634F64"/>
    <w:rsid w:val="00635D33"/>
    <w:rsid w:val="006405ED"/>
    <w:rsid w:val="00640EC4"/>
    <w:rsid w:val="0064101C"/>
    <w:rsid w:val="006416FB"/>
    <w:rsid w:val="00641D1A"/>
    <w:rsid w:val="006425D4"/>
    <w:rsid w:val="006425F1"/>
    <w:rsid w:val="006430B7"/>
    <w:rsid w:val="0064386E"/>
    <w:rsid w:val="00643E9C"/>
    <w:rsid w:val="00645B96"/>
    <w:rsid w:val="00645E6B"/>
    <w:rsid w:val="006467C5"/>
    <w:rsid w:val="006469AF"/>
    <w:rsid w:val="00646F34"/>
    <w:rsid w:val="006479DC"/>
    <w:rsid w:val="00647DA6"/>
    <w:rsid w:val="0065028B"/>
    <w:rsid w:val="006507C0"/>
    <w:rsid w:val="006513EB"/>
    <w:rsid w:val="00651518"/>
    <w:rsid w:val="00653A3C"/>
    <w:rsid w:val="00653E16"/>
    <w:rsid w:val="00653EA3"/>
    <w:rsid w:val="00654F3D"/>
    <w:rsid w:val="00655FE1"/>
    <w:rsid w:val="0065655C"/>
    <w:rsid w:val="006568E2"/>
    <w:rsid w:val="0066066A"/>
    <w:rsid w:val="00661356"/>
    <w:rsid w:val="006619F8"/>
    <w:rsid w:val="00661A7D"/>
    <w:rsid w:val="0066245A"/>
    <w:rsid w:val="00664122"/>
    <w:rsid w:val="00664C23"/>
    <w:rsid w:val="00664EDE"/>
    <w:rsid w:val="0066542A"/>
    <w:rsid w:val="00665DC8"/>
    <w:rsid w:val="00666D8F"/>
    <w:rsid w:val="00667067"/>
    <w:rsid w:val="0066714E"/>
    <w:rsid w:val="00670C8A"/>
    <w:rsid w:val="00671808"/>
    <w:rsid w:val="00671FD4"/>
    <w:rsid w:val="00673DE8"/>
    <w:rsid w:val="006749F3"/>
    <w:rsid w:val="00674FDF"/>
    <w:rsid w:val="0067603E"/>
    <w:rsid w:val="00676890"/>
    <w:rsid w:val="00682255"/>
    <w:rsid w:val="00683DAF"/>
    <w:rsid w:val="006843BB"/>
    <w:rsid w:val="00684A7F"/>
    <w:rsid w:val="00684AB5"/>
    <w:rsid w:val="00684DDA"/>
    <w:rsid w:val="00684DEC"/>
    <w:rsid w:val="00684FDD"/>
    <w:rsid w:val="00686432"/>
    <w:rsid w:val="00686CA6"/>
    <w:rsid w:val="006871A0"/>
    <w:rsid w:val="00692C0D"/>
    <w:rsid w:val="0069324B"/>
    <w:rsid w:val="00693F5B"/>
    <w:rsid w:val="00695337"/>
    <w:rsid w:val="006956F2"/>
    <w:rsid w:val="00695E6E"/>
    <w:rsid w:val="006966D5"/>
    <w:rsid w:val="00696EFB"/>
    <w:rsid w:val="00697955"/>
    <w:rsid w:val="00697BF0"/>
    <w:rsid w:val="00697D83"/>
    <w:rsid w:val="00697F2A"/>
    <w:rsid w:val="006A01AB"/>
    <w:rsid w:val="006A06D6"/>
    <w:rsid w:val="006A1D97"/>
    <w:rsid w:val="006A2369"/>
    <w:rsid w:val="006A38B2"/>
    <w:rsid w:val="006A5836"/>
    <w:rsid w:val="006A7B5D"/>
    <w:rsid w:val="006B018A"/>
    <w:rsid w:val="006B0E1E"/>
    <w:rsid w:val="006B0E20"/>
    <w:rsid w:val="006B2564"/>
    <w:rsid w:val="006B25D6"/>
    <w:rsid w:val="006B2BA6"/>
    <w:rsid w:val="006B2DCE"/>
    <w:rsid w:val="006B3017"/>
    <w:rsid w:val="006B43BC"/>
    <w:rsid w:val="006B4D07"/>
    <w:rsid w:val="006B53BB"/>
    <w:rsid w:val="006B56A9"/>
    <w:rsid w:val="006B5BF9"/>
    <w:rsid w:val="006C03D7"/>
    <w:rsid w:val="006C1071"/>
    <w:rsid w:val="006C1389"/>
    <w:rsid w:val="006C1BC1"/>
    <w:rsid w:val="006C37DB"/>
    <w:rsid w:val="006C46E0"/>
    <w:rsid w:val="006C4D3E"/>
    <w:rsid w:val="006C5B3E"/>
    <w:rsid w:val="006C615F"/>
    <w:rsid w:val="006C72EB"/>
    <w:rsid w:val="006C7F46"/>
    <w:rsid w:val="006D02DF"/>
    <w:rsid w:val="006D0B36"/>
    <w:rsid w:val="006D35ED"/>
    <w:rsid w:val="006D375E"/>
    <w:rsid w:val="006D3D26"/>
    <w:rsid w:val="006D3DB2"/>
    <w:rsid w:val="006D43E1"/>
    <w:rsid w:val="006D50C1"/>
    <w:rsid w:val="006D5726"/>
    <w:rsid w:val="006D6CC0"/>
    <w:rsid w:val="006D7072"/>
    <w:rsid w:val="006D7274"/>
    <w:rsid w:val="006D7B33"/>
    <w:rsid w:val="006E0361"/>
    <w:rsid w:val="006E1195"/>
    <w:rsid w:val="006E142C"/>
    <w:rsid w:val="006E145A"/>
    <w:rsid w:val="006E15E3"/>
    <w:rsid w:val="006E22EC"/>
    <w:rsid w:val="006E2387"/>
    <w:rsid w:val="006E24AD"/>
    <w:rsid w:val="006E26A0"/>
    <w:rsid w:val="006E4ADA"/>
    <w:rsid w:val="006E510D"/>
    <w:rsid w:val="006E5173"/>
    <w:rsid w:val="006E5200"/>
    <w:rsid w:val="006E672C"/>
    <w:rsid w:val="006E773E"/>
    <w:rsid w:val="006E7AC8"/>
    <w:rsid w:val="006E7BC3"/>
    <w:rsid w:val="006E7BFD"/>
    <w:rsid w:val="006F0571"/>
    <w:rsid w:val="006F182E"/>
    <w:rsid w:val="006F3AE3"/>
    <w:rsid w:val="006F5B00"/>
    <w:rsid w:val="006F5D30"/>
    <w:rsid w:val="006F6D8D"/>
    <w:rsid w:val="006F71A9"/>
    <w:rsid w:val="006F7377"/>
    <w:rsid w:val="006F7D59"/>
    <w:rsid w:val="0070000E"/>
    <w:rsid w:val="0070014F"/>
    <w:rsid w:val="00700F57"/>
    <w:rsid w:val="00702E28"/>
    <w:rsid w:val="00703EFC"/>
    <w:rsid w:val="0070415B"/>
    <w:rsid w:val="0070418D"/>
    <w:rsid w:val="007043A6"/>
    <w:rsid w:val="0070444C"/>
    <w:rsid w:val="007051B7"/>
    <w:rsid w:val="00705217"/>
    <w:rsid w:val="007053D4"/>
    <w:rsid w:val="0070567E"/>
    <w:rsid w:val="00705A22"/>
    <w:rsid w:val="00705D3F"/>
    <w:rsid w:val="00706146"/>
    <w:rsid w:val="007066F2"/>
    <w:rsid w:val="00706976"/>
    <w:rsid w:val="00710BD6"/>
    <w:rsid w:val="00710C98"/>
    <w:rsid w:val="007122A8"/>
    <w:rsid w:val="00713508"/>
    <w:rsid w:val="00713608"/>
    <w:rsid w:val="00713659"/>
    <w:rsid w:val="0071396F"/>
    <w:rsid w:val="007140B5"/>
    <w:rsid w:val="00716027"/>
    <w:rsid w:val="007162FA"/>
    <w:rsid w:val="00716332"/>
    <w:rsid w:val="00716BA8"/>
    <w:rsid w:val="00717443"/>
    <w:rsid w:val="00717C33"/>
    <w:rsid w:val="00717EB6"/>
    <w:rsid w:val="007211C8"/>
    <w:rsid w:val="0072273E"/>
    <w:rsid w:val="00724D08"/>
    <w:rsid w:val="00725BD7"/>
    <w:rsid w:val="00726C9C"/>
    <w:rsid w:val="00727264"/>
    <w:rsid w:val="0073050D"/>
    <w:rsid w:val="0073056F"/>
    <w:rsid w:val="0073167F"/>
    <w:rsid w:val="007321B4"/>
    <w:rsid w:val="00732AF2"/>
    <w:rsid w:val="007332D5"/>
    <w:rsid w:val="00734D98"/>
    <w:rsid w:val="00735795"/>
    <w:rsid w:val="0073628B"/>
    <w:rsid w:val="00736449"/>
    <w:rsid w:val="00737BA7"/>
    <w:rsid w:val="00741BBA"/>
    <w:rsid w:val="00741C21"/>
    <w:rsid w:val="00742623"/>
    <w:rsid w:val="00743211"/>
    <w:rsid w:val="0074579E"/>
    <w:rsid w:val="00746225"/>
    <w:rsid w:val="00746768"/>
    <w:rsid w:val="00750B82"/>
    <w:rsid w:val="007511D9"/>
    <w:rsid w:val="00751CB0"/>
    <w:rsid w:val="00753CD4"/>
    <w:rsid w:val="0075478E"/>
    <w:rsid w:val="0075509A"/>
    <w:rsid w:val="00755E97"/>
    <w:rsid w:val="00756A0B"/>
    <w:rsid w:val="00756B34"/>
    <w:rsid w:val="00756D7C"/>
    <w:rsid w:val="00757359"/>
    <w:rsid w:val="00763458"/>
    <w:rsid w:val="007637C1"/>
    <w:rsid w:val="007646E7"/>
    <w:rsid w:val="00766856"/>
    <w:rsid w:val="007669F0"/>
    <w:rsid w:val="00766DEB"/>
    <w:rsid w:val="00770A47"/>
    <w:rsid w:val="00771D2A"/>
    <w:rsid w:val="007722FF"/>
    <w:rsid w:val="007731E5"/>
    <w:rsid w:val="00773A1B"/>
    <w:rsid w:val="0077430C"/>
    <w:rsid w:val="00774D6E"/>
    <w:rsid w:val="00776353"/>
    <w:rsid w:val="007763E4"/>
    <w:rsid w:val="007763E5"/>
    <w:rsid w:val="0077732B"/>
    <w:rsid w:val="00777445"/>
    <w:rsid w:val="0077791D"/>
    <w:rsid w:val="007800C1"/>
    <w:rsid w:val="007801FC"/>
    <w:rsid w:val="00780C12"/>
    <w:rsid w:val="007811A2"/>
    <w:rsid w:val="00781286"/>
    <w:rsid w:val="007815E1"/>
    <w:rsid w:val="00783B2F"/>
    <w:rsid w:val="007840F1"/>
    <w:rsid w:val="0078520D"/>
    <w:rsid w:val="007917AC"/>
    <w:rsid w:val="007919AE"/>
    <w:rsid w:val="00792DC4"/>
    <w:rsid w:val="00792E5A"/>
    <w:rsid w:val="00793F51"/>
    <w:rsid w:val="007944D6"/>
    <w:rsid w:val="0079485F"/>
    <w:rsid w:val="00794E8F"/>
    <w:rsid w:val="00794FFA"/>
    <w:rsid w:val="00796077"/>
    <w:rsid w:val="00796ED6"/>
    <w:rsid w:val="0079756F"/>
    <w:rsid w:val="007A009E"/>
    <w:rsid w:val="007A03C6"/>
    <w:rsid w:val="007A095F"/>
    <w:rsid w:val="007A21EA"/>
    <w:rsid w:val="007A25F1"/>
    <w:rsid w:val="007A33FE"/>
    <w:rsid w:val="007A3900"/>
    <w:rsid w:val="007A3A36"/>
    <w:rsid w:val="007A405C"/>
    <w:rsid w:val="007A4626"/>
    <w:rsid w:val="007A59F1"/>
    <w:rsid w:val="007A5AFF"/>
    <w:rsid w:val="007A5FD1"/>
    <w:rsid w:val="007A62ED"/>
    <w:rsid w:val="007A7222"/>
    <w:rsid w:val="007B075C"/>
    <w:rsid w:val="007B147F"/>
    <w:rsid w:val="007B35B2"/>
    <w:rsid w:val="007B4B22"/>
    <w:rsid w:val="007B5E02"/>
    <w:rsid w:val="007B654B"/>
    <w:rsid w:val="007B719B"/>
    <w:rsid w:val="007B7637"/>
    <w:rsid w:val="007B7819"/>
    <w:rsid w:val="007C0915"/>
    <w:rsid w:val="007C1C13"/>
    <w:rsid w:val="007C225E"/>
    <w:rsid w:val="007C2E24"/>
    <w:rsid w:val="007C35FD"/>
    <w:rsid w:val="007C3DE5"/>
    <w:rsid w:val="007C4F7F"/>
    <w:rsid w:val="007C541E"/>
    <w:rsid w:val="007C6CBD"/>
    <w:rsid w:val="007C6E1E"/>
    <w:rsid w:val="007C78C4"/>
    <w:rsid w:val="007C7A97"/>
    <w:rsid w:val="007D0604"/>
    <w:rsid w:val="007D152B"/>
    <w:rsid w:val="007D1C11"/>
    <w:rsid w:val="007D310E"/>
    <w:rsid w:val="007D4290"/>
    <w:rsid w:val="007D5905"/>
    <w:rsid w:val="007D5C34"/>
    <w:rsid w:val="007D5E9F"/>
    <w:rsid w:val="007D765E"/>
    <w:rsid w:val="007D7D4C"/>
    <w:rsid w:val="007E0D1C"/>
    <w:rsid w:val="007E195E"/>
    <w:rsid w:val="007E1CC3"/>
    <w:rsid w:val="007E28FE"/>
    <w:rsid w:val="007E3965"/>
    <w:rsid w:val="007E42A0"/>
    <w:rsid w:val="007E4986"/>
    <w:rsid w:val="007E49AF"/>
    <w:rsid w:val="007E58B4"/>
    <w:rsid w:val="007E5FEB"/>
    <w:rsid w:val="007E6383"/>
    <w:rsid w:val="007F0942"/>
    <w:rsid w:val="007F1B75"/>
    <w:rsid w:val="007F2AAD"/>
    <w:rsid w:val="007F39BA"/>
    <w:rsid w:val="007F4F2F"/>
    <w:rsid w:val="007F5863"/>
    <w:rsid w:val="007F63F2"/>
    <w:rsid w:val="007F6D79"/>
    <w:rsid w:val="007F6FE3"/>
    <w:rsid w:val="00800357"/>
    <w:rsid w:val="00800B28"/>
    <w:rsid w:val="008021A1"/>
    <w:rsid w:val="008027CA"/>
    <w:rsid w:val="008030F9"/>
    <w:rsid w:val="008035E6"/>
    <w:rsid w:val="00805618"/>
    <w:rsid w:val="00807432"/>
    <w:rsid w:val="00810BC5"/>
    <w:rsid w:val="00810D66"/>
    <w:rsid w:val="00813347"/>
    <w:rsid w:val="00813489"/>
    <w:rsid w:val="00814124"/>
    <w:rsid w:val="0081418F"/>
    <w:rsid w:val="008141ED"/>
    <w:rsid w:val="00814700"/>
    <w:rsid w:val="00820347"/>
    <w:rsid w:val="00820F85"/>
    <w:rsid w:val="008229D4"/>
    <w:rsid w:val="008230E8"/>
    <w:rsid w:val="008232CA"/>
    <w:rsid w:val="00823ADA"/>
    <w:rsid w:val="00823B3E"/>
    <w:rsid w:val="00824E01"/>
    <w:rsid w:val="00825103"/>
    <w:rsid w:val="00825B8E"/>
    <w:rsid w:val="00825C2F"/>
    <w:rsid w:val="00826338"/>
    <w:rsid w:val="00826906"/>
    <w:rsid w:val="00826965"/>
    <w:rsid w:val="00827260"/>
    <w:rsid w:val="00830765"/>
    <w:rsid w:val="00830AA3"/>
    <w:rsid w:val="00831416"/>
    <w:rsid w:val="00833901"/>
    <w:rsid w:val="00833D8C"/>
    <w:rsid w:val="0083425C"/>
    <w:rsid w:val="008351E1"/>
    <w:rsid w:val="008362ED"/>
    <w:rsid w:val="00836903"/>
    <w:rsid w:val="00836E39"/>
    <w:rsid w:val="00836F2A"/>
    <w:rsid w:val="00837798"/>
    <w:rsid w:val="00840E89"/>
    <w:rsid w:val="00842DFB"/>
    <w:rsid w:val="008449F7"/>
    <w:rsid w:val="00845DCD"/>
    <w:rsid w:val="0084665B"/>
    <w:rsid w:val="008474CD"/>
    <w:rsid w:val="00847F55"/>
    <w:rsid w:val="00850AA7"/>
    <w:rsid w:val="00850D44"/>
    <w:rsid w:val="00850E6D"/>
    <w:rsid w:val="00851631"/>
    <w:rsid w:val="0085234F"/>
    <w:rsid w:val="00853282"/>
    <w:rsid w:val="0085401B"/>
    <w:rsid w:val="008549FD"/>
    <w:rsid w:val="00855568"/>
    <w:rsid w:val="00855FFD"/>
    <w:rsid w:val="008560AA"/>
    <w:rsid w:val="00856101"/>
    <w:rsid w:val="00856358"/>
    <w:rsid w:val="0085725D"/>
    <w:rsid w:val="00857CC3"/>
    <w:rsid w:val="008608A3"/>
    <w:rsid w:val="008616E7"/>
    <w:rsid w:val="0086177F"/>
    <w:rsid w:val="00861ADB"/>
    <w:rsid w:val="00861D7A"/>
    <w:rsid w:val="00862470"/>
    <w:rsid w:val="00864322"/>
    <w:rsid w:val="008651E9"/>
    <w:rsid w:val="0086620F"/>
    <w:rsid w:val="00866AF3"/>
    <w:rsid w:val="00866C82"/>
    <w:rsid w:val="008672E6"/>
    <w:rsid w:val="008677E5"/>
    <w:rsid w:val="00867C57"/>
    <w:rsid w:val="00874311"/>
    <w:rsid w:val="00874A6B"/>
    <w:rsid w:val="00874EC5"/>
    <w:rsid w:val="00875741"/>
    <w:rsid w:val="00875B00"/>
    <w:rsid w:val="00875C31"/>
    <w:rsid w:val="00876E75"/>
    <w:rsid w:val="008775EA"/>
    <w:rsid w:val="008775F8"/>
    <w:rsid w:val="0087780F"/>
    <w:rsid w:val="00877CD3"/>
    <w:rsid w:val="008811E5"/>
    <w:rsid w:val="0088215D"/>
    <w:rsid w:val="008826D8"/>
    <w:rsid w:val="00882832"/>
    <w:rsid w:val="008832C1"/>
    <w:rsid w:val="00883EE7"/>
    <w:rsid w:val="00884F3F"/>
    <w:rsid w:val="00885016"/>
    <w:rsid w:val="00885243"/>
    <w:rsid w:val="00885D64"/>
    <w:rsid w:val="008867D4"/>
    <w:rsid w:val="00886823"/>
    <w:rsid w:val="00886BC0"/>
    <w:rsid w:val="00887179"/>
    <w:rsid w:val="0089075D"/>
    <w:rsid w:val="008913B9"/>
    <w:rsid w:val="008917A2"/>
    <w:rsid w:val="00892E4C"/>
    <w:rsid w:val="008937C6"/>
    <w:rsid w:val="008938BD"/>
    <w:rsid w:val="008938D5"/>
    <w:rsid w:val="0089404D"/>
    <w:rsid w:val="00894718"/>
    <w:rsid w:val="008964DA"/>
    <w:rsid w:val="008965F1"/>
    <w:rsid w:val="0089703E"/>
    <w:rsid w:val="00897ED9"/>
    <w:rsid w:val="008A05B4"/>
    <w:rsid w:val="008A16AF"/>
    <w:rsid w:val="008A1A26"/>
    <w:rsid w:val="008A1D16"/>
    <w:rsid w:val="008A400D"/>
    <w:rsid w:val="008A48EB"/>
    <w:rsid w:val="008A600D"/>
    <w:rsid w:val="008A6118"/>
    <w:rsid w:val="008A7119"/>
    <w:rsid w:val="008A7EBA"/>
    <w:rsid w:val="008B07D3"/>
    <w:rsid w:val="008B131C"/>
    <w:rsid w:val="008B1588"/>
    <w:rsid w:val="008B1E0A"/>
    <w:rsid w:val="008B1E53"/>
    <w:rsid w:val="008B22B6"/>
    <w:rsid w:val="008B3178"/>
    <w:rsid w:val="008B42C0"/>
    <w:rsid w:val="008B5CE8"/>
    <w:rsid w:val="008B5DEB"/>
    <w:rsid w:val="008B600B"/>
    <w:rsid w:val="008B6B63"/>
    <w:rsid w:val="008B7B94"/>
    <w:rsid w:val="008C1980"/>
    <w:rsid w:val="008C1A4B"/>
    <w:rsid w:val="008C1D6E"/>
    <w:rsid w:val="008C390E"/>
    <w:rsid w:val="008C3EC2"/>
    <w:rsid w:val="008C4304"/>
    <w:rsid w:val="008C4C74"/>
    <w:rsid w:val="008C4FFF"/>
    <w:rsid w:val="008C5FC5"/>
    <w:rsid w:val="008C6BCA"/>
    <w:rsid w:val="008C6D79"/>
    <w:rsid w:val="008C71C7"/>
    <w:rsid w:val="008C7941"/>
    <w:rsid w:val="008D0AE2"/>
    <w:rsid w:val="008D0C17"/>
    <w:rsid w:val="008D4D27"/>
    <w:rsid w:val="008D4F19"/>
    <w:rsid w:val="008D6C81"/>
    <w:rsid w:val="008D7021"/>
    <w:rsid w:val="008E09E2"/>
    <w:rsid w:val="008E0F89"/>
    <w:rsid w:val="008E1610"/>
    <w:rsid w:val="008E1E4F"/>
    <w:rsid w:val="008E35C2"/>
    <w:rsid w:val="008E5112"/>
    <w:rsid w:val="008E6631"/>
    <w:rsid w:val="008E74FA"/>
    <w:rsid w:val="008E7876"/>
    <w:rsid w:val="008E7C8C"/>
    <w:rsid w:val="008E7F8D"/>
    <w:rsid w:val="008E7FB7"/>
    <w:rsid w:val="008F132E"/>
    <w:rsid w:val="008F13C2"/>
    <w:rsid w:val="008F18DE"/>
    <w:rsid w:val="008F2EF0"/>
    <w:rsid w:val="008F3198"/>
    <w:rsid w:val="008F3F61"/>
    <w:rsid w:val="008F49A9"/>
    <w:rsid w:val="008F4F40"/>
    <w:rsid w:val="008F63CE"/>
    <w:rsid w:val="008F6657"/>
    <w:rsid w:val="008F667F"/>
    <w:rsid w:val="008F7B0E"/>
    <w:rsid w:val="00900716"/>
    <w:rsid w:val="00901136"/>
    <w:rsid w:val="0090272A"/>
    <w:rsid w:val="00902823"/>
    <w:rsid w:val="009031A1"/>
    <w:rsid w:val="009039AC"/>
    <w:rsid w:val="00904EBC"/>
    <w:rsid w:val="00905482"/>
    <w:rsid w:val="009065F0"/>
    <w:rsid w:val="00906693"/>
    <w:rsid w:val="0090713F"/>
    <w:rsid w:val="00910995"/>
    <w:rsid w:val="00910A4F"/>
    <w:rsid w:val="00912803"/>
    <w:rsid w:val="009137DC"/>
    <w:rsid w:val="0091402A"/>
    <w:rsid w:val="0091434B"/>
    <w:rsid w:val="00915AB5"/>
    <w:rsid w:val="00915D7D"/>
    <w:rsid w:val="00916501"/>
    <w:rsid w:val="00917C96"/>
    <w:rsid w:val="00920F9E"/>
    <w:rsid w:val="00921058"/>
    <w:rsid w:val="00921199"/>
    <w:rsid w:val="009226A6"/>
    <w:rsid w:val="00923040"/>
    <w:rsid w:val="009233A1"/>
    <w:rsid w:val="0092386C"/>
    <w:rsid w:val="0092388F"/>
    <w:rsid w:val="0092470C"/>
    <w:rsid w:val="00924F1E"/>
    <w:rsid w:val="00924F61"/>
    <w:rsid w:val="00925627"/>
    <w:rsid w:val="009256FC"/>
    <w:rsid w:val="009324AF"/>
    <w:rsid w:val="00932E54"/>
    <w:rsid w:val="00933552"/>
    <w:rsid w:val="00935227"/>
    <w:rsid w:val="00940E00"/>
    <w:rsid w:val="009428F3"/>
    <w:rsid w:val="0094410E"/>
    <w:rsid w:val="009451A4"/>
    <w:rsid w:val="00945744"/>
    <w:rsid w:val="00946812"/>
    <w:rsid w:val="00947B6C"/>
    <w:rsid w:val="00947C7C"/>
    <w:rsid w:val="00950C83"/>
    <w:rsid w:val="00950F37"/>
    <w:rsid w:val="00951AB8"/>
    <w:rsid w:val="009524D4"/>
    <w:rsid w:val="0095253D"/>
    <w:rsid w:val="009532F9"/>
    <w:rsid w:val="0095391A"/>
    <w:rsid w:val="0095569D"/>
    <w:rsid w:val="009575C9"/>
    <w:rsid w:val="00957AF1"/>
    <w:rsid w:val="0096015F"/>
    <w:rsid w:val="0096044E"/>
    <w:rsid w:val="0096076D"/>
    <w:rsid w:val="009607F8"/>
    <w:rsid w:val="009613F6"/>
    <w:rsid w:val="009621AF"/>
    <w:rsid w:val="009629AE"/>
    <w:rsid w:val="009629DB"/>
    <w:rsid w:val="00964A83"/>
    <w:rsid w:val="00964B22"/>
    <w:rsid w:val="009667A2"/>
    <w:rsid w:val="00966B28"/>
    <w:rsid w:val="00966F68"/>
    <w:rsid w:val="009676F5"/>
    <w:rsid w:val="00967EBC"/>
    <w:rsid w:val="00967F78"/>
    <w:rsid w:val="00970F1D"/>
    <w:rsid w:val="0097115D"/>
    <w:rsid w:val="009713DE"/>
    <w:rsid w:val="00971EEE"/>
    <w:rsid w:val="00972FC0"/>
    <w:rsid w:val="00974CC4"/>
    <w:rsid w:val="0097555C"/>
    <w:rsid w:val="00975D71"/>
    <w:rsid w:val="00976A55"/>
    <w:rsid w:val="00980252"/>
    <w:rsid w:val="009804B0"/>
    <w:rsid w:val="00980542"/>
    <w:rsid w:val="00980CD5"/>
    <w:rsid w:val="00981CE7"/>
    <w:rsid w:val="00982D21"/>
    <w:rsid w:val="00984915"/>
    <w:rsid w:val="00986F45"/>
    <w:rsid w:val="009872B2"/>
    <w:rsid w:val="009902EA"/>
    <w:rsid w:val="0099046C"/>
    <w:rsid w:val="00990A43"/>
    <w:rsid w:val="00990CD5"/>
    <w:rsid w:val="009919E7"/>
    <w:rsid w:val="0099219C"/>
    <w:rsid w:val="00992989"/>
    <w:rsid w:val="009929C8"/>
    <w:rsid w:val="00992AF4"/>
    <w:rsid w:val="00993241"/>
    <w:rsid w:val="009936C3"/>
    <w:rsid w:val="0099535D"/>
    <w:rsid w:val="00997281"/>
    <w:rsid w:val="009A08B6"/>
    <w:rsid w:val="009A0F29"/>
    <w:rsid w:val="009A17C8"/>
    <w:rsid w:val="009A1E68"/>
    <w:rsid w:val="009A3572"/>
    <w:rsid w:val="009A3692"/>
    <w:rsid w:val="009A499C"/>
    <w:rsid w:val="009A5127"/>
    <w:rsid w:val="009A5547"/>
    <w:rsid w:val="009A6296"/>
    <w:rsid w:val="009A688D"/>
    <w:rsid w:val="009A695F"/>
    <w:rsid w:val="009A7259"/>
    <w:rsid w:val="009A7774"/>
    <w:rsid w:val="009A7CAB"/>
    <w:rsid w:val="009B020F"/>
    <w:rsid w:val="009B0584"/>
    <w:rsid w:val="009B437D"/>
    <w:rsid w:val="009B58BE"/>
    <w:rsid w:val="009B5C2C"/>
    <w:rsid w:val="009B6260"/>
    <w:rsid w:val="009C053F"/>
    <w:rsid w:val="009C1A09"/>
    <w:rsid w:val="009C1F8A"/>
    <w:rsid w:val="009C2965"/>
    <w:rsid w:val="009C4C42"/>
    <w:rsid w:val="009C6CBA"/>
    <w:rsid w:val="009C6E7A"/>
    <w:rsid w:val="009C7265"/>
    <w:rsid w:val="009C7A13"/>
    <w:rsid w:val="009C7F03"/>
    <w:rsid w:val="009D2063"/>
    <w:rsid w:val="009D2132"/>
    <w:rsid w:val="009D255F"/>
    <w:rsid w:val="009D2FA2"/>
    <w:rsid w:val="009D3F28"/>
    <w:rsid w:val="009D5DD1"/>
    <w:rsid w:val="009D66B5"/>
    <w:rsid w:val="009D74F5"/>
    <w:rsid w:val="009D7A04"/>
    <w:rsid w:val="009E048A"/>
    <w:rsid w:val="009E31B8"/>
    <w:rsid w:val="009E418C"/>
    <w:rsid w:val="009E4AAC"/>
    <w:rsid w:val="009E526E"/>
    <w:rsid w:val="009E5282"/>
    <w:rsid w:val="009E61B6"/>
    <w:rsid w:val="009E70DC"/>
    <w:rsid w:val="009E7F5C"/>
    <w:rsid w:val="009F0115"/>
    <w:rsid w:val="009F0DD1"/>
    <w:rsid w:val="009F17C4"/>
    <w:rsid w:val="009F1836"/>
    <w:rsid w:val="009F2CA1"/>
    <w:rsid w:val="009F3D33"/>
    <w:rsid w:val="009F47E4"/>
    <w:rsid w:val="009F4883"/>
    <w:rsid w:val="009F48D9"/>
    <w:rsid w:val="009F4BDE"/>
    <w:rsid w:val="009F5173"/>
    <w:rsid w:val="009F5563"/>
    <w:rsid w:val="009F5924"/>
    <w:rsid w:val="009F610B"/>
    <w:rsid w:val="009F6484"/>
    <w:rsid w:val="00A015D1"/>
    <w:rsid w:val="00A02588"/>
    <w:rsid w:val="00A02BB4"/>
    <w:rsid w:val="00A03186"/>
    <w:rsid w:val="00A054DF"/>
    <w:rsid w:val="00A0558C"/>
    <w:rsid w:val="00A05F29"/>
    <w:rsid w:val="00A0773C"/>
    <w:rsid w:val="00A10502"/>
    <w:rsid w:val="00A114E6"/>
    <w:rsid w:val="00A13A5D"/>
    <w:rsid w:val="00A14063"/>
    <w:rsid w:val="00A15217"/>
    <w:rsid w:val="00A16A06"/>
    <w:rsid w:val="00A16A28"/>
    <w:rsid w:val="00A17AAD"/>
    <w:rsid w:val="00A17CA3"/>
    <w:rsid w:val="00A21722"/>
    <w:rsid w:val="00A22329"/>
    <w:rsid w:val="00A224F9"/>
    <w:rsid w:val="00A235D0"/>
    <w:rsid w:val="00A23781"/>
    <w:rsid w:val="00A23D17"/>
    <w:rsid w:val="00A250FE"/>
    <w:rsid w:val="00A253AC"/>
    <w:rsid w:val="00A2572B"/>
    <w:rsid w:val="00A25E62"/>
    <w:rsid w:val="00A260FA"/>
    <w:rsid w:val="00A26301"/>
    <w:rsid w:val="00A26CA1"/>
    <w:rsid w:val="00A26DAB"/>
    <w:rsid w:val="00A278AC"/>
    <w:rsid w:val="00A30096"/>
    <w:rsid w:val="00A30794"/>
    <w:rsid w:val="00A30AE2"/>
    <w:rsid w:val="00A319A8"/>
    <w:rsid w:val="00A32233"/>
    <w:rsid w:val="00A324D9"/>
    <w:rsid w:val="00A32704"/>
    <w:rsid w:val="00A32BEE"/>
    <w:rsid w:val="00A334DE"/>
    <w:rsid w:val="00A348F6"/>
    <w:rsid w:val="00A34AFC"/>
    <w:rsid w:val="00A35215"/>
    <w:rsid w:val="00A3632C"/>
    <w:rsid w:val="00A367CC"/>
    <w:rsid w:val="00A369A1"/>
    <w:rsid w:val="00A371D6"/>
    <w:rsid w:val="00A40673"/>
    <w:rsid w:val="00A408D1"/>
    <w:rsid w:val="00A41354"/>
    <w:rsid w:val="00A4281D"/>
    <w:rsid w:val="00A43002"/>
    <w:rsid w:val="00A433A3"/>
    <w:rsid w:val="00A44BC8"/>
    <w:rsid w:val="00A44DAA"/>
    <w:rsid w:val="00A4523C"/>
    <w:rsid w:val="00A4551E"/>
    <w:rsid w:val="00A45B45"/>
    <w:rsid w:val="00A45FBA"/>
    <w:rsid w:val="00A52898"/>
    <w:rsid w:val="00A532A2"/>
    <w:rsid w:val="00A5428F"/>
    <w:rsid w:val="00A542A3"/>
    <w:rsid w:val="00A54377"/>
    <w:rsid w:val="00A54E5C"/>
    <w:rsid w:val="00A55B7B"/>
    <w:rsid w:val="00A55F87"/>
    <w:rsid w:val="00A560CC"/>
    <w:rsid w:val="00A5783E"/>
    <w:rsid w:val="00A605D2"/>
    <w:rsid w:val="00A61182"/>
    <w:rsid w:val="00A6185B"/>
    <w:rsid w:val="00A61CB6"/>
    <w:rsid w:val="00A627B6"/>
    <w:rsid w:val="00A63084"/>
    <w:rsid w:val="00A64812"/>
    <w:rsid w:val="00A65618"/>
    <w:rsid w:val="00A65B6E"/>
    <w:rsid w:val="00A65F9C"/>
    <w:rsid w:val="00A6651D"/>
    <w:rsid w:val="00A67704"/>
    <w:rsid w:val="00A67F18"/>
    <w:rsid w:val="00A70297"/>
    <w:rsid w:val="00A704A9"/>
    <w:rsid w:val="00A70557"/>
    <w:rsid w:val="00A7066B"/>
    <w:rsid w:val="00A7098B"/>
    <w:rsid w:val="00A717F0"/>
    <w:rsid w:val="00A71E8F"/>
    <w:rsid w:val="00A729AF"/>
    <w:rsid w:val="00A72A3E"/>
    <w:rsid w:val="00A7398C"/>
    <w:rsid w:val="00A739B7"/>
    <w:rsid w:val="00A73A9A"/>
    <w:rsid w:val="00A73AFF"/>
    <w:rsid w:val="00A74508"/>
    <w:rsid w:val="00A76061"/>
    <w:rsid w:val="00A7661C"/>
    <w:rsid w:val="00A7699A"/>
    <w:rsid w:val="00A76A4F"/>
    <w:rsid w:val="00A76F4F"/>
    <w:rsid w:val="00A774BC"/>
    <w:rsid w:val="00A778FF"/>
    <w:rsid w:val="00A81A6E"/>
    <w:rsid w:val="00A823AE"/>
    <w:rsid w:val="00A826FD"/>
    <w:rsid w:val="00A828ED"/>
    <w:rsid w:val="00A83A08"/>
    <w:rsid w:val="00A83D31"/>
    <w:rsid w:val="00A84E18"/>
    <w:rsid w:val="00A8529D"/>
    <w:rsid w:val="00A868FD"/>
    <w:rsid w:val="00A87ED0"/>
    <w:rsid w:val="00A87FD4"/>
    <w:rsid w:val="00A91244"/>
    <w:rsid w:val="00A917EB"/>
    <w:rsid w:val="00A91AF4"/>
    <w:rsid w:val="00A9349C"/>
    <w:rsid w:val="00A93D13"/>
    <w:rsid w:val="00A93F46"/>
    <w:rsid w:val="00A943DA"/>
    <w:rsid w:val="00A952F3"/>
    <w:rsid w:val="00A95807"/>
    <w:rsid w:val="00A96395"/>
    <w:rsid w:val="00A96693"/>
    <w:rsid w:val="00AA18A2"/>
    <w:rsid w:val="00AA19BE"/>
    <w:rsid w:val="00AA2245"/>
    <w:rsid w:val="00AA3730"/>
    <w:rsid w:val="00AA3A8A"/>
    <w:rsid w:val="00AA3E62"/>
    <w:rsid w:val="00AA44D2"/>
    <w:rsid w:val="00AA4A22"/>
    <w:rsid w:val="00AA5B6A"/>
    <w:rsid w:val="00AA6057"/>
    <w:rsid w:val="00AA6899"/>
    <w:rsid w:val="00AA6C14"/>
    <w:rsid w:val="00AB1FEE"/>
    <w:rsid w:val="00AB2FF5"/>
    <w:rsid w:val="00AB30EB"/>
    <w:rsid w:val="00AB3924"/>
    <w:rsid w:val="00AB3C6A"/>
    <w:rsid w:val="00AB7282"/>
    <w:rsid w:val="00AB7D44"/>
    <w:rsid w:val="00AC0044"/>
    <w:rsid w:val="00AC0945"/>
    <w:rsid w:val="00AC0B82"/>
    <w:rsid w:val="00AC17AF"/>
    <w:rsid w:val="00AC2159"/>
    <w:rsid w:val="00AC296A"/>
    <w:rsid w:val="00AC4B90"/>
    <w:rsid w:val="00AC651B"/>
    <w:rsid w:val="00AC6658"/>
    <w:rsid w:val="00AD02AE"/>
    <w:rsid w:val="00AD06F8"/>
    <w:rsid w:val="00AD1523"/>
    <w:rsid w:val="00AD1BEF"/>
    <w:rsid w:val="00AD316A"/>
    <w:rsid w:val="00AD3B15"/>
    <w:rsid w:val="00AD3D96"/>
    <w:rsid w:val="00AD402A"/>
    <w:rsid w:val="00AD460E"/>
    <w:rsid w:val="00AD47F3"/>
    <w:rsid w:val="00AD636B"/>
    <w:rsid w:val="00AD6967"/>
    <w:rsid w:val="00AD7BDF"/>
    <w:rsid w:val="00AD7EB2"/>
    <w:rsid w:val="00AD7EEA"/>
    <w:rsid w:val="00AE4CB0"/>
    <w:rsid w:val="00AE6298"/>
    <w:rsid w:val="00AE631D"/>
    <w:rsid w:val="00AE6DA6"/>
    <w:rsid w:val="00AE7134"/>
    <w:rsid w:val="00AE74CE"/>
    <w:rsid w:val="00AF0C76"/>
    <w:rsid w:val="00AF0D0C"/>
    <w:rsid w:val="00AF2948"/>
    <w:rsid w:val="00AF41A2"/>
    <w:rsid w:val="00AF4EF0"/>
    <w:rsid w:val="00AF6167"/>
    <w:rsid w:val="00AF67BC"/>
    <w:rsid w:val="00AF6CB5"/>
    <w:rsid w:val="00AF71FF"/>
    <w:rsid w:val="00AF7227"/>
    <w:rsid w:val="00B01BA2"/>
    <w:rsid w:val="00B01BD6"/>
    <w:rsid w:val="00B01CD0"/>
    <w:rsid w:val="00B02D8A"/>
    <w:rsid w:val="00B03A5D"/>
    <w:rsid w:val="00B0431D"/>
    <w:rsid w:val="00B04536"/>
    <w:rsid w:val="00B04E09"/>
    <w:rsid w:val="00B068E6"/>
    <w:rsid w:val="00B0766E"/>
    <w:rsid w:val="00B0798C"/>
    <w:rsid w:val="00B10AA6"/>
    <w:rsid w:val="00B114BA"/>
    <w:rsid w:val="00B11845"/>
    <w:rsid w:val="00B11C98"/>
    <w:rsid w:val="00B13141"/>
    <w:rsid w:val="00B1389F"/>
    <w:rsid w:val="00B147A6"/>
    <w:rsid w:val="00B15F52"/>
    <w:rsid w:val="00B161A9"/>
    <w:rsid w:val="00B166FD"/>
    <w:rsid w:val="00B16F17"/>
    <w:rsid w:val="00B17B5E"/>
    <w:rsid w:val="00B20491"/>
    <w:rsid w:val="00B220B5"/>
    <w:rsid w:val="00B2223C"/>
    <w:rsid w:val="00B226CF"/>
    <w:rsid w:val="00B241FD"/>
    <w:rsid w:val="00B242A3"/>
    <w:rsid w:val="00B24A68"/>
    <w:rsid w:val="00B273A2"/>
    <w:rsid w:val="00B27D3C"/>
    <w:rsid w:val="00B30923"/>
    <w:rsid w:val="00B338A0"/>
    <w:rsid w:val="00B33DF4"/>
    <w:rsid w:val="00B355DA"/>
    <w:rsid w:val="00B366ED"/>
    <w:rsid w:val="00B3791F"/>
    <w:rsid w:val="00B4029E"/>
    <w:rsid w:val="00B40438"/>
    <w:rsid w:val="00B40C7D"/>
    <w:rsid w:val="00B41E70"/>
    <w:rsid w:val="00B43FC8"/>
    <w:rsid w:val="00B4546D"/>
    <w:rsid w:val="00B456E8"/>
    <w:rsid w:val="00B46C39"/>
    <w:rsid w:val="00B512FC"/>
    <w:rsid w:val="00B51F2E"/>
    <w:rsid w:val="00B52321"/>
    <w:rsid w:val="00B53930"/>
    <w:rsid w:val="00B5434B"/>
    <w:rsid w:val="00B54C7D"/>
    <w:rsid w:val="00B552A7"/>
    <w:rsid w:val="00B55ABC"/>
    <w:rsid w:val="00B564E6"/>
    <w:rsid w:val="00B62EFA"/>
    <w:rsid w:val="00B63EED"/>
    <w:rsid w:val="00B659AA"/>
    <w:rsid w:val="00B6710B"/>
    <w:rsid w:val="00B67136"/>
    <w:rsid w:val="00B67968"/>
    <w:rsid w:val="00B70E95"/>
    <w:rsid w:val="00B71106"/>
    <w:rsid w:val="00B72D1A"/>
    <w:rsid w:val="00B732F4"/>
    <w:rsid w:val="00B74506"/>
    <w:rsid w:val="00B77826"/>
    <w:rsid w:val="00B77A9C"/>
    <w:rsid w:val="00B8009C"/>
    <w:rsid w:val="00B80E9D"/>
    <w:rsid w:val="00B81B35"/>
    <w:rsid w:val="00B81E15"/>
    <w:rsid w:val="00B82ED5"/>
    <w:rsid w:val="00B83088"/>
    <w:rsid w:val="00B836A7"/>
    <w:rsid w:val="00B8451B"/>
    <w:rsid w:val="00B85C47"/>
    <w:rsid w:val="00B86910"/>
    <w:rsid w:val="00B875C0"/>
    <w:rsid w:val="00B877EB"/>
    <w:rsid w:val="00B87E35"/>
    <w:rsid w:val="00B915C7"/>
    <w:rsid w:val="00B916ED"/>
    <w:rsid w:val="00B91E50"/>
    <w:rsid w:val="00B923A7"/>
    <w:rsid w:val="00B93C0D"/>
    <w:rsid w:val="00B93DFE"/>
    <w:rsid w:val="00B9446C"/>
    <w:rsid w:val="00B953FF"/>
    <w:rsid w:val="00B95AF6"/>
    <w:rsid w:val="00B95E59"/>
    <w:rsid w:val="00B96DDE"/>
    <w:rsid w:val="00B9731A"/>
    <w:rsid w:val="00B97FD0"/>
    <w:rsid w:val="00BA03E2"/>
    <w:rsid w:val="00BA0E6F"/>
    <w:rsid w:val="00BA14BA"/>
    <w:rsid w:val="00BA36FC"/>
    <w:rsid w:val="00BA3FAE"/>
    <w:rsid w:val="00BA4F13"/>
    <w:rsid w:val="00BA5D03"/>
    <w:rsid w:val="00BA5E67"/>
    <w:rsid w:val="00BA76A4"/>
    <w:rsid w:val="00BA79FF"/>
    <w:rsid w:val="00BB1883"/>
    <w:rsid w:val="00BB1BDA"/>
    <w:rsid w:val="00BB1F9A"/>
    <w:rsid w:val="00BB20F4"/>
    <w:rsid w:val="00BB2338"/>
    <w:rsid w:val="00BB39EE"/>
    <w:rsid w:val="00BB4F2B"/>
    <w:rsid w:val="00BB5469"/>
    <w:rsid w:val="00BB5C4F"/>
    <w:rsid w:val="00BB7744"/>
    <w:rsid w:val="00BB78F6"/>
    <w:rsid w:val="00BC0C4F"/>
    <w:rsid w:val="00BC0CFC"/>
    <w:rsid w:val="00BC0E8B"/>
    <w:rsid w:val="00BC1F44"/>
    <w:rsid w:val="00BC2907"/>
    <w:rsid w:val="00BC2AA2"/>
    <w:rsid w:val="00BC2ABD"/>
    <w:rsid w:val="00BC39BA"/>
    <w:rsid w:val="00BC698D"/>
    <w:rsid w:val="00BC72C6"/>
    <w:rsid w:val="00BC793E"/>
    <w:rsid w:val="00BC7B26"/>
    <w:rsid w:val="00BD0CEA"/>
    <w:rsid w:val="00BD0DBF"/>
    <w:rsid w:val="00BD22B7"/>
    <w:rsid w:val="00BD3AB6"/>
    <w:rsid w:val="00BD5176"/>
    <w:rsid w:val="00BD60FF"/>
    <w:rsid w:val="00BD75B3"/>
    <w:rsid w:val="00BE1894"/>
    <w:rsid w:val="00BE1A5B"/>
    <w:rsid w:val="00BE1CDE"/>
    <w:rsid w:val="00BE2F01"/>
    <w:rsid w:val="00BE37EC"/>
    <w:rsid w:val="00BE5DD4"/>
    <w:rsid w:val="00BE6491"/>
    <w:rsid w:val="00BE7A0F"/>
    <w:rsid w:val="00BF0523"/>
    <w:rsid w:val="00BF0BC8"/>
    <w:rsid w:val="00BF273A"/>
    <w:rsid w:val="00BF3424"/>
    <w:rsid w:val="00BF44A8"/>
    <w:rsid w:val="00BF59E7"/>
    <w:rsid w:val="00BF5EC6"/>
    <w:rsid w:val="00BF6BDE"/>
    <w:rsid w:val="00BF74B7"/>
    <w:rsid w:val="00BF7D0E"/>
    <w:rsid w:val="00BF7DEC"/>
    <w:rsid w:val="00BF7E78"/>
    <w:rsid w:val="00C00500"/>
    <w:rsid w:val="00C02B98"/>
    <w:rsid w:val="00C05101"/>
    <w:rsid w:val="00C05376"/>
    <w:rsid w:val="00C05E57"/>
    <w:rsid w:val="00C065DD"/>
    <w:rsid w:val="00C06932"/>
    <w:rsid w:val="00C06FA5"/>
    <w:rsid w:val="00C07BAD"/>
    <w:rsid w:val="00C07CCA"/>
    <w:rsid w:val="00C1036A"/>
    <w:rsid w:val="00C10663"/>
    <w:rsid w:val="00C11378"/>
    <w:rsid w:val="00C11396"/>
    <w:rsid w:val="00C11866"/>
    <w:rsid w:val="00C13E72"/>
    <w:rsid w:val="00C15A13"/>
    <w:rsid w:val="00C16370"/>
    <w:rsid w:val="00C16A03"/>
    <w:rsid w:val="00C16B6D"/>
    <w:rsid w:val="00C16C19"/>
    <w:rsid w:val="00C16D18"/>
    <w:rsid w:val="00C17059"/>
    <w:rsid w:val="00C17262"/>
    <w:rsid w:val="00C17ABB"/>
    <w:rsid w:val="00C200AA"/>
    <w:rsid w:val="00C200CA"/>
    <w:rsid w:val="00C206BD"/>
    <w:rsid w:val="00C209EA"/>
    <w:rsid w:val="00C20C09"/>
    <w:rsid w:val="00C21551"/>
    <w:rsid w:val="00C2360C"/>
    <w:rsid w:val="00C23F69"/>
    <w:rsid w:val="00C24095"/>
    <w:rsid w:val="00C24A23"/>
    <w:rsid w:val="00C24C03"/>
    <w:rsid w:val="00C2569A"/>
    <w:rsid w:val="00C25D09"/>
    <w:rsid w:val="00C30902"/>
    <w:rsid w:val="00C31116"/>
    <w:rsid w:val="00C34305"/>
    <w:rsid w:val="00C35649"/>
    <w:rsid w:val="00C35A16"/>
    <w:rsid w:val="00C35D86"/>
    <w:rsid w:val="00C402DE"/>
    <w:rsid w:val="00C40451"/>
    <w:rsid w:val="00C4088D"/>
    <w:rsid w:val="00C40936"/>
    <w:rsid w:val="00C41375"/>
    <w:rsid w:val="00C41A2B"/>
    <w:rsid w:val="00C41B5D"/>
    <w:rsid w:val="00C41B73"/>
    <w:rsid w:val="00C423D7"/>
    <w:rsid w:val="00C424D3"/>
    <w:rsid w:val="00C424DE"/>
    <w:rsid w:val="00C4362E"/>
    <w:rsid w:val="00C44248"/>
    <w:rsid w:val="00C44ACB"/>
    <w:rsid w:val="00C44D23"/>
    <w:rsid w:val="00C44EAB"/>
    <w:rsid w:val="00C459CE"/>
    <w:rsid w:val="00C46DE0"/>
    <w:rsid w:val="00C46E79"/>
    <w:rsid w:val="00C47091"/>
    <w:rsid w:val="00C51706"/>
    <w:rsid w:val="00C51C28"/>
    <w:rsid w:val="00C53C75"/>
    <w:rsid w:val="00C5454F"/>
    <w:rsid w:val="00C55C3C"/>
    <w:rsid w:val="00C55CB5"/>
    <w:rsid w:val="00C56D48"/>
    <w:rsid w:val="00C60339"/>
    <w:rsid w:val="00C60938"/>
    <w:rsid w:val="00C6094B"/>
    <w:rsid w:val="00C609CE"/>
    <w:rsid w:val="00C61D05"/>
    <w:rsid w:val="00C61F48"/>
    <w:rsid w:val="00C62CD8"/>
    <w:rsid w:val="00C64AD4"/>
    <w:rsid w:val="00C656DC"/>
    <w:rsid w:val="00C667C2"/>
    <w:rsid w:val="00C66DAC"/>
    <w:rsid w:val="00C70734"/>
    <w:rsid w:val="00C70FFC"/>
    <w:rsid w:val="00C71BD8"/>
    <w:rsid w:val="00C7217B"/>
    <w:rsid w:val="00C748F8"/>
    <w:rsid w:val="00C748FD"/>
    <w:rsid w:val="00C80349"/>
    <w:rsid w:val="00C8049A"/>
    <w:rsid w:val="00C814C7"/>
    <w:rsid w:val="00C81E5A"/>
    <w:rsid w:val="00C82054"/>
    <w:rsid w:val="00C83394"/>
    <w:rsid w:val="00C8455F"/>
    <w:rsid w:val="00C8507B"/>
    <w:rsid w:val="00C861D7"/>
    <w:rsid w:val="00C86259"/>
    <w:rsid w:val="00C866A8"/>
    <w:rsid w:val="00C86785"/>
    <w:rsid w:val="00C879D6"/>
    <w:rsid w:val="00C87B02"/>
    <w:rsid w:val="00C91B28"/>
    <w:rsid w:val="00C925D1"/>
    <w:rsid w:val="00C92606"/>
    <w:rsid w:val="00C92B75"/>
    <w:rsid w:val="00C9339A"/>
    <w:rsid w:val="00C93955"/>
    <w:rsid w:val="00C9450C"/>
    <w:rsid w:val="00C949CA"/>
    <w:rsid w:val="00C9538D"/>
    <w:rsid w:val="00C954C7"/>
    <w:rsid w:val="00C95757"/>
    <w:rsid w:val="00C95BD6"/>
    <w:rsid w:val="00C96290"/>
    <w:rsid w:val="00C96292"/>
    <w:rsid w:val="00C96BB8"/>
    <w:rsid w:val="00CA1B9E"/>
    <w:rsid w:val="00CA1DF3"/>
    <w:rsid w:val="00CA2B15"/>
    <w:rsid w:val="00CA2C33"/>
    <w:rsid w:val="00CA3624"/>
    <w:rsid w:val="00CA3EDC"/>
    <w:rsid w:val="00CA487E"/>
    <w:rsid w:val="00CA601A"/>
    <w:rsid w:val="00CA67BF"/>
    <w:rsid w:val="00CA6E26"/>
    <w:rsid w:val="00CB0A29"/>
    <w:rsid w:val="00CB0CEE"/>
    <w:rsid w:val="00CB3CE5"/>
    <w:rsid w:val="00CB3FEA"/>
    <w:rsid w:val="00CB46A6"/>
    <w:rsid w:val="00CB47CC"/>
    <w:rsid w:val="00CB5EA1"/>
    <w:rsid w:val="00CB6869"/>
    <w:rsid w:val="00CB70F2"/>
    <w:rsid w:val="00CB7354"/>
    <w:rsid w:val="00CC0922"/>
    <w:rsid w:val="00CC0E59"/>
    <w:rsid w:val="00CC17B5"/>
    <w:rsid w:val="00CC1901"/>
    <w:rsid w:val="00CC2450"/>
    <w:rsid w:val="00CC55CC"/>
    <w:rsid w:val="00CC5754"/>
    <w:rsid w:val="00CC5B7D"/>
    <w:rsid w:val="00CC6A38"/>
    <w:rsid w:val="00CC7814"/>
    <w:rsid w:val="00CD0380"/>
    <w:rsid w:val="00CD063B"/>
    <w:rsid w:val="00CD0F10"/>
    <w:rsid w:val="00CD15A0"/>
    <w:rsid w:val="00CD1675"/>
    <w:rsid w:val="00CD2285"/>
    <w:rsid w:val="00CD256C"/>
    <w:rsid w:val="00CD3C33"/>
    <w:rsid w:val="00CD3E89"/>
    <w:rsid w:val="00CD44D9"/>
    <w:rsid w:val="00CD556D"/>
    <w:rsid w:val="00CD5E39"/>
    <w:rsid w:val="00CD7B80"/>
    <w:rsid w:val="00CD7D63"/>
    <w:rsid w:val="00CE04FD"/>
    <w:rsid w:val="00CE1073"/>
    <w:rsid w:val="00CE13E8"/>
    <w:rsid w:val="00CE1B3B"/>
    <w:rsid w:val="00CE246A"/>
    <w:rsid w:val="00CE2617"/>
    <w:rsid w:val="00CE2C57"/>
    <w:rsid w:val="00CE3D39"/>
    <w:rsid w:val="00CE45A5"/>
    <w:rsid w:val="00CE49EA"/>
    <w:rsid w:val="00CE5997"/>
    <w:rsid w:val="00CE673C"/>
    <w:rsid w:val="00CE6752"/>
    <w:rsid w:val="00CE68F0"/>
    <w:rsid w:val="00CE70C8"/>
    <w:rsid w:val="00CE7243"/>
    <w:rsid w:val="00CE7FE8"/>
    <w:rsid w:val="00CF132A"/>
    <w:rsid w:val="00CF1547"/>
    <w:rsid w:val="00CF1599"/>
    <w:rsid w:val="00CF168B"/>
    <w:rsid w:val="00CF1EA8"/>
    <w:rsid w:val="00CF29CF"/>
    <w:rsid w:val="00CF3602"/>
    <w:rsid w:val="00CF37F3"/>
    <w:rsid w:val="00CF562A"/>
    <w:rsid w:val="00CF5D17"/>
    <w:rsid w:val="00D0188B"/>
    <w:rsid w:val="00D02BCE"/>
    <w:rsid w:val="00D02C19"/>
    <w:rsid w:val="00D039CD"/>
    <w:rsid w:val="00D03F91"/>
    <w:rsid w:val="00D05AF3"/>
    <w:rsid w:val="00D0618A"/>
    <w:rsid w:val="00D06350"/>
    <w:rsid w:val="00D0682E"/>
    <w:rsid w:val="00D07798"/>
    <w:rsid w:val="00D102D6"/>
    <w:rsid w:val="00D12C0B"/>
    <w:rsid w:val="00D13501"/>
    <w:rsid w:val="00D13BBD"/>
    <w:rsid w:val="00D13FA4"/>
    <w:rsid w:val="00D14615"/>
    <w:rsid w:val="00D1492D"/>
    <w:rsid w:val="00D161CE"/>
    <w:rsid w:val="00D167B2"/>
    <w:rsid w:val="00D16801"/>
    <w:rsid w:val="00D17753"/>
    <w:rsid w:val="00D17D50"/>
    <w:rsid w:val="00D20539"/>
    <w:rsid w:val="00D20F23"/>
    <w:rsid w:val="00D21447"/>
    <w:rsid w:val="00D21B83"/>
    <w:rsid w:val="00D22583"/>
    <w:rsid w:val="00D2361C"/>
    <w:rsid w:val="00D256BD"/>
    <w:rsid w:val="00D25FCA"/>
    <w:rsid w:val="00D261B1"/>
    <w:rsid w:val="00D26D23"/>
    <w:rsid w:val="00D27180"/>
    <w:rsid w:val="00D31267"/>
    <w:rsid w:val="00D31975"/>
    <w:rsid w:val="00D31BCF"/>
    <w:rsid w:val="00D31E7C"/>
    <w:rsid w:val="00D324E9"/>
    <w:rsid w:val="00D34B67"/>
    <w:rsid w:val="00D4012C"/>
    <w:rsid w:val="00D40203"/>
    <w:rsid w:val="00D40D7C"/>
    <w:rsid w:val="00D41833"/>
    <w:rsid w:val="00D42C77"/>
    <w:rsid w:val="00D437F1"/>
    <w:rsid w:val="00D439AE"/>
    <w:rsid w:val="00D43BB8"/>
    <w:rsid w:val="00D44B92"/>
    <w:rsid w:val="00D468DD"/>
    <w:rsid w:val="00D47493"/>
    <w:rsid w:val="00D479D1"/>
    <w:rsid w:val="00D479F0"/>
    <w:rsid w:val="00D50BB5"/>
    <w:rsid w:val="00D50C65"/>
    <w:rsid w:val="00D50DED"/>
    <w:rsid w:val="00D52743"/>
    <w:rsid w:val="00D535A8"/>
    <w:rsid w:val="00D53ADD"/>
    <w:rsid w:val="00D53C30"/>
    <w:rsid w:val="00D547DA"/>
    <w:rsid w:val="00D54F2D"/>
    <w:rsid w:val="00D551BC"/>
    <w:rsid w:val="00D5766C"/>
    <w:rsid w:val="00D576E9"/>
    <w:rsid w:val="00D577AD"/>
    <w:rsid w:val="00D5795A"/>
    <w:rsid w:val="00D60379"/>
    <w:rsid w:val="00D60812"/>
    <w:rsid w:val="00D610E6"/>
    <w:rsid w:val="00D6187C"/>
    <w:rsid w:val="00D61CD7"/>
    <w:rsid w:val="00D62110"/>
    <w:rsid w:val="00D630EF"/>
    <w:rsid w:val="00D643F6"/>
    <w:rsid w:val="00D66C33"/>
    <w:rsid w:val="00D66F0E"/>
    <w:rsid w:val="00D67D96"/>
    <w:rsid w:val="00D7119E"/>
    <w:rsid w:val="00D72256"/>
    <w:rsid w:val="00D73C27"/>
    <w:rsid w:val="00D75BB1"/>
    <w:rsid w:val="00D76560"/>
    <w:rsid w:val="00D76FC9"/>
    <w:rsid w:val="00D773BD"/>
    <w:rsid w:val="00D774E2"/>
    <w:rsid w:val="00D779FC"/>
    <w:rsid w:val="00D80247"/>
    <w:rsid w:val="00D81C64"/>
    <w:rsid w:val="00D81EBF"/>
    <w:rsid w:val="00D82D93"/>
    <w:rsid w:val="00D8514E"/>
    <w:rsid w:val="00D85A42"/>
    <w:rsid w:val="00D85F3D"/>
    <w:rsid w:val="00D8652F"/>
    <w:rsid w:val="00D8680A"/>
    <w:rsid w:val="00D86FDF"/>
    <w:rsid w:val="00D918B7"/>
    <w:rsid w:val="00D93958"/>
    <w:rsid w:val="00D94957"/>
    <w:rsid w:val="00D958BA"/>
    <w:rsid w:val="00D9596D"/>
    <w:rsid w:val="00D95C18"/>
    <w:rsid w:val="00D9706F"/>
    <w:rsid w:val="00D97177"/>
    <w:rsid w:val="00D971B8"/>
    <w:rsid w:val="00D97ECD"/>
    <w:rsid w:val="00DA06EB"/>
    <w:rsid w:val="00DA391F"/>
    <w:rsid w:val="00DA59DE"/>
    <w:rsid w:val="00DA6A61"/>
    <w:rsid w:val="00DA78BF"/>
    <w:rsid w:val="00DB23FD"/>
    <w:rsid w:val="00DB3669"/>
    <w:rsid w:val="00DB4519"/>
    <w:rsid w:val="00DB6DCE"/>
    <w:rsid w:val="00DC135E"/>
    <w:rsid w:val="00DC25AE"/>
    <w:rsid w:val="00DC26A2"/>
    <w:rsid w:val="00DC307F"/>
    <w:rsid w:val="00DC393B"/>
    <w:rsid w:val="00DC3DA7"/>
    <w:rsid w:val="00DC4BD3"/>
    <w:rsid w:val="00DC6411"/>
    <w:rsid w:val="00DC69A6"/>
    <w:rsid w:val="00DC7211"/>
    <w:rsid w:val="00DC72E0"/>
    <w:rsid w:val="00DC7ECE"/>
    <w:rsid w:val="00DD0277"/>
    <w:rsid w:val="00DD1D74"/>
    <w:rsid w:val="00DD2444"/>
    <w:rsid w:val="00DD3051"/>
    <w:rsid w:val="00DD3216"/>
    <w:rsid w:val="00DD322B"/>
    <w:rsid w:val="00DD3FD8"/>
    <w:rsid w:val="00DD5278"/>
    <w:rsid w:val="00DD5B09"/>
    <w:rsid w:val="00DD61AB"/>
    <w:rsid w:val="00DD6B4A"/>
    <w:rsid w:val="00DD7BC2"/>
    <w:rsid w:val="00DE0530"/>
    <w:rsid w:val="00DE128E"/>
    <w:rsid w:val="00DE236C"/>
    <w:rsid w:val="00DE29AA"/>
    <w:rsid w:val="00DE2E3E"/>
    <w:rsid w:val="00DE3C1D"/>
    <w:rsid w:val="00DE541B"/>
    <w:rsid w:val="00DE5439"/>
    <w:rsid w:val="00DE5EA2"/>
    <w:rsid w:val="00DE65B2"/>
    <w:rsid w:val="00DE6948"/>
    <w:rsid w:val="00DE6BAA"/>
    <w:rsid w:val="00DE7351"/>
    <w:rsid w:val="00DF00BD"/>
    <w:rsid w:val="00DF01C2"/>
    <w:rsid w:val="00DF0C4E"/>
    <w:rsid w:val="00DF1D05"/>
    <w:rsid w:val="00DF2151"/>
    <w:rsid w:val="00DF22D3"/>
    <w:rsid w:val="00DF2B56"/>
    <w:rsid w:val="00DF300B"/>
    <w:rsid w:val="00DF3023"/>
    <w:rsid w:val="00DF5EA3"/>
    <w:rsid w:val="00DF6078"/>
    <w:rsid w:val="00DF6300"/>
    <w:rsid w:val="00DF6F33"/>
    <w:rsid w:val="00E003CF"/>
    <w:rsid w:val="00E00B0B"/>
    <w:rsid w:val="00E040DC"/>
    <w:rsid w:val="00E041D9"/>
    <w:rsid w:val="00E04FAF"/>
    <w:rsid w:val="00E050CD"/>
    <w:rsid w:val="00E062DE"/>
    <w:rsid w:val="00E128DD"/>
    <w:rsid w:val="00E13F1A"/>
    <w:rsid w:val="00E178CF"/>
    <w:rsid w:val="00E207EB"/>
    <w:rsid w:val="00E214A2"/>
    <w:rsid w:val="00E214C6"/>
    <w:rsid w:val="00E21D9C"/>
    <w:rsid w:val="00E22DAA"/>
    <w:rsid w:val="00E2435E"/>
    <w:rsid w:val="00E24955"/>
    <w:rsid w:val="00E25659"/>
    <w:rsid w:val="00E26546"/>
    <w:rsid w:val="00E269D2"/>
    <w:rsid w:val="00E27B8C"/>
    <w:rsid w:val="00E304BD"/>
    <w:rsid w:val="00E30B81"/>
    <w:rsid w:val="00E314F8"/>
    <w:rsid w:val="00E316DA"/>
    <w:rsid w:val="00E3212C"/>
    <w:rsid w:val="00E34A2F"/>
    <w:rsid w:val="00E34CA2"/>
    <w:rsid w:val="00E35739"/>
    <w:rsid w:val="00E35872"/>
    <w:rsid w:val="00E40143"/>
    <w:rsid w:val="00E40910"/>
    <w:rsid w:val="00E41D96"/>
    <w:rsid w:val="00E4250F"/>
    <w:rsid w:val="00E4284B"/>
    <w:rsid w:val="00E439F2"/>
    <w:rsid w:val="00E43C09"/>
    <w:rsid w:val="00E449B9"/>
    <w:rsid w:val="00E456A0"/>
    <w:rsid w:val="00E45A1C"/>
    <w:rsid w:val="00E4771A"/>
    <w:rsid w:val="00E50020"/>
    <w:rsid w:val="00E51113"/>
    <w:rsid w:val="00E51357"/>
    <w:rsid w:val="00E51427"/>
    <w:rsid w:val="00E51827"/>
    <w:rsid w:val="00E52223"/>
    <w:rsid w:val="00E53D3B"/>
    <w:rsid w:val="00E54628"/>
    <w:rsid w:val="00E555B7"/>
    <w:rsid w:val="00E555E2"/>
    <w:rsid w:val="00E5560C"/>
    <w:rsid w:val="00E56368"/>
    <w:rsid w:val="00E60068"/>
    <w:rsid w:val="00E6011C"/>
    <w:rsid w:val="00E61834"/>
    <w:rsid w:val="00E61AD0"/>
    <w:rsid w:val="00E634D7"/>
    <w:rsid w:val="00E647E3"/>
    <w:rsid w:val="00E647F8"/>
    <w:rsid w:val="00E6549E"/>
    <w:rsid w:val="00E65628"/>
    <w:rsid w:val="00E658AF"/>
    <w:rsid w:val="00E66230"/>
    <w:rsid w:val="00E66711"/>
    <w:rsid w:val="00E67187"/>
    <w:rsid w:val="00E70A91"/>
    <w:rsid w:val="00E72607"/>
    <w:rsid w:val="00E73C29"/>
    <w:rsid w:val="00E745DD"/>
    <w:rsid w:val="00E74D87"/>
    <w:rsid w:val="00E76F7E"/>
    <w:rsid w:val="00E81687"/>
    <w:rsid w:val="00E81DAA"/>
    <w:rsid w:val="00E82655"/>
    <w:rsid w:val="00E8349A"/>
    <w:rsid w:val="00E834D5"/>
    <w:rsid w:val="00E85942"/>
    <w:rsid w:val="00E85EF8"/>
    <w:rsid w:val="00E8721F"/>
    <w:rsid w:val="00E878A2"/>
    <w:rsid w:val="00E87B2C"/>
    <w:rsid w:val="00E902CC"/>
    <w:rsid w:val="00E90587"/>
    <w:rsid w:val="00E905A1"/>
    <w:rsid w:val="00E9073B"/>
    <w:rsid w:val="00E90D7F"/>
    <w:rsid w:val="00E919C9"/>
    <w:rsid w:val="00E92125"/>
    <w:rsid w:val="00E93284"/>
    <w:rsid w:val="00E94854"/>
    <w:rsid w:val="00E95F2A"/>
    <w:rsid w:val="00E96154"/>
    <w:rsid w:val="00E96794"/>
    <w:rsid w:val="00E97DE6"/>
    <w:rsid w:val="00EA291F"/>
    <w:rsid w:val="00EA2FCD"/>
    <w:rsid w:val="00EA414E"/>
    <w:rsid w:val="00EA46E1"/>
    <w:rsid w:val="00EA4A1D"/>
    <w:rsid w:val="00EA4EC6"/>
    <w:rsid w:val="00EA4F37"/>
    <w:rsid w:val="00EA56F1"/>
    <w:rsid w:val="00EA594D"/>
    <w:rsid w:val="00EA59B1"/>
    <w:rsid w:val="00EA5D55"/>
    <w:rsid w:val="00EA655C"/>
    <w:rsid w:val="00EA7386"/>
    <w:rsid w:val="00EA7896"/>
    <w:rsid w:val="00EA7D2D"/>
    <w:rsid w:val="00EB0B3E"/>
    <w:rsid w:val="00EB15DA"/>
    <w:rsid w:val="00EB27E9"/>
    <w:rsid w:val="00EB2DEE"/>
    <w:rsid w:val="00EB5922"/>
    <w:rsid w:val="00EB5C51"/>
    <w:rsid w:val="00EB65FD"/>
    <w:rsid w:val="00EB6796"/>
    <w:rsid w:val="00EB6E5F"/>
    <w:rsid w:val="00EC0CBF"/>
    <w:rsid w:val="00EC14DF"/>
    <w:rsid w:val="00EC21B0"/>
    <w:rsid w:val="00EC2923"/>
    <w:rsid w:val="00EC29F7"/>
    <w:rsid w:val="00EC4744"/>
    <w:rsid w:val="00EC66ED"/>
    <w:rsid w:val="00EC6A17"/>
    <w:rsid w:val="00EC6B62"/>
    <w:rsid w:val="00EC6E73"/>
    <w:rsid w:val="00EC74E4"/>
    <w:rsid w:val="00ED05D8"/>
    <w:rsid w:val="00ED0926"/>
    <w:rsid w:val="00ED10DD"/>
    <w:rsid w:val="00ED15FC"/>
    <w:rsid w:val="00ED25C3"/>
    <w:rsid w:val="00ED3931"/>
    <w:rsid w:val="00ED4265"/>
    <w:rsid w:val="00ED48FF"/>
    <w:rsid w:val="00ED4F1D"/>
    <w:rsid w:val="00ED50BF"/>
    <w:rsid w:val="00ED65E0"/>
    <w:rsid w:val="00ED6B8E"/>
    <w:rsid w:val="00ED6D95"/>
    <w:rsid w:val="00ED6F02"/>
    <w:rsid w:val="00ED72C1"/>
    <w:rsid w:val="00EE1C1D"/>
    <w:rsid w:val="00EE3DC2"/>
    <w:rsid w:val="00EE3E01"/>
    <w:rsid w:val="00EE4DCA"/>
    <w:rsid w:val="00EE5189"/>
    <w:rsid w:val="00EE545E"/>
    <w:rsid w:val="00EE59E7"/>
    <w:rsid w:val="00EE5CB3"/>
    <w:rsid w:val="00EE6D33"/>
    <w:rsid w:val="00EE7350"/>
    <w:rsid w:val="00EE766B"/>
    <w:rsid w:val="00EE77CD"/>
    <w:rsid w:val="00EE7C36"/>
    <w:rsid w:val="00EF02C4"/>
    <w:rsid w:val="00EF193B"/>
    <w:rsid w:val="00EF1ECE"/>
    <w:rsid w:val="00EF201E"/>
    <w:rsid w:val="00EF610A"/>
    <w:rsid w:val="00EF68EE"/>
    <w:rsid w:val="00EF77AD"/>
    <w:rsid w:val="00F01400"/>
    <w:rsid w:val="00F0192F"/>
    <w:rsid w:val="00F027B2"/>
    <w:rsid w:val="00F04080"/>
    <w:rsid w:val="00F05AA4"/>
    <w:rsid w:val="00F05DE3"/>
    <w:rsid w:val="00F06512"/>
    <w:rsid w:val="00F07935"/>
    <w:rsid w:val="00F10108"/>
    <w:rsid w:val="00F14B47"/>
    <w:rsid w:val="00F154E9"/>
    <w:rsid w:val="00F165C5"/>
    <w:rsid w:val="00F175F1"/>
    <w:rsid w:val="00F17D24"/>
    <w:rsid w:val="00F21327"/>
    <w:rsid w:val="00F23814"/>
    <w:rsid w:val="00F23AC8"/>
    <w:rsid w:val="00F2598E"/>
    <w:rsid w:val="00F26372"/>
    <w:rsid w:val="00F26462"/>
    <w:rsid w:val="00F26E93"/>
    <w:rsid w:val="00F27298"/>
    <w:rsid w:val="00F27530"/>
    <w:rsid w:val="00F3061D"/>
    <w:rsid w:val="00F32065"/>
    <w:rsid w:val="00F35186"/>
    <w:rsid w:val="00F36F25"/>
    <w:rsid w:val="00F37217"/>
    <w:rsid w:val="00F3742E"/>
    <w:rsid w:val="00F40CD7"/>
    <w:rsid w:val="00F40D52"/>
    <w:rsid w:val="00F40D6D"/>
    <w:rsid w:val="00F41BB6"/>
    <w:rsid w:val="00F420A4"/>
    <w:rsid w:val="00F42173"/>
    <w:rsid w:val="00F43948"/>
    <w:rsid w:val="00F43B2E"/>
    <w:rsid w:val="00F44458"/>
    <w:rsid w:val="00F44BDA"/>
    <w:rsid w:val="00F45F98"/>
    <w:rsid w:val="00F46B51"/>
    <w:rsid w:val="00F46E5F"/>
    <w:rsid w:val="00F47E44"/>
    <w:rsid w:val="00F506C7"/>
    <w:rsid w:val="00F50BB2"/>
    <w:rsid w:val="00F50ECD"/>
    <w:rsid w:val="00F51399"/>
    <w:rsid w:val="00F52E21"/>
    <w:rsid w:val="00F537A6"/>
    <w:rsid w:val="00F544E4"/>
    <w:rsid w:val="00F548BB"/>
    <w:rsid w:val="00F54FCD"/>
    <w:rsid w:val="00F559EF"/>
    <w:rsid w:val="00F561B7"/>
    <w:rsid w:val="00F565E1"/>
    <w:rsid w:val="00F56AE7"/>
    <w:rsid w:val="00F577FF"/>
    <w:rsid w:val="00F60A3C"/>
    <w:rsid w:val="00F60C61"/>
    <w:rsid w:val="00F6237C"/>
    <w:rsid w:val="00F62D4C"/>
    <w:rsid w:val="00F62E24"/>
    <w:rsid w:val="00F652DB"/>
    <w:rsid w:val="00F65A0C"/>
    <w:rsid w:val="00F6622B"/>
    <w:rsid w:val="00F66E4D"/>
    <w:rsid w:val="00F7114A"/>
    <w:rsid w:val="00F7116F"/>
    <w:rsid w:val="00F7120A"/>
    <w:rsid w:val="00F71ABF"/>
    <w:rsid w:val="00F71B38"/>
    <w:rsid w:val="00F722B4"/>
    <w:rsid w:val="00F72364"/>
    <w:rsid w:val="00F734AA"/>
    <w:rsid w:val="00F7391E"/>
    <w:rsid w:val="00F73C63"/>
    <w:rsid w:val="00F749CF"/>
    <w:rsid w:val="00F75541"/>
    <w:rsid w:val="00F75E56"/>
    <w:rsid w:val="00F772CE"/>
    <w:rsid w:val="00F772D4"/>
    <w:rsid w:val="00F80D22"/>
    <w:rsid w:val="00F81771"/>
    <w:rsid w:val="00F81E67"/>
    <w:rsid w:val="00F82959"/>
    <w:rsid w:val="00F8331E"/>
    <w:rsid w:val="00F839CD"/>
    <w:rsid w:val="00F83CCF"/>
    <w:rsid w:val="00F83D62"/>
    <w:rsid w:val="00F8449A"/>
    <w:rsid w:val="00F84581"/>
    <w:rsid w:val="00F85552"/>
    <w:rsid w:val="00F856F0"/>
    <w:rsid w:val="00F86BE9"/>
    <w:rsid w:val="00F8728D"/>
    <w:rsid w:val="00F87CF3"/>
    <w:rsid w:val="00F917BF"/>
    <w:rsid w:val="00F91B79"/>
    <w:rsid w:val="00F92FF8"/>
    <w:rsid w:val="00F93242"/>
    <w:rsid w:val="00F93D21"/>
    <w:rsid w:val="00F95783"/>
    <w:rsid w:val="00F96DFD"/>
    <w:rsid w:val="00F97AC4"/>
    <w:rsid w:val="00F97EC8"/>
    <w:rsid w:val="00FA32B7"/>
    <w:rsid w:val="00FA40A1"/>
    <w:rsid w:val="00FA5348"/>
    <w:rsid w:val="00FA7038"/>
    <w:rsid w:val="00FA7BC4"/>
    <w:rsid w:val="00FB0D2E"/>
    <w:rsid w:val="00FB1206"/>
    <w:rsid w:val="00FB150C"/>
    <w:rsid w:val="00FB1AF0"/>
    <w:rsid w:val="00FB2168"/>
    <w:rsid w:val="00FB2399"/>
    <w:rsid w:val="00FB281B"/>
    <w:rsid w:val="00FB3B79"/>
    <w:rsid w:val="00FB58A2"/>
    <w:rsid w:val="00FB685E"/>
    <w:rsid w:val="00FB6AD2"/>
    <w:rsid w:val="00FB75E4"/>
    <w:rsid w:val="00FB7616"/>
    <w:rsid w:val="00FB79C0"/>
    <w:rsid w:val="00FC1388"/>
    <w:rsid w:val="00FC28CD"/>
    <w:rsid w:val="00FC2E48"/>
    <w:rsid w:val="00FC30BF"/>
    <w:rsid w:val="00FC3144"/>
    <w:rsid w:val="00FC3EE0"/>
    <w:rsid w:val="00FC4003"/>
    <w:rsid w:val="00FC4006"/>
    <w:rsid w:val="00FC4F13"/>
    <w:rsid w:val="00FC57BC"/>
    <w:rsid w:val="00FC5A03"/>
    <w:rsid w:val="00FC6B73"/>
    <w:rsid w:val="00FD0DF1"/>
    <w:rsid w:val="00FD346C"/>
    <w:rsid w:val="00FD3B47"/>
    <w:rsid w:val="00FD3FF5"/>
    <w:rsid w:val="00FD50AD"/>
    <w:rsid w:val="00FD57B4"/>
    <w:rsid w:val="00FD5A2F"/>
    <w:rsid w:val="00FD65F5"/>
    <w:rsid w:val="00FE0482"/>
    <w:rsid w:val="00FE0E4B"/>
    <w:rsid w:val="00FE1325"/>
    <w:rsid w:val="00FE1986"/>
    <w:rsid w:val="00FE20A0"/>
    <w:rsid w:val="00FE25A3"/>
    <w:rsid w:val="00FE278F"/>
    <w:rsid w:val="00FE2879"/>
    <w:rsid w:val="00FE2A9A"/>
    <w:rsid w:val="00FE378D"/>
    <w:rsid w:val="00FE37FA"/>
    <w:rsid w:val="00FE68EE"/>
    <w:rsid w:val="00FF079F"/>
    <w:rsid w:val="00FF1039"/>
    <w:rsid w:val="00FF17BE"/>
    <w:rsid w:val="00FF1B7C"/>
    <w:rsid w:val="00FF1DF3"/>
    <w:rsid w:val="00FF2437"/>
    <w:rsid w:val="00FF2BC6"/>
    <w:rsid w:val="00FF37BE"/>
    <w:rsid w:val="00FF466B"/>
    <w:rsid w:val="00FF5D96"/>
    <w:rsid w:val="00FF66AB"/>
    <w:rsid w:val="00FF6E73"/>
    <w:rsid w:val="00FF79B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99950-5A6B-4FC5-8D51-440D928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9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569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569A"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569A"/>
    <w:pPr>
      <w:keepNext/>
      <w:ind w:firstLine="136"/>
      <w:outlineLvl w:val="2"/>
    </w:pPr>
    <w:rPr>
      <w:rFonts w:ascii="Arial" w:hAnsi="Arial" w:cs="Arial"/>
      <w:i/>
      <w:iCs/>
      <w:sz w:val="16"/>
      <w:szCs w:val="14"/>
    </w:rPr>
  </w:style>
  <w:style w:type="paragraph" w:styleId="Ttulo4">
    <w:name w:val="heading 4"/>
    <w:basedOn w:val="Normal"/>
    <w:next w:val="Normal"/>
    <w:link w:val="Ttulo4Char"/>
    <w:uiPriority w:val="99"/>
    <w:qFormat/>
    <w:rsid w:val="00C2569A"/>
    <w:pPr>
      <w:keepNext/>
      <w:ind w:firstLine="136"/>
      <w:jc w:val="center"/>
      <w:outlineLvl w:val="3"/>
    </w:pPr>
    <w:rPr>
      <w:rFonts w:ascii="Arial" w:hAnsi="Arial" w:cs="Arial"/>
      <w:b/>
      <w:bCs/>
      <w:i/>
      <w:iCs/>
      <w:sz w:val="16"/>
      <w:szCs w:val="14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C2569A"/>
    <w:pPr>
      <w:keepNext/>
      <w:autoSpaceDE w:val="0"/>
      <w:autoSpaceDN w:val="0"/>
      <w:adjustRightInd w:val="0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C2569A"/>
    <w:pPr>
      <w:keepNext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214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214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214F0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214F0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214F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1214F0"/>
    <w:rPr>
      <w:rFonts w:ascii="Calibri" w:hAnsi="Calibri" w:cs="Times New Roman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rsid w:val="00C2569A"/>
    <w:pPr>
      <w:ind w:left="3060"/>
    </w:pPr>
    <w:rPr>
      <w:b/>
      <w:bCs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214F0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2569A"/>
    <w:pPr>
      <w:widowControl w:val="0"/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214F0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2569A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563922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C2569A"/>
    <w:pPr>
      <w:spacing w:after="120"/>
      <w:ind w:firstLine="709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32895"/>
    <w:rPr>
      <w:rFonts w:cs="Times New Roman"/>
      <w:sz w:val="24"/>
    </w:rPr>
  </w:style>
  <w:style w:type="paragraph" w:customStyle="1" w:styleId="xl29">
    <w:name w:val="xl29"/>
    <w:basedOn w:val="Normal"/>
    <w:uiPriority w:val="99"/>
    <w:rsid w:val="00C25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0">
    <w:name w:val="xl30"/>
    <w:basedOn w:val="Normal"/>
    <w:uiPriority w:val="99"/>
    <w:rsid w:val="00C256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Normal"/>
    <w:uiPriority w:val="99"/>
    <w:rsid w:val="00C256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2">
    <w:name w:val="xl32"/>
    <w:basedOn w:val="Normal"/>
    <w:uiPriority w:val="99"/>
    <w:rsid w:val="00C25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3">
    <w:name w:val="xl33"/>
    <w:basedOn w:val="Normal"/>
    <w:uiPriority w:val="99"/>
    <w:rsid w:val="00C256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4">
    <w:name w:val="xl34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5">
    <w:name w:val="xl35"/>
    <w:basedOn w:val="Normal"/>
    <w:uiPriority w:val="99"/>
    <w:rsid w:val="00C256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6">
    <w:name w:val="xl36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7">
    <w:name w:val="xl37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8">
    <w:name w:val="xl38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9">
    <w:name w:val="xl39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0">
    <w:name w:val="xl40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1">
    <w:name w:val="xl41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2">
    <w:name w:val="xl42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3">
    <w:name w:val="xl43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4">
    <w:name w:val="xl44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27">
    <w:name w:val="xl27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28">
    <w:name w:val="xl28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styleId="Rodap">
    <w:name w:val="footer"/>
    <w:basedOn w:val="Normal"/>
    <w:link w:val="RodapChar"/>
    <w:uiPriority w:val="99"/>
    <w:rsid w:val="00C256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214F0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C2569A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C2569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214F0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C2569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1214F0"/>
    <w:rPr>
      <w:rFonts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C25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color w:val="000000"/>
      <w:sz w:val="14"/>
      <w:szCs w:val="14"/>
    </w:rPr>
  </w:style>
  <w:style w:type="paragraph" w:customStyle="1" w:styleId="xl25">
    <w:name w:val="xl25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000000"/>
      <w:sz w:val="18"/>
      <w:szCs w:val="18"/>
    </w:rPr>
  </w:style>
  <w:style w:type="paragraph" w:customStyle="1" w:styleId="xl26">
    <w:name w:val="xl26"/>
    <w:basedOn w:val="Normal"/>
    <w:uiPriority w:val="99"/>
    <w:rsid w:val="00C25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000000"/>
      <w:sz w:val="18"/>
      <w:szCs w:val="18"/>
    </w:rPr>
  </w:style>
  <w:style w:type="paragraph" w:customStyle="1" w:styleId="xl45">
    <w:name w:val="xl45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6">
    <w:name w:val="xl46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9">
    <w:name w:val="xl49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4">
    <w:name w:val="xl54"/>
    <w:basedOn w:val="Normal"/>
    <w:uiPriority w:val="99"/>
    <w:rsid w:val="00C2569A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uiPriority w:val="99"/>
    <w:rsid w:val="00C2569A"/>
    <w:pPr>
      <w:spacing w:before="100" w:beforeAutospacing="1" w:after="100" w:afterAutospacing="1"/>
    </w:pPr>
    <w:rPr>
      <w:rFonts w:eastAsia="Arial Unicode MS"/>
    </w:rPr>
  </w:style>
  <w:style w:type="paragraph" w:styleId="Textodebalo">
    <w:name w:val="Balloon Text"/>
    <w:basedOn w:val="Normal"/>
    <w:link w:val="TextodebaloChar"/>
    <w:uiPriority w:val="99"/>
    <w:semiHidden/>
    <w:rsid w:val="00C25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214F0"/>
    <w:rPr>
      <w:rFonts w:cs="Times New Roman"/>
      <w:sz w:val="2"/>
    </w:rPr>
  </w:style>
  <w:style w:type="character" w:styleId="Hyperlink">
    <w:name w:val="Hyperlink"/>
    <w:basedOn w:val="Fontepargpadro"/>
    <w:uiPriority w:val="99"/>
    <w:rsid w:val="00C2569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C2569A"/>
    <w:rPr>
      <w:rFonts w:cs="Times New Roman"/>
      <w:color w:val="606420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B6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agrostat.agricultura.gov.b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944CD-1146-4593-8A0A-924DFE5E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5419</Words>
  <Characters>29266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Resultados do mês</vt:lpstr>
    </vt:vector>
  </TitlesOfParts>
  <Company>.</Company>
  <LinksUpToDate>false</LinksUpToDate>
  <CharactersWithSpaces>34616</CharactersWithSpaces>
  <SharedDoc>false</SharedDoc>
  <HLinks>
    <vt:vector size="6" baseType="variant"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http://www.agrostat.agricultura.gov.br/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do mês</dc:title>
  <dc:subject/>
  <dc:creator>.</dc:creator>
  <cp:keywords/>
  <cp:lastModifiedBy>Gastao Giometti</cp:lastModifiedBy>
  <cp:revision>9</cp:revision>
  <cp:lastPrinted>2015-01-09T11:18:00Z</cp:lastPrinted>
  <dcterms:created xsi:type="dcterms:W3CDTF">2018-06-08T12:57:00Z</dcterms:created>
  <dcterms:modified xsi:type="dcterms:W3CDTF">2018-06-11T19:59:00Z</dcterms:modified>
</cp:coreProperties>
</file>