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4D" w:rsidRDefault="006F1B4D">
      <w:pPr>
        <w:keepNext/>
        <w:widowControl w:val="0"/>
        <w:spacing w:after="0" w:line="276" w:lineRule="auto"/>
        <w:rPr>
          <w:rFonts w:ascii="Arial" w:eastAsia="Arial" w:hAnsi="Arial" w:cs="Arial"/>
          <w:color w:val="000000"/>
          <w:shd w:val="clear" w:color="auto" w:fill="FFFFFF"/>
        </w:rPr>
      </w:pPr>
      <w:bookmarkStart w:id="0" w:name="_GoBack"/>
      <w:bookmarkEnd w:id="0"/>
    </w:p>
    <w:tbl>
      <w:tblPr>
        <w:tblW w:w="9630" w:type="dxa"/>
        <w:tblInd w:w="-193" w:type="dxa"/>
        <w:tblLayout w:type="fixed"/>
        <w:tblCellMar>
          <w:left w:w="62" w:type="dxa"/>
        </w:tblCellMar>
        <w:tblLook w:val="0400" w:firstRow="0" w:lastRow="0" w:firstColumn="0" w:lastColumn="0" w:noHBand="0" w:noVBand="1"/>
      </w:tblPr>
      <w:tblGrid>
        <w:gridCol w:w="9630"/>
      </w:tblGrid>
      <w:tr w:rsidR="006F1B4D">
        <w:trPr>
          <w:trHeight w:val="351"/>
        </w:trPr>
        <w:tc>
          <w:tcPr>
            <w:tcW w:w="9630" w:type="dxa"/>
            <w:tcBorders>
              <w:top w:val="single" w:sz="12" w:space="0" w:color="00000A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D0CECE"/>
            <w:vAlign w:val="center"/>
          </w:tcPr>
          <w:p w:rsidR="006F1B4D" w:rsidRDefault="00BD54D9">
            <w:pPr>
              <w:keepNext/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t xml:space="preserve">INSTRUMENTO DE MEDIÇÃO DE RESULTADO – IMR - Mês: </w:t>
            </w:r>
          </w:p>
        </w:tc>
      </w:tr>
      <w:tr w:rsidR="006F1B4D">
        <w:trPr>
          <w:trHeight w:val="235"/>
        </w:trPr>
        <w:tc>
          <w:tcPr>
            <w:tcW w:w="9630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1B4D" w:rsidRDefault="00BD54D9">
            <w:pPr>
              <w:keepNext/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t>Empresa:</w:t>
            </w:r>
            <w:r>
              <w:rPr>
                <w:rFonts w:ascii="Arial" w:eastAsia="Arial" w:hAnsi="Arial" w:cs="Arial"/>
                <w:color w:val="000000"/>
                <w:shd w:val="clear" w:color="auto" w:fill="FFFFFF"/>
              </w:rPr>
              <w:t xml:space="preserve"> </w:t>
            </w:r>
          </w:p>
        </w:tc>
      </w:tr>
      <w:tr w:rsidR="006F1B4D">
        <w:trPr>
          <w:trHeight w:val="666"/>
        </w:trPr>
        <w:tc>
          <w:tcPr>
            <w:tcW w:w="9630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1B4D" w:rsidRDefault="00BD54D9">
            <w:pPr>
              <w:keepNext/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t>Objeto:</w:t>
            </w:r>
            <w:r>
              <w:rPr>
                <w:rFonts w:ascii="Arial" w:eastAsia="Arial" w:hAnsi="Arial" w:cs="Arial"/>
                <w:color w:val="000000"/>
                <w:shd w:val="clear" w:color="auto" w:fill="FFFFFF"/>
              </w:rPr>
              <w:t xml:space="preserve"> </w:t>
            </w:r>
          </w:p>
        </w:tc>
      </w:tr>
      <w:tr w:rsidR="006F1B4D">
        <w:trPr>
          <w:trHeight w:val="278"/>
        </w:trPr>
        <w:tc>
          <w:tcPr>
            <w:tcW w:w="96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1"/>
            </w:tcBorders>
            <w:shd w:val="clear" w:color="auto" w:fill="FFFFFF"/>
            <w:vAlign w:val="center"/>
          </w:tcPr>
          <w:p w:rsidR="006F1B4D" w:rsidRDefault="00BD54D9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Nº do Processo: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6F1B4D" w:rsidRDefault="00BD54D9">
      <w:pPr>
        <w:spacing w:after="0" w:line="240" w:lineRule="auto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9630" w:type="dxa"/>
        <w:tblInd w:w="-193" w:type="dxa"/>
        <w:tblLayout w:type="fixed"/>
        <w:tblCellMar>
          <w:left w:w="62" w:type="dxa"/>
        </w:tblCellMar>
        <w:tblLook w:val="0400" w:firstRow="0" w:lastRow="0" w:firstColumn="0" w:lastColumn="0" w:noHBand="0" w:noVBand="1"/>
      </w:tblPr>
      <w:tblGrid>
        <w:gridCol w:w="6465"/>
        <w:gridCol w:w="3165"/>
      </w:tblGrid>
      <w:tr w:rsidR="006F1B4D">
        <w:tc>
          <w:tcPr>
            <w:tcW w:w="962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INDICADORES E RESULTADOS</w:t>
            </w: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Indicador 1 – Pagamento dos salários, benefícios e recolhimento do FGTS dos colaboradores:</w:t>
            </w:r>
            <w:r>
              <w:rPr>
                <w:color w:val="000000"/>
              </w:rPr>
              <w:t xml:space="preserve"> Se não houver nenhuma ocorrência = 30 pontos. Se houver uma ou mais ocorrências serão descontados 30 pontos. 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Ocorrências do período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Pontuação a ser descontada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000000"/>
          </w:tcPr>
          <w:p w:rsidR="006F1B4D" w:rsidRDefault="006F1B4D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Indicador 2 – Uso de uniformes e EPIs:</w:t>
            </w:r>
            <w:r>
              <w:rPr>
                <w:color w:val="000000"/>
              </w:rPr>
              <w:t xml:space="preserve"> Se não houver nenhuma ocorrência = 10 pontos. Para cada ocorrência serão descontados 2 pontos (máximo de 10 pontos a serem descontados). 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Ocorrências do período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Pontuação a ser descontada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6F1B4D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000000"/>
          </w:tcPr>
          <w:p w:rsidR="006F1B4D" w:rsidRDefault="006F1B4D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 xml:space="preserve">Indicador 3 – Tempo de resposta às solicitações da </w:t>
            </w:r>
            <w:r>
              <w:rPr>
                <w:b/>
                <w:color w:val="000000"/>
              </w:rPr>
              <w:t>contratante, formalizadas através de mensagem eletrônica ou ofício encaminhados pelo gestor ou fiscal do contrato:</w:t>
            </w:r>
            <w:r>
              <w:rPr>
                <w:color w:val="000000"/>
              </w:rPr>
              <w:t xml:space="preserve"> Se não houver nenhuma ocorrência = 10 pontos. Para cada ocorrência (atendimento não realizado a contento ou realizado fora do prazo definido </w:t>
            </w:r>
            <w:r>
              <w:rPr>
                <w:color w:val="000000"/>
              </w:rPr>
              <w:t xml:space="preserve">pelo LFDA-SP) serão descontados 2 pontos (máximo de 10 pontos a serem descontados). 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Ocorrências do período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Pontuação a ser descontada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6F1B4D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000000"/>
          </w:tcPr>
          <w:p w:rsidR="006F1B4D" w:rsidRDefault="006F1B4D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 xml:space="preserve">Indicador 4 – </w:t>
            </w:r>
            <w:r>
              <w:rPr>
                <w:rFonts w:eastAsia="Calibri" w:cs="Calibri"/>
                <w:b/>
                <w:color w:val="000000"/>
                <w:u w:val="single"/>
              </w:rPr>
              <w:t>Qualidade dos serviços prestados:</w:t>
            </w:r>
            <w:r>
              <w:rPr>
                <w:rFonts w:eastAsia="Calibri" w:cs="Calibri"/>
                <w:b/>
                <w:color w:val="000000"/>
              </w:rPr>
              <w:t xml:space="preserve"> Serão consideradas reclamações recebidas ou constatações de má prestação dos serviços ou atendimentos inadequados às demandas da atividade. Para cada ocorrência serão descontados 5 pontos, sendo o máximo de 20 pontos descontados em cada mês de avaliação.</w:t>
            </w:r>
          </w:p>
          <w:p w:rsidR="006F1B4D" w:rsidRDefault="00BD54D9">
            <w:pPr>
              <w:spacing w:line="240" w:lineRule="exact"/>
              <w:ind w:left="60" w:right="60"/>
              <w:jc w:val="both"/>
              <w:rPr>
                <w:rFonts w:eastAsia="Calibri" w:cs="Calibri"/>
                <w:i/>
                <w:color w:val="000000"/>
              </w:rPr>
            </w:pPr>
            <w:r>
              <w:rPr>
                <w:rFonts w:eastAsia="Calibri" w:cs="Calibri"/>
                <w:i/>
                <w:color w:val="000000"/>
                <w:u w:val="single"/>
              </w:rPr>
              <w:t>Nota:</w:t>
            </w:r>
            <w:r>
              <w:rPr>
                <w:rFonts w:eastAsia="Calibri" w:cs="Calibri"/>
                <w:i/>
                <w:color w:val="000000"/>
              </w:rPr>
              <w:t xml:space="preserve"> No mês em que for realizada a Pesquisa Anual de Satisfação do Público Usuário o resultado será utilizado para avaliação deste quesito, sendo que a pontuação final será a média ponderada das pontuações dadas pelos usuários consultados multiplicada por 4. N</w:t>
            </w:r>
            <w:r>
              <w:rPr>
                <w:rFonts w:eastAsia="Calibri" w:cs="Calibri"/>
                <w:i/>
                <w:color w:val="000000"/>
              </w:rPr>
              <w:t>esta pesquisa, os usuários avaliarão os serviços prestados aplicando uma pontuação de 1 a 5 pontos, sendo 1 totalmente insatisfeito e 5 plenamente satisfeito com os serviços prestados. Pontuações abaixo de 3 deverão ser justificadas para que a contratada t</w:t>
            </w:r>
            <w:r>
              <w:rPr>
                <w:rFonts w:eastAsia="Calibri" w:cs="Calibri"/>
                <w:i/>
                <w:color w:val="000000"/>
              </w:rPr>
              <w:t>enha ciência dos motivos da insatisfação.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Ocorrências do período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Pontuação a ser descontada</w:t>
            </w:r>
          </w:p>
        </w:tc>
      </w:tr>
      <w:tr w:rsidR="006F1B4D">
        <w:tc>
          <w:tcPr>
            <w:tcW w:w="6464" w:type="dxa"/>
            <w:tcBorders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6F1B4D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65" w:type="dxa"/>
            <w:tcBorders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6F1B4D">
        <w:tc>
          <w:tcPr>
            <w:tcW w:w="6464" w:type="dxa"/>
            <w:tcBorders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eastAsia="Calibri" w:cs="Calibri"/>
                <w:b/>
                <w:color w:val="000000"/>
              </w:rPr>
              <w:t>Resultado da Pesquisa</w:t>
            </w:r>
            <w:r>
              <w:rPr>
                <w:rFonts w:eastAsia="Calibri" w:cs="Calibri"/>
                <w:color w:val="000000"/>
              </w:rPr>
              <w:t xml:space="preserve"> (Média Ponderada X 4)</w:t>
            </w:r>
          </w:p>
        </w:tc>
        <w:tc>
          <w:tcPr>
            <w:tcW w:w="3165" w:type="dxa"/>
            <w:tcBorders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000000"/>
          </w:tcPr>
          <w:p w:rsidR="006F1B4D" w:rsidRDefault="006F1B4D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Indicador 5 – Qualidade do atendimento do preposto:</w:t>
            </w:r>
            <w:r>
              <w:rPr>
                <w:color w:val="000000"/>
              </w:rPr>
              <w:t xml:space="preserve"> O Gestor do Contrato avaliará o desempenho do preposto da empresa, conforme os seguintes critérios: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Critérios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spacing w:after="0" w:line="240" w:lineRule="auto"/>
              <w:ind w:left="141"/>
              <w:jc w:val="center"/>
            </w:pPr>
            <w:r>
              <w:rPr>
                <w:b/>
                <w:color w:val="000000"/>
              </w:rPr>
              <w:t>Pontuação recebida (0 a 2,5)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227" w:hanging="113"/>
            </w:pPr>
            <w:r>
              <w:rPr>
                <w:color w:val="000000"/>
              </w:rPr>
              <w:t>a. Frequência de visitas/contatos com a Fiscalização;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numPr>
                <w:ilvl w:val="1"/>
                <w:numId w:val="1"/>
              </w:num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227" w:hanging="57"/>
            </w:pPr>
            <w:r>
              <w:rPr>
                <w:color w:val="000000"/>
              </w:rPr>
              <w:lastRenderedPageBreak/>
              <w:t xml:space="preserve">b. Relacionamento interpessoal; 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numPr>
                <w:ilvl w:val="1"/>
                <w:numId w:val="1"/>
              </w:num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227" w:hanging="57"/>
            </w:pPr>
            <w:r>
              <w:rPr>
                <w:color w:val="000000"/>
              </w:rPr>
              <w:t xml:space="preserve">c. Conhecimento; 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numPr>
                <w:ilvl w:val="1"/>
                <w:numId w:val="1"/>
              </w:num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227" w:hanging="113"/>
            </w:pPr>
            <w:r>
              <w:rPr>
                <w:color w:val="000000"/>
              </w:rPr>
              <w:t xml:space="preserve">d. </w:t>
            </w:r>
            <w:r>
              <w:rPr>
                <w:color w:val="000000"/>
              </w:rPr>
              <w:t>Proatividade e resolução de problemas e pendências.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widowControl w:val="0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000000"/>
          </w:tcPr>
          <w:p w:rsidR="006F1B4D" w:rsidRDefault="006F1B4D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</w:p>
        </w:tc>
      </w:tr>
      <w:tr w:rsidR="006F1B4D">
        <w:tc>
          <w:tcPr>
            <w:tcW w:w="9629" w:type="dxa"/>
            <w:gridSpan w:val="2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Indicador 6 – Atendimento às demais obrigações contratuais:</w:t>
            </w:r>
            <w:r>
              <w:rPr>
                <w:color w:val="000000"/>
              </w:rPr>
              <w:t xml:space="preserve"> Se não houver nenhuma ocorrência = 20 pontos. Para cada ocorrência envolvendo o descumprindo de cláusula contratual, não prevista nos critérios anteriores, serão descontados 5 pontos (máximo de 20 pontos a serem descontados). </w:t>
            </w:r>
          </w:p>
        </w:tc>
      </w:tr>
      <w:tr w:rsidR="006F1B4D">
        <w:tc>
          <w:tcPr>
            <w:tcW w:w="6464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Itens não atendidos</w:t>
            </w:r>
          </w:p>
        </w:tc>
        <w:tc>
          <w:tcPr>
            <w:tcW w:w="3165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141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</w:rPr>
              <w:t>Pontuação a ser descontada</w:t>
            </w:r>
          </w:p>
        </w:tc>
      </w:tr>
      <w:tr w:rsidR="006F1B4D">
        <w:tc>
          <w:tcPr>
            <w:tcW w:w="646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1"/>
            </w:tcBorders>
            <w:shd w:val="clear" w:color="auto" w:fill="auto"/>
          </w:tcPr>
          <w:p w:rsidR="006F1B4D" w:rsidRDefault="006F1B4D">
            <w:pPr>
              <w:keepNext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  <w:tc>
          <w:tcPr>
            <w:tcW w:w="316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6F1B4D">
            <w:pPr>
              <w:keepNext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</w:tbl>
    <w:p w:rsidR="006F1B4D" w:rsidRDefault="006F1B4D">
      <w:pPr>
        <w:spacing w:after="0" w:line="240" w:lineRule="auto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W w:w="9640" w:type="dxa"/>
        <w:tblInd w:w="-231" w:type="dxa"/>
        <w:tblLayout w:type="fixed"/>
        <w:tblCellMar>
          <w:left w:w="62" w:type="dxa"/>
        </w:tblCellMar>
        <w:tblLook w:val="0000" w:firstRow="0" w:lastRow="0" w:firstColumn="0" w:lastColumn="0" w:noHBand="0" w:noVBand="0"/>
      </w:tblPr>
      <w:tblGrid>
        <w:gridCol w:w="5104"/>
        <w:gridCol w:w="2409"/>
        <w:gridCol w:w="2127"/>
      </w:tblGrid>
      <w:tr w:rsidR="006F1B4D">
        <w:trPr>
          <w:trHeight w:val="110"/>
        </w:trPr>
        <w:tc>
          <w:tcPr>
            <w:tcW w:w="96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QUADRO RESUMO DA PONTUAÇÃO NO PERÍODO</w:t>
            </w:r>
          </w:p>
        </w:tc>
      </w:tr>
      <w:tr w:rsidR="006F1B4D">
        <w:trPr>
          <w:trHeight w:val="110"/>
        </w:trPr>
        <w:tc>
          <w:tcPr>
            <w:tcW w:w="510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QUESITO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FAIXA DE PONTUAÇÃO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PONTUAÇÃO FINAL</w:t>
            </w:r>
          </w:p>
        </w:tc>
      </w:tr>
      <w:tr w:rsidR="006F1B4D">
        <w:trPr>
          <w:trHeight w:val="374"/>
        </w:trPr>
        <w:tc>
          <w:tcPr>
            <w:tcW w:w="510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 xml:space="preserve">1. Pagamento dos salários, benefícios e recolhimento do FGTS dos colaboradores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0 ou 30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rPr>
          <w:trHeight w:val="270"/>
        </w:trPr>
        <w:tc>
          <w:tcPr>
            <w:tcW w:w="510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</w:pPr>
            <w:r>
              <w:rPr>
                <w:color w:val="000000"/>
              </w:rPr>
              <w:t xml:space="preserve">2. Uso de uniformes e EPIs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0 a 10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rPr>
          <w:trHeight w:val="288"/>
        </w:trPr>
        <w:tc>
          <w:tcPr>
            <w:tcW w:w="510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 xml:space="preserve">3. Tempo de resposta às solicitações da contratante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0 a 10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rPr>
          <w:trHeight w:val="267"/>
        </w:trPr>
        <w:tc>
          <w:tcPr>
            <w:tcW w:w="510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 xml:space="preserve">4. Qualidade dos serviços prestados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0 a 20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rPr>
          <w:trHeight w:val="271"/>
        </w:trPr>
        <w:tc>
          <w:tcPr>
            <w:tcW w:w="510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 xml:space="preserve">5. Qualidade do atendimento do preposto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0 a 10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rPr>
          <w:trHeight w:val="301"/>
        </w:trPr>
        <w:tc>
          <w:tcPr>
            <w:tcW w:w="510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 xml:space="preserve">6. Atendimento às demais obrigações contratuais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0 a 20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F1B4D">
        <w:trPr>
          <w:trHeight w:val="110"/>
        </w:trPr>
        <w:tc>
          <w:tcPr>
            <w:tcW w:w="5104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TOTAL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0 a 100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2" w:type="dxa"/>
            </w:tcMar>
          </w:tcPr>
          <w:p w:rsidR="006F1B4D" w:rsidRDefault="006F1B4D">
            <w:pPr>
              <w:widowControl w:val="0"/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</w:tbl>
    <w:p w:rsidR="006F1B4D" w:rsidRDefault="006F1B4D">
      <w:pPr>
        <w:spacing w:after="0" w:line="240" w:lineRule="auto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W w:w="9639" w:type="dxa"/>
        <w:tblInd w:w="-203" w:type="dxa"/>
        <w:tblLayout w:type="fixed"/>
        <w:tblCellMar>
          <w:left w:w="62" w:type="dxa"/>
        </w:tblCellMar>
        <w:tblLook w:val="0400" w:firstRow="0" w:lastRow="0" w:firstColumn="0" w:lastColumn="0" w:noHBand="0" w:noVBand="1"/>
      </w:tblPr>
      <w:tblGrid>
        <w:gridCol w:w="4519"/>
        <w:gridCol w:w="5120"/>
      </w:tblGrid>
      <w:tr w:rsidR="006F1B4D">
        <w:tc>
          <w:tcPr>
            <w:tcW w:w="9638" w:type="dxa"/>
            <w:gridSpan w:val="2"/>
            <w:tcBorders>
              <w:top w:val="single" w:sz="12" w:space="0" w:color="00000A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mallCaps/>
                <w:color w:val="000000"/>
                <w:sz w:val="24"/>
                <w:szCs w:val="24"/>
              </w:rPr>
            </w:pPr>
            <w:r>
              <w:rPr>
                <w:b/>
                <w:smallCaps/>
                <w:color w:val="000000"/>
                <w:sz w:val="24"/>
                <w:szCs w:val="24"/>
              </w:rPr>
              <w:t xml:space="preserve">CRITÉRIOS PARA </w:t>
            </w:r>
            <w:r>
              <w:rPr>
                <w:b/>
                <w:smallCaps/>
                <w:color w:val="000000"/>
                <w:sz w:val="24"/>
                <w:szCs w:val="24"/>
              </w:rPr>
              <w:t>DESCONTO NO FATURAMENTO:</w:t>
            </w:r>
          </w:p>
        </w:tc>
      </w:tr>
      <w:tr w:rsidR="006F1B4D">
        <w:tc>
          <w:tcPr>
            <w:tcW w:w="45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Faixas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Percentual de Desconto</w:t>
            </w:r>
          </w:p>
        </w:tc>
      </w:tr>
      <w:tr w:rsidR="006F1B4D">
        <w:tc>
          <w:tcPr>
            <w:tcW w:w="45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a. ≥ 80 e &lt; 90 pontos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1%</w:t>
            </w:r>
          </w:p>
        </w:tc>
      </w:tr>
      <w:tr w:rsidR="006F1B4D">
        <w:tc>
          <w:tcPr>
            <w:tcW w:w="45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b. ≥ 70 e &lt; 80 pontos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3%</w:t>
            </w:r>
          </w:p>
        </w:tc>
      </w:tr>
      <w:tr w:rsidR="006F1B4D">
        <w:tc>
          <w:tcPr>
            <w:tcW w:w="45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c. ≥ 60 e &lt; 70 pontos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5%</w:t>
            </w:r>
          </w:p>
        </w:tc>
      </w:tr>
      <w:tr w:rsidR="006F1B4D">
        <w:tc>
          <w:tcPr>
            <w:tcW w:w="45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d. ≥ 50 e &lt; 60 pontos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12" w:space="0" w:color="00000A"/>
              <w:bottom w:val="single" w:sz="4" w:space="0" w:color="000001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>7%</w:t>
            </w:r>
          </w:p>
        </w:tc>
      </w:tr>
      <w:tr w:rsidR="006F1B4D">
        <w:tc>
          <w:tcPr>
            <w:tcW w:w="451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1"/>
            </w:tcBorders>
            <w:shd w:val="clear" w:color="auto" w:fill="auto"/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</w:pPr>
            <w:r>
              <w:rPr>
                <w:color w:val="000000"/>
              </w:rPr>
              <w:t>e. &lt; 50 pontos</w:t>
            </w:r>
          </w:p>
        </w:tc>
        <w:tc>
          <w:tcPr>
            <w:tcW w:w="511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2" w:type="dxa"/>
            </w:tcMar>
          </w:tcPr>
          <w:p w:rsidR="006F1B4D" w:rsidRDefault="00BD54D9">
            <w:pPr>
              <w:widowControl w:val="0"/>
              <w:numPr>
                <w:ilvl w:val="1"/>
                <w:numId w:val="2"/>
              </w:numPr>
              <w:spacing w:after="0" w:line="240" w:lineRule="auto"/>
              <w:jc w:val="center"/>
            </w:pPr>
            <w:r>
              <w:rPr>
                <w:color w:val="000000"/>
              </w:rPr>
              <w:t>10%</w:t>
            </w:r>
          </w:p>
        </w:tc>
      </w:tr>
    </w:tbl>
    <w:p w:rsidR="006F1B4D" w:rsidRDefault="006F1B4D">
      <w:pPr>
        <w:spacing w:after="0" w:line="240" w:lineRule="auto"/>
        <w:rPr>
          <w:b/>
          <w:sz w:val="18"/>
          <w:szCs w:val="18"/>
        </w:rPr>
      </w:pPr>
    </w:p>
    <w:p w:rsidR="006F1B4D" w:rsidRDefault="00BD54D9">
      <w:r>
        <w:rPr>
          <w:b/>
          <w:sz w:val="24"/>
          <w:szCs w:val="24"/>
        </w:rPr>
        <w:t xml:space="preserve">Percentual a ser descontado do faturamento do período em referência: </w:t>
      </w:r>
      <w:r>
        <w:rPr>
          <w:b/>
          <w:sz w:val="24"/>
          <w:szCs w:val="24"/>
          <w:u w:val="single"/>
        </w:rPr>
        <w:t>____</w:t>
      </w:r>
      <w:r>
        <w:rPr>
          <w:b/>
          <w:sz w:val="24"/>
          <w:szCs w:val="24"/>
        </w:rPr>
        <w:t>.</w:t>
      </w:r>
    </w:p>
    <w:p w:rsidR="006F1B4D" w:rsidRDefault="006F1B4D">
      <w:pPr>
        <w:spacing w:line="259" w:lineRule="exact"/>
        <w:rPr>
          <w:rFonts w:ascii="Arial" w:hAnsi="Arial"/>
          <w:b/>
          <w:color w:val="202124"/>
          <w:shd w:val="clear" w:color="auto" w:fill="FFFFFF"/>
        </w:rPr>
      </w:pPr>
    </w:p>
    <w:p w:rsidR="006F1B4D" w:rsidRDefault="00BD54D9">
      <w:pPr>
        <w:spacing w:line="259" w:lineRule="exact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color w:val="202124"/>
          <w:sz w:val="24"/>
          <w:szCs w:val="24"/>
          <w:u w:val="single"/>
          <w:shd w:val="clear" w:color="auto" w:fill="FFFFFF"/>
        </w:rPr>
        <w:t>Nota:</w:t>
      </w:r>
      <w:r>
        <w:rPr>
          <w:rFonts w:ascii="Calibri" w:hAnsi="Calibri"/>
          <w:b/>
          <w:color w:val="202124"/>
          <w:sz w:val="24"/>
          <w:szCs w:val="24"/>
          <w:shd w:val="clear" w:color="auto" w:fill="FFFFFF"/>
        </w:rPr>
        <w:t xml:space="preserve"> Caso a Contratada apresente pontuação inferior a 90 pontos por três meses consecutivos deverão ser aplicadas as sanções previstas no Edital.</w:t>
      </w:r>
    </w:p>
    <w:p w:rsidR="006F1B4D" w:rsidRDefault="006F1B4D">
      <w:pPr>
        <w:spacing w:after="0" w:line="240" w:lineRule="auto"/>
        <w:rPr>
          <w:b/>
          <w:sz w:val="24"/>
          <w:szCs w:val="24"/>
        </w:rPr>
      </w:pPr>
    </w:p>
    <w:p w:rsidR="006F1B4D" w:rsidRDefault="006F1B4D">
      <w:pPr>
        <w:spacing w:after="0" w:line="240" w:lineRule="auto"/>
        <w:rPr>
          <w:b/>
          <w:sz w:val="24"/>
          <w:szCs w:val="24"/>
        </w:rPr>
      </w:pPr>
    </w:p>
    <w:p w:rsidR="006F1B4D" w:rsidRDefault="00BD54D9">
      <w:pPr>
        <w:spacing w:after="0" w:line="240" w:lineRule="auto"/>
      </w:pPr>
      <w:r>
        <w:rPr>
          <w:rFonts w:ascii="Arial" w:eastAsia="Arial" w:hAnsi="Arial" w:cs="Arial"/>
          <w:b/>
          <w:color w:val="000000"/>
        </w:rPr>
        <w:t>Data:</w:t>
      </w:r>
      <w:r>
        <w:rPr>
          <w:rFonts w:ascii="Arial" w:eastAsia="Arial" w:hAnsi="Arial" w:cs="Arial"/>
          <w:color w:val="000000"/>
        </w:rPr>
        <w:t xml:space="preserve"> ___/___/________</w:t>
      </w:r>
      <w:r>
        <w:tab/>
      </w:r>
      <w:r>
        <w:tab/>
      </w:r>
      <w:r>
        <w:tab/>
        <w:t>__________________________________________</w:t>
      </w:r>
    </w:p>
    <w:p w:rsidR="006F1B4D" w:rsidRDefault="00BD54D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eastAsia="Arial" w:hAnsi="Arial" w:cs="Arial"/>
          <w:color w:val="000000"/>
        </w:rPr>
        <w:t xml:space="preserve">Assinatura do Fiscal do </w:t>
      </w:r>
      <w:r>
        <w:rPr>
          <w:rFonts w:ascii="Arial" w:eastAsia="Arial" w:hAnsi="Arial" w:cs="Arial"/>
          <w:color w:val="000000"/>
        </w:rPr>
        <w:t>Contrato</w:t>
      </w:r>
    </w:p>
    <w:p w:rsidR="006F1B4D" w:rsidRDefault="006F1B4D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6F1B4D" w:rsidRDefault="006F1B4D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6F1B4D" w:rsidRDefault="00BD54D9">
      <w:pPr>
        <w:spacing w:after="0" w:line="240" w:lineRule="auto"/>
      </w:pPr>
      <w:r>
        <w:rPr>
          <w:rFonts w:ascii="Arial" w:eastAsia="Arial" w:hAnsi="Arial" w:cs="Arial"/>
          <w:b/>
          <w:color w:val="000000"/>
        </w:rPr>
        <w:t>Data:</w:t>
      </w:r>
      <w:r>
        <w:rPr>
          <w:rFonts w:ascii="Arial" w:eastAsia="Arial" w:hAnsi="Arial" w:cs="Arial"/>
          <w:color w:val="000000"/>
        </w:rPr>
        <w:t xml:space="preserve"> ___/___/________</w:t>
      </w:r>
      <w:r>
        <w:tab/>
      </w:r>
      <w:r>
        <w:tab/>
      </w:r>
      <w:r>
        <w:tab/>
        <w:t>__________________________________________</w:t>
      </w:r>
    </w:p>
    <w:p w:rsidR="006F1B4D" w:rsidRDefault="00BD54D9">
      <w:pPr>
        <w:spacing w:after="0" w:line="240" w:lineRule="auto"/>
      </w:pPr>
      <w:bookmarkStart w:id="1" w:name="_heading=h.gjdgxs"/>
      <w:bookmarkEnd w:id="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rFonts w:ascii="Arial" w:eastAsia="Arial" w:hAnsi="Arial" w:cs="Arial"/>
          <w:color w:val="000000"/>
        </w:rPr>
        <w:t>Assinatura da SGC</w:t>
      </w:r>
    </w:p>
    <w:sectPr w:rsidR="006F1B4D">
      <w:headerReference w:type="default" r:id="rId8"/>
      <w:pgSz w:w="11906" w:h="16838"/>
      <w:pgMar w:top="851" w:right="1134" w:bottom="992" w:left="1134" w:header="709" w:footer="0" w:gutter="0"/>
      <w:pgNumType w:start="1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D54D9">
      <w:pPr>
        <w:spacing w:after="0" w:line="240" w:lineRule="auto"/>
      </w:pPr>
      <w:r>
        <w:separator/>
      </w:r>
    </w:p>
  </w:endnote>
  <w:endnote w:type="continuationSeparator" w:id="0">
    <w:p w:rsidR="00000000" w:rsidRDefault="00BD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D54D9">
      <w:pPr>
        <w:spacing w:after="0" w:line="240" w:lineRule="auto"/>
      </w:pPr>
      <w:r>
        <w:separator/>
      </w:r>
    </w:p>
  </w:footnote>
  <w:footnote w:type="continuationSeparator" w:id="0">
    <w:p w:rsidR="00000000" w:rsidRDefault="00BD5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B4D" w:rsidRDefault="00BD54D9">
    <w:pPr>
      <w:tabs>
        <w:tab w:val="center" w:pos="425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noProof/>
        <w:lang w:eastAsia="pt-BR"/>
      </w:rPr>
      <w:drawing>
        <wp:anchor distT="0" distB="0" distL="114300" distR="114935" simplePos="0" relativeHeight="3" behindDoc="0" locked="0" layoutInCell="0" allowOverlap="1">
          <wp:simplePos x="0" y="0"/>
          <wp:positionH relativeFrom="column">
            <wp:posOffset>2790825</wp:posOffset>
          </wp:positionH>
          <wp:positionV relativeFrom="paragraph">
            <wp:posOffset>-180975</wp:posOffset>
          </wp:positionV>
          <wp:extent cx="723900" cy="752475"/>
          <wp:effectExtent l="0" t="0" r="0" b="0"/>
          <wp:wrapTopAndBottom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color w:val="000000"/>
      </w:rPr>
      <w:t>MINISTÉRIO DA AGRICULTURA, PECUÁRIA E ABASTECIMENTO</w:t>
    </w:r>
  </w:p>
  <w:p w:rsidR="006F1B4D" w:rsidRDefault="00BD54D9">
    <w:pPr>
      <w:tabs>
        <w:tab w:val="center" w:pos="425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Secretaria de </w:t>
    </w:r>
    <w:r>
      <w:rPr>
        <w:rFonts w:ascii="Times New Roman" w:eastAsia="Times New Roman" w:hAnsi="Times New Roman" w:cs="Times New Roman"/>
        <w:color w:val="000000"/>
      </w:rPr>
      <w:t>Defesa Agropecuária – SDA</w:t>
    </w:r>
  </w:p>
  <w:p w:rsidR="006F1B4D" w:rsidRDefault="00BD54D9">
    <w:pPr>
      <w:tabs>
        <w:tab w:val="center" w:pos="425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Coordenação Geral de Apoio Laboratorial – CGAL</w:t>
    </w:r>
  </w:p>
  <w:p w:rsidR="006F1B4D" w:rsidRDefault="00BD54D9">
    <w:pPr>
      <w:tabs>
        <w:tab w:val="center" w:pos="425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Laboratório Federal de Defesa Agropecuária em São Paulo – LFDA-SP</w:t>
    </w:r>
  </w:p>
  <w:p w:rsidR="006F1B4D" w:rsidRDefault="00BD54D9">
    <w:pPr>
      <w:tabs>
        <w:tab w:val="center" w:pos="425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Rua Raul Ferrari, SN – Jd. Santa Marcelina – CEP: 13100-105 – Campinas/SP</w:t>
    </w:r>
  </w:p>
  <w:p w:rsidR="006F1B4D" w:rsidRDefault="00BD54D9">
    <w:pPr>
      <w:tabs>
        <w:tab w:val="center" w:pos="425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Tel.: (19) 3254-2329 – sag.lfda-sp@agro.gov</w:t>
    </w:r>
    <w:r>
      <w:rPr>
        <w:rFonts w:ascii="Times New Roman" w:eastAsia="Times New Roman" w:hAnsi="Times New Roman" w:cs="Times New Roman"/>
        <w:color w:val="000000"/>
      </w:rPr>
      <w:t>.br</w:t>
    </w:r>
  </w:p>
  <w:p w:rsidR="006F1B4D" w:rsidRDefault="00BD54D9">
    <w:pPr>
      <w:keepNext/>
      <w:tabs>
        <w:tab w:val="left" w:pos="1755"/>
        <w:tab w:val="center" w:pos="4252"/>
        <w:tab w:val="right" w:pos="8504"/>
      </w:tabs>
      <w:spacing w:after="0" w:line="240" w:lineRule="auto"/>
      <w:rPr>
        <w:rFonts w:ascii="Calibri" w:eastAsia="Calibri" w:hAnsi="Calibri" w:cs="Calibri"/>
        <w:highlight w:val="white"/>
      </w:rPr>
    </w:pPr>
    <w:r>
      <w:rPr>
        <w:rFonts w:eastAsia="Calibri" w:cs="Calibri"/>
        <w:shd w:val="clear" w:color="auto" w:fill="FFFFFF"/>
      </w:rPr>
      <w:tab/>
    </w:r>
    <w:r>
      <w:rPr>
        <w:rFonts w:eastAsia="Calibri" w:cs="Calibri"/>
        <w:shd w:val="clear" w:color="auto" w:fill="FFFFFF"/>
      </w:rPr>
      <w:tab/>
    </w:r>
    <w:r>
      <w:rPr>
        <w:rFonts w:eastAsia="Calibri" w:cs="Calibri"/>
        <w:shd w:val="clear" w:color="auto" w:fill="FFFFFF"/>
      </w:rPr>
      <w:tab/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50337"/>
    <w:multiLevelType w:val="multilevel"/>
    <w:tmpl w:val="F11EB2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4ED8798D"/>
    <w:multiLevelType w:val="multilevel"/>
    <w:tmpl w:val="C1C096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7D421759"/>
    <w:multiLevelType w:val="multilevel"/>
    <w:tmpl w:val="EEE0CA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4D"/>
    <w:rsid w:val="006F1B4D"/>
    <w:rsid w:val="00BD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5904B-72FF-4902-896A-6D724113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lang w:eastAsia="en-US" w:bidi="ar-SA"/>
    </w:rPr>
  </w:style>
  <w:style w:type="paragraph" w:styleId="Ttulo1">
    <w:name w:val="heading 1"/>
    <w:basedOn w:val="LO-normal"/>
    <w:next w:val="Normal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Normal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Normal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Normal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Normal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tulo6">
    <w:name w:val="heading 6"/>
    <w:basedOn w:val="LO-normal"/>
    <w:next w:val="Normal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243ED4"/>
  </w:style>
  <w:style w:type="character" w:customStyle="1" w:styleId="RodapChar">
    <w:name w:val="Rodapé Char"/>
    <w:basedOn w:val="Fontepargpadro"/>
    <w:link w:val="Rodap"/>
    <w:uiPriority w:val="99"/>
    <w:qFormat/>
    <w:rsid w:val="00243ED4"/>
  </w:style>
  <w:style w:type="character" w:customStyle="1" w:styleId="LinkdaInternet">
    <w:name w:val="Link da Internet"/>
    <w:basedOn w:val="Fontepargpadro"/>
    <w:uiPriority w:val="99"/>
    <w:unhideWhenUsed/>
    <w:rsid w:val="00243ED4"/>
    <w:rPr>
      <w:color w:val="0563C1" w:themeColor="hyperlink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6773D2"/>
    <w:rPr>
      <w:rFonts w:ascii="Segoe UI" w:hAnsi="Segoe UI" w:cs="Segoe UI"/>
      <w:sz w:val="18"/>
      <w:szCs w:val="18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texto">
    <w:name w:val="Body Text"/>
    <w:basedOn w:val="LO-normal"/>
    <w:qFormat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LO-normal"/>
    <w:qFormat/>
    <w:pPr>
      <w:suppressLineNumbers/>
    </w:pPr>
    <w:rPr>
      <w:rFonts w:cs="Mangal"/>
    </w:rPr>
  </w:style>
  <w:style w:type="paragraph" w:customStyle="1" w:styleId="LO-normal">
    <w:name w:val="LO-normal"/>
    <w:qFormat/>
    <w:pPr>
      <w:spacing w:after="160" w:line="259" w:lineRule="auto"/>
    </w:pPr>
    <w:rPr>
      <w:sz w:val="22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nhideWhenUsed/>
    <w:rsid w:val="00243ED4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LO-normal"/>
    <w:link w:val="RodapChar"/>
    <w:uiPriority w:val="99"/>
    <w:unhideWhenUsed/>
    <w:rsid w:val="00243ED4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Default">
    <w:name w:val="Default"/>
    <w:qFormat/>
    <w:rsid w:val="00243ED4"/>
    <w:rPr>
      <w:rFonts w:ascii="Arial" w:hAnsi="Arial" w:cs="Arial"/>
      <w:color w:val="000000"/>
      <w:sz w:val="24"/>
      <w:szCs w:val="24"/>
      <w:lang w:eastAsia="en-US" w:bidi="ar-SA"/>
    </w:rPr>
  </w:style>
  <w:style w:type="paragraph" w:customStyle="1" w:styleId="Standard">
    <w:name w:val="Standard"/>
    <w:qFormat/>
    <w:rsid w:val="002037EC"/>
    <w:pPr>
      <w:widowControl w:val="0"/>
      <w:textAlignment w:val="baseline"/>
    </w:pPr>
    <w:rPr>
      <w:rFonts w:ascii="Liberation Serif" w:eastAsia="SimSun" w:hAnsi="Liberation Serif" w:cs="Mangal"/>
      <w:sz w:val="24"/>
      <w:szCs w:val="24"/>
    </w:rPr>
  </w:style>
  <w:style w:type="paragraph" w:styleId="PargrafodaLista">
    <w:name w:val="List Paragraph"/>
    <w:basedOn w:val="LO-normal"/>
    <w:uiPriority w:val="34"/>
    <w:qFormat/>
    <w:rsid w:val="001A6540"/>
    <w:pPr>
      <w:ind w:left="720"/>
      <w:contextualSpacing/>
    </w:pPr>
  </w:style>
  <w:style w:type="paragraph" w:styleId="Textodebalo">
    <w:name w:val="Balloon Text"/>
    <w:basedOn w:val="LO-normal"/>
    <w:link w:val="TextodebaloChar"/>
    <w:uiPriority w:val="99"/>
    <w:semiHidden/>
    <w:unhideWhenUsed/>
    <w:qFormat/>
    <w:rsid w:val="006773D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ubttulo">
    <w:name w:val="Subtitle"/>
    <w:basedOn w:val="LO-normal"/>
    <w:next w:val="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243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9fybD8NGUaUiE2Tvk58MrM1um6g==">AMUW2mWuG5tSdoRnx46rzI245CD4sCicdiW1meeIJxM52evjffMZkRdnC2fXILw0cSd+Fiq3lYWGRuaQ7tXgCui3Hq/j9kij+pnkt59qe8qTf55njUwBJeyhpGseBoCd9W9BJObl4m8e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MAPA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Aparecida Muniz da Silva</dc:creator>
  <dc:description/>
  <cp:lastModifiedBy>Fernanda Nogueira Leite</cp:lastModifiedBy>
  <cp:revision>2</cp:revision>
  <dcterms:created xsi:type="dcterms:W3CDTF">2022-12-16T12:50:00Z</dcterms:created>
  <dcterms:modified xsi:type="dcterms:W3CDTF">2022-12-16T12:50:00Z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